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827"/>
      </w:tblGrid>
      <w:tr w:rsidR="00614B64" w:rsidTr="00063750">
        <w:tc>
          <w:tcPr>
            <w:tcW w:w="5949" w:type="dxa"/>
          </w:tcPr>
          <w:p w:rsidR="00614B64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Департамент розслідувань зловживань на оптових енергетичних ринках та моніторингу звітності</w:t>
            </w:r>
          </w:p>
          <w:p w:rsidR="00614B64" w:rsidRDefault="00614B64" w:rsidP="00063750">
            <w:pPr>
              <w:ind w:firstLine="0"/>
              <w:jc w:val="left"/>
              <w:rPr>
                <w:rStyle w:val="a5"/>
                <w:sz w:val="28"/>
                <w:szCs w:val="28"/>
              </w:rPr>
            </w:pPr>
          </w:p>
        </w:tc>
        <w:tc>
          <w:tcPr>
            <w:tcW w:w="3827" w:type="dxa"/>
          </w:tcPr>
          <w:p w:rsidR="00614B64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Голові НКРЕКП</w:t>
            </w:r>
          </w:p>
          <w:p w:rsidR="00614B64" w:rsidRDefault="00614B64" w:rsidP="00063750">
            <w:pPr>
              <w:ind w:firstLine="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Членам НКРЕКП</w:t>
            </w:r>
          </w:p>
          <w:p w:rsidR="00614B64" w:rsidRDefault="00614B64" w:rsidP="00063750">
            <w:pPr>
              <w:ind w:firstLine="0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614B64" w:rsidTr="00063750">
        <w:tc>
          <w:tcPr>
            <w:tcW w:w="5949" w:type="dxa"/>
          </w:tcPr>
          <w:p w:rsidR="00614B64" w:rsidRPr="00FA4F7B" w:rsidRDefault="00614B64" w:rsidP="00063750">
            <w:pPr>
              <w:ind w:firstLine="0"/>
              <w:jc w:val="left"/>
              <w:rPr>
                <w:rStyle w:val="a5"/>
                <w:b w:val="0"/>
                <w:sz w:val="28"/>
                <w:szCs w:val="28"/>
              </w:rPr>
            </w:pPr>
            <w:r w:rsidRPr="00FA4F7B">
              <w:rPr>
                <w:rStyle w:val="a5"/>
                <w:b w:val="0"/>
                <w:sz w:val="28"/>
                <w:szCs w:val="28"/>
              </w:rPr>
              <w:t xml:space="preserve">11 березня </w:t>
            </w:r>
            <w:r w:rsidR="007E0EAE" w:rsidRPr="00FA4F7B">
              <w:rPr>
                <w:rStyle w:val="a5"/>
                <w:b w:val="0"/>
                <w:sz w:val="28"/>
                <w:szCs w:val="28"/>
              </w:rPr>
              <w:t>202</w:t>
            </w:r>
            <w:r w:rsidR="007E0EAE">
              <w:rPr>
                <w:rStyle w:val="a5"/>
                <w:b w:val="0"/>
                <w:sz w:val="28"/>
                <w:szCs w:val="28"/>
              </w:rPr>
              <w:t>5</w:t>
            </w:r>
            <w:r w:rsidR="007E0EAE" w:rsidRPr="00FA4F7B">
              <w:rPr>
                <w:rStyle w:val="a5"/>
                <w:b w:val="0"/>
                <w:sz w:val="28"/>
                <w:szCs w:val="28"/>
              </w:rPr>
              <w:t xml:space="preserve"> </w:t>
            </w:r>
            <w:r w:rsidRPr="00FA4F7B">
              <w:rPr>
                <w:rStyle w:val="a5"/>
                <w:b w:val="0"/>
                <w:sz w:val="28"/>
                <w:szCs w:val="28"/>
              </w:rPr>
              <w:t>року</w:t>
            </w:r>
          </w:p>
          <w:p w:rsidR="00614B64" w:rsidRPr="00FA4F7B" w:rsidRDefault="00614B64" w:rsidP="00063750">
            <w:pPr>
              <w:ind w:firstLine="0"/>
              <w:jc w:val="left"/>
              <w:rPr>
                <w:rStyle w:val="a5"/>
                <w:b w:val="0"/>
                <w:sz w:val="28"/>
                <w:szCs w:val="28"/>
              </w:rPr>
            </w:pPr>
          </w:p>
        </w:tc>
        <w:tc>
          <w:tcPr>
            <w:tcW w:w="3827" w:type="dxa"/>
          </w:tcPr>
          <w:p w:rsidR="00614B64" w:rsidRDefault="00614B64" w:rsidP="00063750">
            <w:pPr>
              <w:ind w:firstLine="0"/>
              <w:jc w:val="center"/>
              <w:rPr>
                <w:rStyle w:val="a5"/>
                <w:sz w:val="28"/>
                <w:szCs w:val="28"/>
              </w:rPr>
            </w:pPr>
          </w:p>
        </w:tc>
      </w:tr>
    </w:tbl>
    <w:p w:rsidR="00614B64" w:rsidRDefault="00614B64" w:rsidP="00614B64">
      <w:pPr>
        <w:ind w:firstLine="0"/>
        <w:jc w:val="center"/>
        <w:rPr>
          <w:rStyle w:val="a5"/>
          <w:b w:val="0"/>
          <w:sz w:val="28"/>
          <w:szCs w:val="28"/>
        </w:rPr>
      </w:pPr>
    </w:p>
    <w:p w:rsidR="00614B64" w:rsidRPr="00C6179B" w:rsidRDefault="00614B64" w:rsidP="00614B64">
      <w:pPr>
        <w:pStyle w:val="21"/>
        <w:rPr>
          <w:rStyle w:val="a5"/>
          <w:b/>
          <w:bCs/>
          <w:sz w:val="28"/>
          <w:szCs w:val="28"/>
        </w:rPr>
      </w:pPr>
      <w:bookmarkStart w:id="0" w:name="_GoBack"/>
      <w:bookmarkEnd w:id="0"/>
      <w:r w:rsidRPr="00C6179B">
        <w:rPr>
          <w:rStyle w:val="a5"/>
          <w:b/>
          <w:sz w:val="28"/>
          <w:szCs w:val="28"/>
        </w:rPr>
        <w:t>Обґрунтування</w:t>
      </w:r>
    </w:p>
    <w:p w:rsidR="00614B64" w:rsidRPr="00C6179B" w:rsidRDefault="00614B64" w:rsidP="00614B64">
      <w:pPr>
        <w:pStyle w:val="21"/>
        <w:rPr>
          <w:rStyle w:val="a5"/>
          <w:b/>
          <w:bCs/>
          <w:sz w:val="28"/>
          <w:szCs w:val="28"/>
        </w:rPr>
      </w:pPr>
      <w:r w:rsidRPr="00C6179B">
        <w:rPr>
          <w:rStyle w:val="a5"/>
          <w:b/>
          <w:sz w:val="28"/>
          <w:szCs w:val="28"/>
        </w:rPr>
        <w:t xml:space="preserve">щодо схвалення проєкту рішення, що має ознаки регуляторного </w:t>
      </w:r>
      <w:proofErr w:type="spellStart"/>
      <w:r w:rsidRPr="00C6179B">
        <w:rPr>
          <w:rStyle w:val="a5"/>
          <w:b/>
          <w:sz w:val="28"/>
          <w:szCs w:val="28"/>
        </w:rPr>
        <w:t>акта</w:t>
      </w:r>
      <w:proofErr w:type="spellEnd"/>
      <w:r w:rsidRPr="00C6179B">
        <w:rPr>
          <w:rStyle w:val="a5"/>
          <w:b/>
          <w:sz w:val="28"/>
          <w:szCs w:val="28"/>
        </w:rPr>
        <w:t xml:space="preserve">, – постанови Національної комісії, що здійснює державне регулювання у сферах енергетики та комунальних послуг «Про затвердження Змін до </w:t>
      </w:r>
      <w:r>
        <w:rPr>
          <w:rStyle w:val="a5"/>
          <w:b/>
          <w:sz w:val="28"/>
          <w:szCs w:val="28"/>
        </w:rPr>
        <w:t xml:space="preserve">постанови </w:t>
      </w:r>
      <w:r w:rsidRPr="00C6179B">
        <w:rPr>
          <w:rStyle w:val="a5"/>
          <w:b/>
          <w:sz w:val="28"/>
          <w:szCs w:val="28"/>
        </w:rPr>
        <w:t>Національної комісії, що здійснює державне регулювання у сферах енергетики та комунальних послуг від 26.09.2023 № 1756»</w:t>
      </w:r>
    </w:p>
    <w:p w:rsidR="00614B64" w:rsidRDefault="00614B64" w:rsidP="00614B64">
      <w:pPr>
        <w:pStyle w:val="21"/>
      </w:pPr>
    </w:p>
    <w:p w:rsidR="00614B64" w:rsidRPr="00D61C4B" w:rsidRDefault="00614B64" w:rsidP="00614B64">
      <w:pPr>
        <w:ind w:firstLine="851"/>
        <w:rPr>
          <w:sz w:val="28"/>
          <w:szCs w:val="28"/>
        </w:rPr>
      </w:pPr>
      <w:bookmarkStart w:id="1" w:name="_Hlk129091391"/>
      <w:r w:rsidRPr="00A05B23">
        <w:rPr>
          <w:sz w:val="28"/>
          <w:szCs w:val="28"/>
        </w:rPr>
        <w:t>Законом України від 14.01.2025 № 4213-IX «Про внесення змін до деяких</w:t>
      </w:r>
      <w:r>
        <w:rPr>
          <w:sz w:val="28"/>
          <w:szCs w:val="28"/>
        </w:rPr>
        <w:t xml:space="preserve"> </w:t>
      </w:r>
      <w:r w:rsidRPr="00A05B23">
        <w:rPr>
          <w:sz w:val="28"/>
          <w:szCs w:val="28"/>
        </w:rPr>
        <w:t>законів України у сферах енергетики і теплопостачання щодо удосконалення</w:t>
      </w:r>
      <w:r>
        <w:rPr>
          <w:sz w:val="28"/>
          <w:szCs w:val="28"/>
        </w:rPr>
        <w:t xml:space="preserve"> </w:t>
      </w:r>
      <w:r w:rsidRPr="00A05B23">
        <w:rPr>
          <w:sz w:val="28"/>
          <w:szCs w:val="28"/>
        </w:rPr>
        <w:t>окремих положень, пов’язаних із веденням господарської діяльності та дією</w:t>
      </w:r>
      <w:r>
        <w:rPr>
          <w:sz w:val="28"/>
          <w:szCs w:val="28"/>
        </w:rPr>
        <w:t xml:space="preserve"> </w:t>
      </w:r>
      <w:r w:rsidRPr="00A05B23">
        <w:rPr>
          <w:sz w:val="28"/>
          <w:szCs w:val="28"/>
        </w:rPr>
        <w:t xml:space="preserve">воєнного стану в Україні», який набрав чинності 09.02.2025, </w:t>
      </w:r>
      <w:proofErr w:type="spellStart"/>
      <w:r w:rsidRPr="00A05B23">
        <w:rPr>
          <w:sz w:val="28"/>
          <w:szCs w:val="28"/>
        </w:rPr>
        <w:t>унесено</w:t>
      </w:r>
      <w:proofErr w:type="spellEnd"/>
      <w:r w:rsidRPr="00A05B23">
        <w:rPr>
          <w:sz w:val="28"/>
          <w:szCs w:val="28"/>
        </w:rPr>
        <w:t>, зокрема</w:t>
      </w:r>
      <w:r>
        <w:rPr>
          <w:sz w:val="28"/>
          <w:szCs w:val="28"/>
        </w:rPr>
        <w:t xml:space="preserve"> </w:t>
      </w:r>
      <w:r w:rsidRPr="00A05B23">
        <w:rPr>
          <w:sz w:val="28"/>
          <w:szCs w:val="28"/>
        </w:rPr>
        <w:t>зміни до стате</w:t>
      </w:r>
      <w:r>
        <w:rPr>
          <w:sz w:val="28"/>
          <w:szCs w:val="28"/>
        </w:rPr>
        <w:t>й 14, 17,</w:t>
      </w:r>
      <w:r w:rsidRPr="00A05B23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945BEC">
        <w:rPr>
          <w:sz w:val="28"/>
          <w:szCs w:val="28"/>
          <w:vertAlign w:val="superscript"/>
        </w:rPr>
        <w:t xml:space="preserve">2 </w:t>
      </w:r>
      <w:r w:rsidRPr="00A05B23">
        <w:rPr>
          <w:sz w:val="28"/>
          <w:szCs w:val="28"/>
        </w:rPr>
        <w:t>Закону України «</w:t>
      </w:r>
      <w:r w:rsidRPr="00E04E07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 xml:space="preserve">», до статей 6 та 77 Закону України «Про ринок електричної енергії» та до статей 4 та 59 Закону України «Про ринок природного газу», відповідно до яких </w:t>
      </w:r>
      <w:proofErr w:type="spellStart"/>
      <w:r>
        <w:rPr>
          <w:sz w:val="28"/>
          <w:szCs w:val="28"/>
        </w:rPr>
        <w:t>уточнюються</w:t>
      </w:r>
      <w:proofErr w:type="spellEnd"/>
      <w:r>
        <w:rPr>
          <w:sz w:val="28"/>
          <w:szCs w:val="28"/>
        </w:rPr>
        <w:t xml:space="preserve"> повноваження НКРЕКП. Так, відповідно до нових положень НКРЕКП </w:t>
      </w:r>
      <w:r w:rsidRPr="00D61C4B">
        <w:rPr>
          <w:sz w:val="28"/>
          <w:szCs w:val="28"/>
        </w:rPr>
        <w:t>розглядає справи щодо зловживань та інших порушень на оптовому енергетичному ринку</w:t>
      </w:r>
      <w:r>
        <w:rPr>
          <w:sz w:val="28"/>
          <w:szCs w:val="28"/>
        </w:rPr>
        <w:t xml:space="preserve">, розробляє та затверджує </w:t>
      </w:r>
      <w:r w:rsidRPr="00D61C4B">
        <w:rPr>
          <w:sz w:val="28"/>
          <w:szCs w:val="28"/>
        </w:rPr>
        <w:t>порядок розслідування зловживань та інших порушень на оптовому енергетичному ринку</w:t>
      </w:r>
      <w:r>
        <w:rPr>
          <w:sz w:val="28"/>
          <w:szCs w:val="28"/>
        </w:rPr>
        <w:t xml:space="preserve"> та</w:t>
      </w:r>
      <w:r w:rsidRPr="00D61C4B">
        <w:t xml:space="preserve"> </w:t>
      </w:r>
      <w:r w:rsidRPr="00D61C4B">
        <w:rPr>
          <w:sz w:val="28"/>
          <w:szCs w:val="28"/>
        </w:rPr>
        <w:t>проводить розслідування зловживань та інших порушень на оптових енергетичних ринках у порядку, затвердженому Регулятором</w:t>
      </w:r>
      <w:r>
        <w:rPr>
          <w:sz w:val="28"/>
          <w:szCs w:val="28"/>
        </w:rPr>
        <w:t>. Крім цього</w:t>
      </w:r>
      <w:r w:rsidR="00563F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859B9">
        <w:rPr>
          <w:sz w:val="28"/>
          <w:szCs w:val="28"/>
        </w:rPr>
        <w:t>уточнено визначення «зловживання на оптовому енергетичному ринку»</w:t>
      </w:r>
      <w:r>
        <w:rPr>
          <w:sz w:val="28"/>
          <w:szCs w:val="28"/>
        </w:rPr>
        <w:t xml:space="preserve"> та </w:t>
      </w:r>
      <w:r w:rsidRPr="00A859B9">
        <w:rPr>
          <w:sz w:val="28"/>
          <w:szCs w:val="28"/>
        </w:rPr>
        <w:t>розмежовано правопорушення на ринку електричної/природного газу, які є зловживанням на оптовому енергетичному ринку</w:t>
      </w:r>
      <w:r w:rsidR="00563F90">
        <w:rPr>
          <w:sz w:val="28"/>
          <w:szCs w:val="28"/>
        </w:rPr>
        <w:t>,</w:t>
      </w:r>
      <w:r w:rsidRPr="00A859B9">
        <w:rPr>
          <w:sz w:val="28"/>
          <w:szCs w:val="28"/>
        </w:rPr>
        <w:t xml:space="preserve"> та інші порушення, що не є зловживанням</w:t>
      </w:r>
      <w:r>
        <w:rPr>
          <w:sz w:val="28"/>
          <w:szCs w:val="28"/>
        </w:rPr>
        <w:t>.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приведення у відповідність до вимог законодавства Порядку розслідування зловживань на оптовому енергетичному ринку, затвердженого постановою НКРЕКП від 26.09.2020 № 1756 (далі – Порядок розслідування), </w:t>
      </w:r>
      <w:r w:rsidRPr="003C6798">
        <w:rPr>
          <w:sz w:val="28"/>
          <w:szCs w:val="28"/>
        </w:rPr>
        <w:t xml:space="preserve">Департамент розслідувань зловживань на оптових енергетичних ринках та моніторингу звітності </w:t>
      </w:r>
      <w:r>
        <w:rPr>
          <w:sz w:val="28"/>
          <w:szCs w:val="28"/>
        </w:rPr>
        <w:t xml:space="preserve">підготував проєкт </w:t>
      </w:r>
      <w:r w:rsidRPr="003C6798">
        <w:rPr>
          <w:sz w:val="28"/>
          <w:szCs w:val="28"/>
        </w:rPr>
        <w:t xml:space="preserve">рішення, що має ознаки регуляторного </w:t>
      </w:r>
      <w:proofErr w:type="spellStart"/>
      <w:r w:rsidRPr="003C6798">
        <w:rPr>
          <w:sz w:val="28"/>
          <w:szCs w:val="28"/>
        </w:rPr>
        <w:t>акта</w:t>
      </w:r>
      <w:proofErr w:type="spellEnd"/>
      <w:r w:rsidRPr="003C6798">
        <w:rPr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</w:t>
      </w:r>
      <w:r>
        <w:rPr>
          <w:sz w:val="28"/>
          <w:szCs w:val="28"/>
        </w:rPr>
        <w:t>,</w:t>
      </w:r>
      <w:r w:rsidRPr="003C6798">
        <w:rPr>
          <w:sz w:val="28"/>
          <w:szCs w:val="28"/>
        </w:rPr>
        <w:t xml:space="preserve"> «Про затвердження Змін до </w:t>
      </w:r>
      <w:r>
        <w:rPr>
          <w:sz w:val="28"/>
          <w:szCs w:val="28"/>
        </w:rPr>
        <w:t xml:space="preserve">постанови </w:t>
      </w:r>
      <w:r w:rsidRPr="003C6798">
        <w:rPr>
          <w:sz w:val="28"/>
          <w:szCs w:val="28"/>
        </w:rPr>
        <w:t>Національної комісії, що здійснює державне регулювання у сферах енергетики та комунальних послуг від 26.09.2023 №</w:t>
      </w:r>
      <w:r>
        <w:rPr>
          <w:sz w:val="28"/>
          <w:szCs w:val="28"/>
        </w:rPr>
        <w:t> </w:t>
      </w:r>
      <w:r w:rsidRPr="003C6798">
        <w:rPr>
          <w:sz w:val="28"/>
          <w:szCs w:val="28"/>
        </w:rPr>
        <w:t>1756»</w:t>
      </w:r>
      <w:r>
        <w:rPr>
          <w:sz w:val="28"/>
          <w:szCs w:val="28"/>
        </w:rPr>
        <w:t>.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Проєктом постанови передбачається: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>вдосконалення окремих положень Порядку розслідування, що стосуються питань проведення розслідувань інших порушень на оптовому енергетичному ринку;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вдосконалення вимог щодо подання повідомлень </w:t>
      </w:r>
      <w:r w:rsidRPr="000C4CD6">
        <w:rPr>
          <w:sz w:val="28"/>
          <w:szCs w:val="28"/>
        </w:rPr>
        <w:t xml:space="preserve">про можливе зловживання </w:t>
      </w:r>
      <w:r>
        <w:rPr>
          <w:sz w:val="28"/>
          <w:szCs w:val="28"/>
        </w:rPr>
        <w:t xml:space="preserve">та інших порушень </w:t>
      </w:r>
      <w:r w:rsidRPr="000C4CD6">
        <w:rPr>
          <w:sz w:val="28"/>
          <w:szCs w:val="28"/>
        </w:rPr>
        <w:t>на оптовому енергетичному ринку</w:t>
      </w:r>
      <w:r>
        <w:rPr>
          <w:sz w:val="28"/>
          <w:szCs w:val="28"/>
        </w:rPr>
        <w:t>;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уточнення розгляду </w:t>
      </w:r>
      <w:r w:rsidRPr="000C4CD6">
        <w:rPr>
          <w:sz w:val="28"/>
          <w:szCs w:val="28"/>
        </w:rPr>
        <w:t>повідомлення, наданого заявником(</w:t>
      </w:r>
      <w:proofErr w:type="spellStart"/>
      <w:r w:rsidRPr="000C4CD6">
        <w:rPr>
          <w:sz w:val="28"/>
          <w:szCs w:val="28"/>
        </w:rPr>
        <w:t>ами</w:t>
      </w:r>
      <w:proofErr w:type="spellEnd"/>
      <w:r w:rsidRPr="000C4CD6">
        <w:rPr>
          <w:sz w:val="28"/>
          <w:szCs w:val="28"/>
        </w:rPr>
        <w:t>) щодо одного й того самого учасника оптового енергетичного ринку та того самого виду зловживання або іншого порушення на оптовому енергетичному ринку, щодо якого НКРЕКП розпочато попереднє дослідження або прийнято рішення про початок розслідування</w:t>
      </w:r>
      <w:r>
        <w:rPr>
          <w:sz w:val="28"/>
          <w:szCs w:val="28"/>
        </w:rPr>
        <w:t>;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посилення </w:t>
      </w:r>
      <w:r w:rsidRPr="00BC64F1">
        <w:rPr>
          <w:sz w:val="28"/>
          <w:szCs w:val="28"/>
        </w:rPr>
        <w:t>повноваження</w:t>
      </w:r>
      <w:r>
        <w:rPr>
          <w:sz w:val="28"/>
          <w:szCs w:val="28"/>
        </w:rPr>
        <w:t xml:space="preserve"> Голови </w:t>
      </w:r>
      <w:r w:rsidRPr="00586CE4">
        <w:rPr>
          <w:sz w:val="28"/>
          <w:szCs w:val="28"/>
        </w:rPr>
        <w:t>комісі</w:t>
      </w:r>
      <w:r>
        <w:rPr>
          <w:sz w:val="28"/>
          <w:szCs w:val="28"/>
        </w:rPr>
        <w:t>ї</w:t>
      </w:r>
      <w:r w:rsidRPr="00586CE4">
        <w:rPr>
          <w:sz w:val="28"/>
          <w:szCs w:val="28"/>
        </w:rPr>
        <w:t xml:space="preserve"> з розслідування</w:t>
      </w:r>
      <w:r>
        <w:rPr>
          <w:sz w:val="28"/>
          <w:szCs w:val="28"/>
        </w:rPr>
        <w:t xml:space="preserve"> </w:t>
      </w:r>
      <w:r w:rsidRPr="00BC64F1">
        <w:rPr>
          <w:sz w:val="28"/>
          <w:szCs w:val="28"/>
        </w:rPr>
        <w:t>під час проведення розслідувань</w:t>
      </w:r>
      <w:r>
        <w:rPr>
          <w:sz w:val="28"/>
          <w:szCs w:val="28"/>
        </w:rPr>
        <w:t xml:space="preserve"> в частині розроблення </w:t>
      </w:r>
      <w:r w:rsidRPr="00586CE4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586CE4">
        <w:rPr>
          <w:sz w:val="28"/>
          <w:szCs w:val="28"/>
        </w:rPr>
        <w:t xml:space="preserve"> розслідування зловживань та інших порушень на оптовому енергетичному ринку</w:t>
      </w:r>
      <w:r w:rsidRPr="00BC64F1">
        <w:rPr>
          <w:sz w:val="28"/>
          <w:szCs w:val="28"/>
        </w:rPr>
        <w:t>;</w:t>
      </w:r>
    </w:p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прийняття постанови НКРЕКП </w:t>
      </w:r>
      <w:r w:rsidRPr="003C3B51">
        <w:rPr>
          <w:sz w:val="28"/>
          <w:szCs w:val="28"/>
        </w:rPr>
        <w:t>за результатами розслідування з урахуванням висновку про результати розслідування зловживань та інших порушень на оптовому енергетичному ринку</w:t>
      </w:r>
      <w:r>
        <w:rPr>
          <w:sz w:val="28"/>
          <w:szCs w:val="28"/>
        </w:rPr>
        <w:t>,</w:t>
      </w:r>
      <w:r w:rsidRPr="003C3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звернення </w:t>
      </w:r>
      <w:r w:rsidRPr="00586CE4">
        <w:rPr>
          <w:sz w:val="28"/>
          <w:szCs w:val="28"/>
        </w:rPr>
        <w:t>до суду з підстав, передбачених законом</w:t>
      </w:r>
      <w:r>
        <w:rPr>
          <w:sz w:val="28"/>
          <w:szCs w:val="28"/>
        </w:rPr>
        <w:t>;</w:t>
      </w:r>
    </w:p>
    <w:p w:rsidR="00614B64" w:rsidRPr="00BC64F1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вдосконалення </w:t>
      </w:r>
      <w:r w:rsidRPr="003C3B51">
        <w:rPr>
          <w:sz w:val="28"/>
          <w:szCs w:val="28"/>
        </w:rPr>
        <w:t>Повідомлення (заяв</w:t>
      </w:r>
      <w:r>
        <w:rPr>
          <w:sz w:val="28"/>
          <w:szCs w:val="28"/>
        </w:rPr>
        <w:t>и</w:t>
      </w:r>
      <w:r w:rsidRPr="003C3B51">
        <w:rPr>
          <w:sz w:val="28"/>
          <w:szCs w:val="28"/>
        </w:rPr>
        <w:t>) про можливе зловживання та інші порушення на оптовому енергетичному ринку</w:t>
      </w:r>
      <w:r>
        <w:rPr>
          <w:sz w:val="28"/>
          <w:szCs w:val="28"/>
        </w:rPr>
        <w:t>.</w:t>
      </w:r>
    </w:p>
    <w:p w:rsidR="00614B64" w:rsidRDefault="00614B64" w:rsidP="00614B64">
      <w:pPr>
        <w:ind w:firstLine="851"/>
        <w:rPr>
          <w:sz w:val="28"/>
          <w:szCs w:val="28"/>
        </w:rPr>
      </w:pPr>
    </w:p>
    <w:bookmarkEnd w:id="1"/>
    <w:p w:rsid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 Департамент розслідувань зловживань на оптових енергетичних ринках та моніторингу звітності пропонує:</w:t>
      </w:r>
    </w:p>
    <w:p w:rsidR="00614B64" w:rsidRPr="00614B64" w:rsidRDefault="00614B64" w:rsidP="00614B64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схвалити проєкт рішення, що має ознаки регуляторного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послуг, «</w:t>
      </w:r>
      <w:r w:rsidRPr="00BE1357">
        <w:rPr>
          <w:bCs/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 від 26.09.2023 № 1756</w:t>
      </w:r>
      <w:r>
        <w:rPr>
          <w:sz w:val="28"/>
          <w:szCs w:val="28"/>
        </w:rPr>
        <w:t>» та розмістити його на офіційному вебсайті HKPEKП www.nerc.gov.ua з метою одержання зауважень i пропозицій від інших органів державної влади, фізичних та юридичних осіб, їх об’єднань та інших заінтересованих осіб.</w:t>
      </w:r>
    </w:p>
    <w:p w:rsidR="00614B64" w:rsidRDefault="00614B64" w:rsidP="00614B64">
      <w:pPr>
        <w:ind w:firstLine="567"/>
        <w:rPr>
          <w:sz w:val="28"/>
          <w:szCs w:val="28"/>
        </w:rPr>
      </w:pPr>
    </w:p>
    <w:p w:rsidR="00614B64" w:rsidRDefault="00614B64" w:rsidP="00614B64">
      <w:pPr>
        <w:ind w:firstLine="567"/>
        <w:rPr>
          <w:sz w:val="28"/>
          <w:szCs w:val="28"/>
        </w:rPr>
      </w:pPr>
    </w:p>
    <w:p w:rsidR="00614B64" w:rsidRPr="003C3B51" w:rsidRDefault="00614B64" w:rsidP="00614B64">
      <w:pPr>
        <w:ind w:firstLine="567"/>
        <w:rPr>
          <w:b/>
          <w:sz w:val="28"/>
          <w:szCs w:val="28"/>
        </w:rPr>
      </w:pPr>
      <w:r w:rsidRPr="003C3B51">
        <w:rPr>
          <w:b/>
          <w:sz w:val="28"/>
          <w:szCs w:val="28"/>
        </w:rPr>
        <w:t xml:space="preserve">Директор Департаменту </w:t>
      </w:r>
      <w:r w:rsidRPr="003C3B51">
        <w:rPr>
          <w:b/>
          <w:sz w:val="28"/>
          <w:szCs w:val="28"/>
        </w:rPr>
        <w:tab/>
      </w:r>
      <w:r w:rsidRPr="003C3B5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C3B51">
        <w:rPr>
          <w:b/>
          <w:sz w:val="28"/>
          <w:szCs w:val="28"/>
        </w:rPr>
        <w:tab/>
        <w:t>Тетяна МІЩЕНЕНКО</w:t>
      </w:r>
    </w:p>
    <w:p w:rsidR="00200FC2" w:rsidRPr="00614B64" w:rsidRDefault="00200FC2" w:rsidP="00614B64"/>
    <w:sectPr w:rsidR="00200FC2" w:rsidRPr="00614B64" w:rsidSect="0064601E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8DA" w:rsidRDefault="007E08DA" w:rsidP="0064601E">
      <w:r>
        <w:separator/>
      </w:r>
    </w:p>
  </w:endnote>
  <w:endnote w:type="continuationSeparator" w:id="0">
    <w:p w:rsidR="007E08DA" w:rsidRDefault="007E08DA" w:rsidP="0064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8DA" w:rsidRDefault="007E08DA" w:rsidP="0064601E">
      <w:r>
        <w:separator/>
      </w:r>
    </w:p>
  </w:footnote>
  <w:footnote w:type="continuationSeparator" w:id="0">
    <w:p w:rsidR="007E08DA" w:rsidRDefault="007E08DA" w:rsidP="0064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1302772"/>
      <w:docPartObj>
        <w:docPartGallery w:val="Page Numbers (Top of Page)"/>
        <w:docPartUnique/>
      </w:docPartObj>
    </w:sdtPr>
    <w:sdtEndPr/>
    <w:sdtContent>
      <w:p w:rsidR="0064601E" w:rsidRDefault="006460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4601E" w:rsidRDefault="0064601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90"/>
    <w:rsid w:val="00023F19"/>
    <w:rsid w:val="00086909"/>
    <w:rsid w:val="0009376B"/>
    <w:rsid w:val="000A38FD"/>
    <w:rsid w:val="000C4CD6"/>
    <w:rsid w:val="000F218F"/>
    <w:rsid w:val="00200FC2"/>
    <w:rsid w:val="002118E2"/>
    <w:rsid w:val="00275C2B"/>
    <w:rsid w:val="00281EF7"/>
    <w:rsid w:val="00351AAB"/>
    <w:rsid w:val="003577D2"/>
    <w:rsid w:val="003C3B51"/>
    <w:rsid w:val="003C6798"/>
    <w:rsid w:val="00450286"/>
    <w:rsid w:val="0053284D"/>
    <w:rsid w:val="00563F90"/>
    <w:rsid w:val="00586CE4"/>
    <w:rsid w:val="005D3E7F"/>
    <w:rsid w:val="005F6312"/>
    <w:rsid w:val="00612E90"/>
    <w:rsid w:val="00614B64"/>
    <w:rsid w:val="00622698"/>
    <w:rsid w:val="0064601E"/>
    <w:rsid w:val="00666530"/>
    <w:rsid w:val="00686EF6"/>
    <w:rsid w:val="006A1198"/>
    <w:rsid w:val="007E08DA"/>
    <w:rsid w:val="007E0EAE"/>
    <w:rsid w:val="0080138A"/>
    <w:rsid w:val="00804DA5"/>
    <w:rsid w:val="00895CD5"/>
    <w:rsid w:val="009117D6"/>
    <w:rsid w:val="00945BEC"/>
    <w:rsid w:val="0097233E"/>
    <w:rsid w:val="00987035"/>
    <w:rsid w:val="00A05B23"/>
    <w:rsid w:val="00A06411"/>
    <w:rsid w:val="00A859B9"/>
    <w:rsid w:val="00B557C4"/>
    <w:rsid w:val="00B75E9F"/>
    <w:rsid w:val="00BC64F1"/>
    <w:rsid w:val="00BE3EA4"/>
    <w:rsid w:val="00C6179B"/>
    <w:rsid w:val="00C83C7E"/>
    <w:rsid w:val="00D60882"/>
    <w:rsid w:val="00D61C4B"/>
    <w:rsid w:val="00D95CCB"/>
    <w:rsid w:val="00E04E07"/>
    <w:rsid w:val="00E13317"/>
    <w:rsid w:val="00E164F2"/>
    <w:rsid w:val="00E82220"/>
    <w:rsid w:val="00ED648E"/>
    <w:rsid w:val="00ED74AC"/>
    <w:rsid w:val="00EE67DD"/>
    <w:rsid w:val="00F42E69"/>
    <w:rsid w:val="00F57D06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B5D1E-F92A-4A56-B0C7-54615CD3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FC2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  <w:ind w:firstLine="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a5">
    <w:name w:val="Strong"/>
    <w:basedOn w:val="a0"/>
    <w:uiPriority w:val="99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footer"/>
    <w:basedOn w:val="a"/>
    <w:link w:val="aa"/>
    <w:uiPriority w:val="99"/>
    <w:unhideWhenUsed/>
    <w:rsid w:val="00200FC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00FC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200FC2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200FC2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b">
    <w:name w:val="Table Grid"/>
    <w:basedOn w:val="a1"/>
    <w:uiPriority w:val="39"/>
    <w:rsid w:val="00BE3E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4601E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460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2665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Журавель Олена</dc:creator>
  <cp:keywords/>
  <dc:description/>
  <cp:lastModifiedBy>Журавель Олена</cp:lastModifiedBy>
  <cp:revision>5</cp:revision>
  <dcterms:created xsi:type="dcterms:W3CDTF">2025-03-03T13:24:00Z</dcterms:created>
  <dcterms:modified xsi:type="dcterms:W3CDTF">2025-03-10T13:33:00Z</dcterms:modified>
</cp:coreProperties>
</file>