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5021" w:type="dxa"/>
        <w:tblLook w:val="04A0" w:firstRow="1" w:lastRow="0" w:firstColumn="1" w:lastColumn="0" w:noHBand="0" w:noVBand="1"/>
      </w:tblPr>
      <w:tblGrid>
        <w:gridCol w:w="421"/>
        <w:gridCol w:w="7229"/>
        <w:gridCol w:w="7371"/>
      </w:tblGrid>
      <w:tr w:rsidR="00465AE2" w:rsidRPr="00C47D7E" w14:paraId="07C1F6A1" w14:textId="77777777" w:rsidTr="007F584C">
        <w:tc>
          <w:tcPr>
            <w:tcW w:w="421" w:type="dxa"/>
          </w:tcPr>
          <w:p w14:paraId="67C24CF8" w14:textId="77777777" w:rsidR="00465AE2" w:rsidRPr="00C47D7E" w:rsidRDefault="00465AE2" w:rsidP="002342CA">
            <w:pPr>
              <w:spacing w:after="0" w:line="240" w:lineRule="auto"/>
              <w:rPr>
                <w:rFonts w:ascii="Times New Roman" w:hAnsi="Times New Roman" w:cs="Times New Roman"/>
                <w:lang w:val="uk-UA"/>
              </w:rPr>
            </w:pPr>
          </w:p>
        </w:tc>
        <w:tc>
          <w:tcPr>
            <w:tcW w:w="14600" w:type="dxa"/>
            <w:gridSpan w:val="2"/>
          </w:tcPr>
          <w:p w14:paraId="61E97C30" w14:textId="77777777" w:rsidR="00465AE2" w:rsidRDefault="00465AE2" w:rsidP="00465AE2">
            <w:pPr>
              <w:spacing w:after="0" w:line="240" w:lineRule="auto"/>
              <w:jc w:val="center"/>
              <w:rPr>
                <w:rFonts w:ascii="Times New Roman" w:eastAsia="Times New Roman" w:hAnsi="Times New Roman" w:cs="Times New Roman"/>
                <w:b/>
                <w:sz w:val="26"/>
                <w:szCs w:val="26"/>
                <w:lang w:val="uk-UA" w:eastAsia="ru-RU"/>
              </w:rPr>
            </w:pPr>
          </w:p>
          <w:p w14:paraId="0959DC04" w14:textId="14E2F54E" w:rsidR="00465AE2" w:rsidRPr="00465AE2" w:rsidRDefault="00465AE2" w:rsidP="00465AE2">
            <w:pPr>
              <w:spacing w:after="0" w:line="240" w:lineRule="auto"/>
              <w:jc w:val="center"/>
              <w:rPr>
                <w:rFonts w:ascii="Times New Roman" w:eastAsia="Times New Roman" w:hAnsi="Times New Roman" w:cs="Times New Roman"/>
                <w:b/>
                <w:sz w:val="26"/>
                <w:szCs w:val="26"/>
                <w:lang w:val="uk-UA" w:eastAsia="ru-RU"/>
              </w:rPr>
            </w:pPr>
            <w:r w:rsidRPr="00465AE2">
              <w:rPr>
                <w:rFonts w:ascii="Times New Roman" w:eastAsia="Times New Roman" w:hAnsi="Times New Roman" w:cs="Times New Roman"/>
                <w:b/>
                <w:sz w:val="26"/>
                <w:szCs w:val="26"/>
                <w:lang w:val="uk-UA" w:eastAsia="ru-RU"/>
              </w:rPr>
              <w:t>ПОРІВНЯЛЬНА ТАБЛИЦЯ</w:t>
            </w:r>
          </w:p>
          <w:p w14:paraId="240FA88D" w14:textId="77777777" w:rsidR="00465AE2" w:rsidRPr="00C47D7E" w:rsidRDefault="00465AE2" w:rsidP="002342CA">
            <w:pPr>
              <w:spacing w:after="0" w:line="240" w:lineRule="auto"/>
              <w:jc w:val="center"/>
              <w:rPr>
                <w:rFonts w:ascii="Times New Roman" w:hAnsi="Times New Roman" w:cs="Times New Roman"/>
                <w:b/>
                <w:lang w:val="uk-UA"/>
              </w:rPr>
            </w:pPr>
          </w:p>
        </w:tc>
      </w:tr>
      <w:tr w:rsidR="00465AE2" w:rsidRPr="008D43C5" w14:paraId="328F4D11" w14:textId="77777777" w:rsidTr="007F584C">
        <w:tc>
          <w:tcPr>
            <w:tcW w:w="421" w:type="dxa"/>
          </w:tcPr>
          <w:p w14:paraId="5E3279D8" w14:textId="77777777" w:rsidR="00465AE2" w:rsidRPr="00C47D7E" w:rsidRDefault="00465AE2" w:rsidP="002342CA">
            <w:pPr>
              <w:spacing w:after="0" w:line="240" w:lineRule="auto"/>
              <w:rPr>
                <w:rFonts w:ascii="Times New Roman" w:hAnsi="Times New Roman" w:cs="Times New Roman"/>
                <w:lang w:val="uk-UA"/>
              </w:rPr>
            </w:pPr>
          </w:p>
        </w:tc>
        <w:tc>
          <w:tcPr>
            <w:tcW w:w="14600" w:type="dxa"/>
            <w:gridSpan w:val="2"/>
          </w:tcPr>
          <w:p w14:paraId="51793912" w14:textId="7F35AA3C" w:rsidR="00465AE2" w:rsidRPr="00C47D7E" w:rsidRDefault="007F584C" w:rsidP="00BE5401">
            <w:pPr>
              <w:spacing w:after="0" w:line="240" w:lineRule="auto"/>
              <w:jc w:val="center"/>
              <w:rPr>
                <w:rFonts w:ascii="Times New Roman" w:hAnsi="Times New Roman" w:cs="Times New Roman"/>
                <w:b/>
                <w:lang w:val="uk-UA"/>
              </w:rPr>
            </w:pPr>
            <w:r w:rsidRPr="007F584C">
              <w:rPr>
                <w:rFonts w:ascii="Times New Roman" w:eastAsia="Times New Roman" w:hAnsi="Times New Roman" w:cs="Times New Roman"/>
                <w:b/>
                <w:sz w:val="24"/>
                <w:szCs w:val="24"/>
                <w:lang w:val="uk-UA" w:eastAsia="ru-RU"/>
              </w:rPr>
              <w:t xml:space="preserve">чинної редакції постанови НКРЕКП від 04.09.2018 № 955 </w:t>
            </w:r>
            <w:r w:rsidR="00BE5401">
              <w:rPr>
                <w:rFonts w:ascii="Times New Roman" w:eastAsia="Times New Roman" w:hAnsi="Times New Roman" w:cs="Times New Roman"/>
                <w:b/>
                <w:sz w:val="24"/>
                <w:szCs w:val="24"/>
                <w:lang w:val="uk-UA" w:eastAsia="ru-RU"/>
              </w:rPr>
              <w:t>«</w:t>
            </w:r>
            <w:r w:rsidRPr="007F584C">
              <w:rPr>
                <w:rFonts w:ascii="Times New Roman" w:eastAsia="Times New Roman" w:hAnsi="Times New Roman" w:cs="Times New Roman"/>
                <w:b/>
                <w:sz w:val="24"/>
                <w:szCs w:val="24"/>
                <w:lang w:val="uk-UA" w:eastAsia="ru-RU"/>
              </w:rPr>
              <w:t>Про затвердження Порядку розроблення та подання на затвердження планів розвитку систем розподілу та інвестиційних прог</w:t>
            </w:r>
            <w:r w:rsidR="00BE5401">
              <w:rPr>
                <w:rFonts w:ascii="Times New Roman" w:eastAsia="Times New Roman" w:hAnsi="Times New Roman" w:cs="Times New Roman"/>
                <w:b/>
                <w:sz w:val="24"/>
                <w:szCs w:val="24"/>
                <w:lang w:val="uk-UA" w:eastAsia="ru-RU"/>
              </w:rPr>
              <w:t>рам операторів систем розподілу»</w:t>
            </w:r>
            <w:r w:rsidRPr="007F584C">
              <w:rPr>
                <w:rFonts w:ascii="Times New Roman" w:eastAsia="Times New Roman" w:hAnsi="Times New Roman" w:cs="Times New Roman"/>
                <w:b/>
                <w:sz w:val="24"/>
                <w:szCs w:val="24"/>
                <w:lang w:val="uk-UA" w:eastAsia="ru-RU"/>
              </w:rPr>
              <w:t xml:space="preserve"> та нової редакції із змінами</w:t>
            </w:r>
          </w:p>
        </w:tc>
      </w:tr>
      <w:tr w:rsidR="00B27F16" w:rsidRPr="00C47D7E" w14:paraId="527D839C" w14:textId="77777777" w:rsidTr="00174A77">
        <w:tc>
          <w:tcPr>
            <w:tcW w:w="421" w:type="dxa"/>
          </w:tcPr>
          <w:p w14:paraId="7B51ABF7" w14:textId="77777777" w:rsidR="00B27F16" w:rsidRPr="00C47D7E" w:rsidRDefault="00B27F16" w:rsidP="00174A77">
            <w:pPr>
              <w:spacing w:after="0" w:line="240" w:lineRule="auto"/>
              <w:rPr>
                <w:rFonts w:ascii="Times New Roman" w:hAnsi="Times New Roman" w:cs="Times New Roman"/>
                <w:lang w:val="uk-UA"/>
              </w:rPr>
            </w:pPr>
          </w:p>
        </w:tc>
        <w:tc>
          <w:tcPr>
            <w:tcW w:w="7229" w:type="dxa"/>
          </w:tcPr>
          <w:p w14:paraId="073F2B1B" w14:textId="77777777" w:rsidR="00B27F16" w:rsidRPr="00C47D7E" w:rsidRDefault="00B27F16" w:rsidP="00174A77">
            <w:pPr>
              <w:spacing w:after="0" w:line="240" w:lineRule="auto"/>
              <w:ind w:firstLine="240"/>
              <w:jc w:val="center"/>
              <w:rPr>
                <w:rFonts w:ascii="Times New Roman" w:hAnsi="Times New Roman" w:cs="Times New Roman"/>
                <w:b/>
                <w:color w:val="000000"/>
                <w:sz w:val="24"/>
                <w:szCs w:val="24"/>
                <w:lang w:val="uk-UA"/>
              </w:rPr>
            </w:pPr>
            <w:r w:rsidRPr="00C47D7E">
              <w:rPr>
                <w:rFonts w:ascii="Times New Roman" w:hAnsi="Times New Roman" w:cs="Times New Roman"/>
                <w:b/>
                <w:color w:val="000000"/>
                <w:sz w:val="24"/>
                <w:szCs w:val="24"/>
                <w:lang w:val="uk-UA"/>
              </w:rPr>
              <w:t>Чинна редакція</w:t>
            </w:r>
          </w:p>
        </w:tc>
        <w:tc>
          <w:tcPr>
            <w:tcW w:w="7371" w:type="dxa"/>
          </w:tcPr>
          <w:p w14:paraId="1D654E67" w14:textId="77777777" w:rsidR="00B27F16" w:rsidRPr="00C47D7E" w:rsidRDefault="00B27F16" w:rsidP="00174A77">
            <w:pPr>
              <w:spacing w:after="0" w:line="240" w:lineRule="auto"/>
              <w:jc w:val="center"/>
              <w:rPr>
                <w:rFonts w:ascii="Times New Roman" w:hAnsi="Times New Roman" w:cs="Times New Roman"/>
                <w:b/>
                <w:lang w:val="uk-UA"/>
              </w:rPr>
            </w:pPr>
            <w:r w:rsidRPr="00C47D7E">
              <w:rPr>
                <w:rFonts w:ascii="Times New Roman" w:hAnsi="Times New Roman" w:cs="Times New Roman"/>
                <w:b/>
                <w:lang w:val="uk-UA"/>
              </w:rPr>
              <w:t>Зі змінами</w:t>
            </w:r>
          </w:p>
        </w:tc>
      </w:tr>
      <w:tr w:rsidR="00B27F16" w:rsidRPr="008D43C5" w14:paraId="65B34BF8" w14:textId="77777777" w:rsidTr="00174A77">
        <w:tc>
          <w:tcPr>
            <w:tcW w:w="421" w:type="dxa"/>
          </w:tcPr>
          <w:p w14:paraId="3DE4E639" w14:textId="77777777" w:rsidR="00B27F16" w:rsidRPr="00C47D7E" w:rsidRDefault="00B27F16" w:rsidP="00174A77">
            <w:pPr>
              <w:spacing w:after="0" w:line="240" w:lineRule="auto"/>
              <w:rPr>
                <w:rFonts w:ascii="Times New Roman" w:hAnsi="Times New Roman" w:cs="Times New Roman"/>
                <w:lang w:val="uk-UA"/>
              </w:rPr>
            </w:pPr>
          </w:p>
        </w:tc>
        <w:tc>
          <w:tcPr>
            <w:tcW w:w="7229" w:type="dxa"/>
          </w:tcPr>
          <w:p w14:paraId="1160F9F8" w14:textId="174846C7" w:rsidR="00B27F16" w:rsidRPr="00C47D7E" w:rsidRDefault="00BE5401" w:rsidP="00BE5401">
            <w:pPr>
              <w:spacing w:after="0" w:line="240" w:lineRule="auto"/>
              <w:ind w:firstLine="240"/>
              <w:jc w:val="both"/>
              <w:rPr>
                <w:rFonts w:ascii="Times New Roman" w:hAnsi="Times New Roman" w:cs="Times New Roman"/>
                <w:b/>
                <w:color w:val="000000"/>
                <w:sz w:val="24"/>
                <w:szCs w:val="24"/>
                <w:lang w:val="uk-UA"/>
              </w:rPr>
            </w:pPr>
            <w:r>
              <w:rPr>
                <w:rFonts w:ascii="Times New Roman" w:eastAsia="Times New Roman" w:hAnsi="Times New Roman" w:cs="Times New Roman"/>
                <w:b/>
                <w:sz w:val="24"/>
                <w:szCs w:val="24"/>
                <w:lang w:val="uk-UA" w:eastAsia="ru-RU"/>
              </w:rPr>
              <w:t>«</w:t>
            </w:r>
            <w:r w:rsidRPr="007F584C">
              <w:rPr>
                <w:rFonts w:ascii="Times New Roman" w:eastAsia="Times New Roman" w:hAnsi="Times New Roman" w:cs="Times New Roman"/>
                <w:b/>
                <w:sz w:val="24"/>
                <w:szCs w:val="24"/>
                <w:lang w:val="uk-UA" w:eastAsia="ru-RU"/>
              </w:rPr>
              <w:t>Про затвердження Порядку розроблення та подання на затвердження планів розвитку систем розподілу та інвестиційних прог</w:t>
            </w:r>
            <w:r>
              <w:rPr>
                <w:rFonts w:ascii="Times New Roman" w:eastAsia="Times New Roman" w:hAnsi="Times New Roman" w:cs="Times New Roman"/>
                <w:b/>
                <w:sz w:val="24"/>
                <w:szCs w:val="24"/>
                <w:lang w:val="uk-UA" w:eastAsia="ru-RU"/>
              </w:rPr>
              <w:t>рам операторів систем розподілу»</w:t>
            </w:r>
          </w:p>
        </w:tc>
        <w:tc>
          <w:tcPr>
            <w:tcW w:w="7371" w:type="dxa"/>
          </w:tcPr>
          <w:p w14:paraId="506249BA" w14:textId="6AC4970B" w:rsidR="00B27F16" w:rsidRPr="00DD57E1" w:rsidRDefault="00BE5401" w:rsidP="00BE5401">
            <w:pPr>
              <w:spacing w:after="0" w:line="240" w:lineRule="auto"/>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«Про затвердження Порядку розроблення та подання на схвалення планів розвитку систем розподілу та інвестиційних програм операторів систем розподілу»</w:t>
            </w:r>
          </w:p>
        </w:tc>
      </w:tr>
      <w:tr w:rsidR="002342CA" w:rsidRPr="008D43C5" w14:paraId="09F66052" w14:textId="77777777" w:rsidTr="007F584C">
        <w:tc>
          <w:tcPr>
            <w:tcW w:w="421" w:type="dxa"/>
          </w:tcPr>
          <w:p w14:paraId="6F648B50" w14:textId="77777777" w:rsidR="002342CA" w:rsidRPr="00C47D7E" w:rsidRDefault="002342CA" w:rsidP="002342CA">
            <w:pPr>
              <w:spacing w:after="0" w:line="240" w:lineRule="auto"/>
              <w:rPr>
                <w:rFonts w:ascii="Times New Roman" w:hAnsi="Times New Roman" w:cs="Times New Roman"/>
                <w:lang w:val="uk-UA"/>
              </w:rPr>
            </w:pPr>
          </w:p>
        </w:tc>
        <w:tc>
          <w:tcPr>
            <w:tcW w:w="14600" w:type="dxa"/>
            <w:gridSpan w:val="2"/>
          </w:tcPr>
          <w:p w14:paraId="7F415F6A" w14:textId="3D158430" w:rsidR="002342CA" w:rsidRPr="00DD57E1" w:rsidRDefault="00BE5401" w:rsidP="00BE5401">
            <w:pPr>
              <w:spacing w:after="0" w:line="240" w:lineRule="auto"/>
              <w:jc w:val="center"/>
              <w:rPr>
                <w:rFonts w:ascii="Times New Roman" w:hAnsi="Times New Roman" w:cs="Times New Roman"/>
                <w:b/>
                <w:sz w:val="24"/>
                <w:szCs w:val="24"/>
                <w:lang w:val="uk-UA"/>
              </w:rPr>
            </w:pPr>
            <w:r w:rsidRPr="00DD57E1">
              <w:rPr>
                <w:rFonts w:ascii="Times New Roman" w:hAnsi="Times New Roman" w:cs="Times New Roman"/>
                <w:b/>
                <w:sz w:val="24"/>
                <w:szCs w:val="24"/>
                <w:lang w:val="uk-UA"/>
              </w:rPr>
              <w:t>Порядок розроблення та подання на схвалення планів розвитку систем розподілу та інвестиційних програм операторів систем розподілу</w:t>
            </w:r>
          </w:p>
        </w:tc>
      </w:tr>
      <w:tr w:rsidR="00FF6D1B" w:rsidRPr="00BE5401" w14:paraId="455B08CF" w14:textId="77777777" w:rsidTr="007F584C">
        <w:tc>
          <w:tcPr>
            <w:tcW w:w="421" w:type="dxa"/>
          </w:tcPr>
          <w:p w14:paraId="13406340" w14:textId="77777777" w:rsidR="00FF6D1B" w:rsidRPr="00C47D7E" w:rsidRDefault="00FF6D1B" w:rsidP="002342CA">
            <w:pPr>
              <w:spacing w:after="0" w:line="240" w:lineRule="auto"/>
              <w:rPr>
                <w:rFonts w:ascii="Times New Roman" w:hAnsi="Times New Roman" w:cs="Times New Roman"/>
                <w:lang w:val="uk-UA"/>
              </w:rPr>
            </w:pPr>
          </w:p>
        </w:tc>
        <w:tc>
          <w:tcPr>
            <w:tcW w:w="14600" w:type="dxa"/>
            <w:gridSpan w:val="2"/>
          </w:tcPr>
          <w:p w14:paraId="282C44E0" w14:textId="2C8069FE" w:rsidR="00FF6D1B" w:rsidRPr="00DD57E1" w:rsidRDefault="00FF6D1B" w:rsidP="00BE5401">
            <w:pPr>
              <w:spacing w:after="0" w:line="240" w:lineRule="auto"/>
              <w:jc w:val="center"/>
              <w:rPr>
                <w:rFonts w:ascii="Times New Roman" w:hAnsi="Times New Roman" w:cs="Times New Roman"/>
                <w:b/>
                <w:sz w:val="24"/>
                <w:szCs w:val="24"/>
                <w:lang w:val="uk-UA"/>
              </w:rPr>
            </w:pPr>
            <w:r w:rsidRPr="00DD57E1">
              <w:rPr>
                <w:rFonts w:ascii="Times New Roman" w:eastAsia="Times New Roman" w:hAnsi="Times New Roman" w:cs="Times New Roman"/>
                <w:b/>
                <w:sz w:val="24"/>
                <w:szCs w:val="24"/>
                <w:shd w:val="clear" w:color="auto" w:fill="FFFFFF"/>
                <w:lang w:val="uk-UA" w:eastAsia="ru-RU"/>
              </w:rPr>
              <w:t>1. Загальні положення</w:t>
            </w:r>
          </w:p>
        </w:tc>
      </w:tr>
      <w:tr w:rsidR="002342CA" w:rsidRPr="00465AE2" w14:paraId="22E32966" w14:textId="77777777" w:rsidTr="007F584C">
        <w:tc>
          <w:tcPr>
            <w:tcW w:w="421" w:type="dxa"/>
          </w:tcPr>
          <w:p w14:paraId="0ABEAC7A"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6BCE48AC" w14:textId="6F44685B" w:rsidR="002342CA" w:rsidRPr="00FF6D1B" w:rsidRDefault="00FF6D1B" w:rsidP="00FF6D1B">
            <w:pPr>
              <w:spacing w:after="0"/>
              <w:ind w:firstLine="240"/>
              <w:jc w:val="both"/>
              <w:rPr>
                <w:rFonts w:ascii="Times New Roman" w:hAnsi="Times New Roman" w:cs="Times New Roman"/>
                <w:b/>
                <w:sz w:val="24"/>
                <w:szCs w:val="24"/>
                <w:lang w:val="uk-UA"/>
              </w:rPr>
            </w:pPr>
            <w:bookmarkStart w:id="0" w:name="8"/>
            <w:bookmarkEnd w:id="0"/>
            <w:r w:rsidRPr="00FF6D1B">
              <w:rPr>
                <w:rFonts w:ascii="Times New Roman" w:hAnsi="Times New Roman" w:cs="Times New Roman"/>
                <w:b/>
                <w:sz w:val="24"/>
                <w:szCs w:val="24"/>
                <w:lang w:val="uk-UA"/>
              </w:rPr>
              <w:t>…</w:t>
            </w:r>
          </w:p>
        </w:tc>
        <w:tc>
          <w:tcPr>
            <w:tcW w:w="7371" w:type="dxa"/>
          </w:tcPr>
          <w:p w14:paraId="3908D514" w14:textId="77777777" w:rsidR="002342CA" w:rsidRPr="00DD57E1" w:rsidRDefault="002342CA" w:rsidP="00FF6D1B">
            <w:pPr>
              <w:spacing w:after="0"/>
              <w:ind w:firstLine="240"/>
              <w:jc w:val="both"/>
              <w:rPr>
                <w:rFonts w:ascii="Times New Roman" w:hAnsi="Times New Roman" w:cs="Times New Roman"/>
                <w:b/>
                <w:highlight w:val="yellow"/>
                <w:lang w:val="uk-UA"/>
              </w:rPr>
            </w:pPr>
          </w:p>
        </w:tc>
      </w:tr>
      <w:tr w:rsidR="002342CA" w:rsidRPr="008D43C5" w14:paraId="52C9990F" w14:textId="77777777" w:rsidTr="007F584C">
        <w:tc>
          <w:tcPr>
            <w:tcW w:w="421" w:type="dxa"/>
          </w:tcPr>
          <w:p w14:paraId="7FB7EC51" w14:textId="77777777" w:rsidR="002342CA" w:rsidRPr="00C47D7E" w:rsidRDefault="002342CA" w:rsidP="002342CA">
            <w:pPr>
              <w:spacing w:after="0" w:line="240" w:lineRule="auto"/>
              <w:rPr>
                <w:rFonts w:ascii="Times New Roman" w:hAnsi="Times New Roman" w:cs="Times New Roman"/>
                <w:lang w:val="uk-UA"/>
              </w:rPr>
            </w:pPr>
          </w:p>
        </w:tc>
        <w:tc>
          <w:tcPr>
            <w:tcW w:w="14600" w:type="dxa"/>
            <w:gridSpan w:val="2"/>
          </w:tcPr>
          <w:p w14:paraId="4DF1DD74" w14:textId="77777777" w:rsidR="002342CA" w:rsidRPr="00DD57E1" w:rsidRDefault="002342CA" w:rsidP="00335D06">
            <w:pPr>
              <w:spacing w:after="0" w:line="240" w:lineRule="auto"/>
              <w:jc w:val="center"/>
              <w:rPr>
                <w:rFonts w:ascii="Times New Roman" w:hAnsi="Times New Roman" w:cs="Times New Roman"/>
                <w:lang w:val="uk-UA"/>
              </w:rPr>
            </w:pPr>
            <w:bookmarkStart w:id="1" w:name="18862"/>
            <w:r w:rsidRPr="00DD57E1">
              <w:rPr>
                <w:rFonts w:ascii="Times New Roman" w:eastAsia="Times New Roman" w:hAnsi="Times New Roman" w:cs="Times New Roman"/>
                <w:b/>
                <w:sz w:val="24"/>
                <w:szCs w:val="24"/>
                <w:shd w:val="clear" w:color="auto" w:fill="FFFFFF"/>
                <w:lang w:val="uk-UA" w:eastAsia="ru-RU"/>
              </w:rPr>
              <w:t>2. Вимоги до ПРСР та ІП</w:t>
            </w:r>
            <w:bookmarkEnd w:id="1"/>
          </w:p>
        </w:tc>
      </w:tr>
      <w:tr w:rsidR="002342CA" w:rsidRPr="00EE29FC" w14:paraId="609C5381" w14:textId="77777777" w:rsidTr="007F584C">
        <w:tc>
          <w:tcPr>
            <w:tcW w:w="421" w:type="dxa"/>
          </w:tcPr>
          <w:p w14:paraId="1B01C033"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2D371FA6" w14:textId="42263CC8" w:rsidR="002342CA" w:rsidRPr="007A6290" w:rsidRDefault="007A6290" w:rsidP="002342CA">
            <w:pPr>
              <w:spacing w:after="0" w:line="240" w:lineRule="auto"/>
              <w:ind w:firstLine="240"/>
              <w:jc w:val="both"/>
              <w:rPr>
                <w:rFonts w:ascii="Times New Roman" w:hAnsi="Times New Roman" w:cs="Times New Roman"/>
                <w:b/>
                <w:sz w:val="24"/>
                <w:szCs w:val="24"/>
                <w:lang w:val="uk-UA"/>
              </w:rPr>
            </w:pPr>
            <w:r w:rsidRPr="007A6290">
              <w:rPr>
                <w:rFonts w:ascii="Times New Roman" w:hAnsi="Times New Roman" w:cs="Times New Roman"/>
                <w:b/>
                <w:color w:val="000000"/>
                <w:sz w:val="24"/>
                <w:szCs w:val="24"/>
                <w:lang w:val="uk-UA"/>
              </w:rPr>
              <w:t>…</w:t>
            </w:r>
          </w:p>
        </w:tc>
        <w:tc>
          <w:tcPr>
            <w:tcW w:w="7371" w:type="dxa"/>
          </w:tcPr>
          <w:p w14:paraId="36C5E2D8" w14:textId="77777777" w:rsidR="002342CA" w:rsidRPr="00DD57E1" w:rsidRDefault="002342CA" w:rsidP="002342CA">
            <w:pPr>
              <w:spacing w:after="0" w:line="240" w:lineRule="auto"/>
              <w:rPr>
                <w:rFonts w:ascii="Times New Roman" w:hAnsi="Times New Roman" w:cs="Times New Roman"/>
                <w:lang w:val="uk-UA"/>
              </w:rPr>
            </w:pPr>
          </w:p>
        </w:tc>
      </w:tr>
      <w:tr w:rsidR="002342CA" w:rsidRPr="00C47D7E" w14:paraId="219C5AA6" w14:textId="77777777" w:rsidTr="007F584C">
        <w:tc>
          <w:tcPr>
            <w:tcW w:w="421" w:type="dxa"/>
          </w:tcPr>
          <w:p w14:paraId="683C704D"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71AD1E26"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2" w:name="18864"/>
            <w:r w:rsidRPr="00C47D7E">
              <w:rPr>
                <w:rFonts w:ascii="Times New Roman" w:hAnsi="Times New Roman" w:cs="Times New Roman"/>
                <w:color w:val="000000"/>
                <w:sz w:val="24"/>
                <w:szCs w:val="24"/>
                <w:lang w:val="uk-UA"/>
              </w:rPr>
              <w:t>2.2. ПРСР має містити, зокрема:</w:t>
            </w:r>
          </w:p>
          <w:bookmarkEnd w:id="2"/>
          <w:p w14:paraId="196A9264" w14:textId="7A9DF0FC" w:rsidR="002342CA" w:rsidRPr="00C47D7E" w:rsidRDefault="00D34373" w:rsidP="002342CA">
            <w:pPr>
              <w:spacing w:after="0" w:line="240" w:lineRule="auto"/>
              <w:ind w:firstLine="240"/>
              <w:jc w:val="both"/>
              <w:rPr>
                <w:rFonts w:ascii="Times New Roman" w:hAnsi="Times New Roman" w:cs="Times New Roman"/>
                <w:sz w:val="24"/>
                <w:szCs w:val="24"/>
                <w:lang w:val="uk-UA"/>
              </w:rPr>
            </w:pPr>
            <w:r>
              <w:rPr>
                <w:rFonts w:ascii="Times New Roman" w:hAnsi="Times New Roman" w:cs="Times New Roman"/>
                <w:color w:val="000000"/>
                <w:sz w:val="24"/>
                <w:szCs w:val="24"/>
                <w:lang w:val="uk-UA"/>
              </w:rPr>
              <w:t>…</w:t>
            </w:r>
          </w:p>
        </w:tc>
        <w:tc>
          <w:tcPr>
            <w:tcW w:w="7371" w:type="dxa"/>
          </w:tcPr>
          <w:p w14:paraId="287EC019" w14:textId="77777777" w:rsidR="002342CA" w:rsidRPr="00DD57E1" w:rsidRDefault="002342CA" w:rsidP="002342CA">
            <w:pPr>
              <w:spacing w:after="0" w:line="240" w:lineRule="auto"/>
              <w:rPr>
                <w:rFonts w:ascii="Times New Roman" w:hAnsi="Times New Roman" w:cs="Times New Roman"/>
                <w:lang w:val="uk-UA"/>
              </w:rPr>
            </w:pPr>
          </w:p>
        </w:tc>
      </w:tr>
      <w:tr w:rsidR="002342CA" w:rsidRPr="008D43C5" w14:paraId="1106E203" w14:textId="77777777" w:rsidTr="007F584C">
        <w:tc>
          <w:tcPr>
            <w:tcW w:w="421" w:type="dxa"/>
          </w:tcPr>
          <w:p w14:paraId="3C89ECA2" w14:textId="77777777" w:rsidR="002342CA" w:rsidRPr="00C47D7E" w:rsidRDefault="002342CA" w:rsidP="002342CA">
            <w:pPr>
              <w:spacing w:after="0" w:line="240" w:lineRule="auto"/>
              <w:rPr>
                <w:rFonts w:ascii="Times New Roman" w:hAnsi="Times New Roman" w:cs="Times New Roman"/>
                <w:lang w:val="uk-UA"/>
              </w:rPr>
            </w:pPr>
            <w:bookmarkStart w:id="3" w:name="_Hlk191988997"/>
          </w:p>
        </w:tc>
        <w:tc>
          <w:tcPr>
            <w:tcW w:w="7229" w:type="dxa"/>
          </w:tcPr>
          <w:p w14:paraId="1247D0A1"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4" w:name="18870"/>
            <w:r w:rsidRPr="00C47D7E">
              <w:rPr>
                <w:rFonts w:ascii="Times New Roman" w:hAnsi="Times New Roman" w:cs="Times New Roman"/>
                <w:color w:val="000000"/>
                <w:sz w:val="24"/>
                <w:szCs w:val="24"/>
                <w:lang w:val="uk-UA"/>
              </w:rPr>
              <w:t>8) пояснювальну записку з обґрунтуванням необхідності проведення робіт по кожному розділу ПРСР, яка, у тому числі, повинна містити:</w:t>
            </w:r>
          </w:p>
          <w:p w14:paraId="681B78CB"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5" w:name="18871"/>
            <w:bookmarkEnd w:id="4"/>
            <w:r w:rsidRPr="00C47D7E">
              <w:rPr>
                <w:rFonts w:ascii="Times New Roman" w:hAnsi="Times New Roman" w:cs="Times New Roman"/>
                <w:color w:val="000000"/>
                <w:sz w:val="24"/>
                <w:szCs w:val="24"/>
                <w:lang w:val="uk-UA"/>
              </w:rPr>
              <w:t>мету, обґрунтування необхідності та доцільності виконання запланованих заходів (робіт) у прогнозному періоді ПРСР;</w:t>
            </w:r>
          </w:p>
          <w:p w14:paraId="00F5E874"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6" w:name="18872"/>
            <w:bookmarkEnd w:id="5"/>
            <w:r w:rsidRPr="00C47D7E">
              <w:rPr>
                <w:rFonts w:ascii="Times New Roman" w:hAnsi="Times New Roman" w:cs="Times New Roman"/>
                <w:color w:val="000000"/>
                <w:sz w:val="24"/>
                <w:szCs w:val="24"/>
                <w:lang w:val="uk-UA"/>
              </w:rPr>
              <w:t>посилання на нормативно-правові акти, які регламентують необхідність виконання таких заходів (робіт);</w:t>
            </w:r>
          </w:p>
          <w:p w14:paraId="74E36269"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7" w:name="18873"/>
            <w:bookmarkEnd w:id="6"/>
            <w:r w:rsidRPr="00C47D7E">
              <w:rPr>
                <w:rFonts w:ascii="Times New Roman" w:hAnsi="Times New Roman" w:cs="Times New Roman"/>
                <w:color w:val="000000"/>
                <w:sz w:val="24"/>
                <w:szCs w:val="24"/>
                <w:lang w:val="uk-UA"/>
              </w:rPr>
              <w:t xml:space="preserve">інформацію про схвалену, затверджену, погоджену належним чином </w:t>
            </w:r>
            <w:proofErr w:type="spellStart"/>
            <w:r w:rsidRPr="00C47D7E">
              <w:rPr>
                <w:rFonts w:ascii="Times New Roman" w:hAnsi="Times New Roman" w:cs="Times New Roman"/>
                <w:color w:val="000000"/>
                <w:sz w:val="24"/>
                <w:szCs w:val="24"/>
                <w:lang w:val="uk-UA"/>
              </w:rPr>
              <w:t>проєктно</w:t>
            </w:r>
            <w:proofErr w:type="spellEnd"/>
            <w:r w:rsidRPr="00C47D7E">
              <w:rPr>
                <w:rFonts w:ascii="Times New Roman" w:hAnsi="Times New Roman" w:cs="Times New Roman"/>
                <w:color w:val="000000"/>
                <w:sz w:val="24"/>
                <w:szCs w:val="24"/>
                <w:lang w:val="uk-UA"/>
              </w:rPr>
              <w:t>-кошторисну документацію (за наявності);</w:t>
            </w:r>
          </w:p>
          <w:p w14:paraId="52433FCB"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8" w:name="18874"/>
            <w:bookmarkEnd w:id="7"/>
            <w:r w:rsidRPr="00C47D7E">
              <w:rPr>
                <w:rFonts w:ascii="Times New Roman" w:hAnsi="Times New Roman" w:cs="Times New Roman"/>
                <w:color w:val="000000"/>
                <w:sz w:val="24"/>
                <w:szCs w:val="24"/>
                <w:lang w:val="uk-UA"/>
              </w:rPr>
              <w:t xml:space="preserve">інформацію щодо проведення експертизи </w:t>
            </w:r>
            <w:proofErr w:type="spellStart"/>
            <w:r w:rsidRPr="00C47D7E">
              <w:rPr>
                <w:rFonts w:ascii="Times New Roman" w:hAnsi="Times New Roman" w:cs="Times New Roman"/>
                <w:color w:val="000000"/>
                <w:sz w:val="24"/>
                <w:szCs w:val="24"/>
                <w:lang w:val="uk-UA"/>
              </w:rPr>
              <w:t>проєктно</w:t>
            </w:r>
            <w:proofErr w:type="spellEnd"/>
            <w:r w:rsidRPr="00C47D7E">
              <w:rPr>
                <w:rFonts w:ascii="Times New Roman" w:hAnsi="Times New Roman" w:cs="Times New Roman"/>
                <w:color w:val="000000"/>
                <w:sz w:val="24"/>
                <w:szCs w:val="24"/>
                <w:lang w:val="uk-UA"/>
              </w:rPr>
              <w:t>-кошторисної документації (за наявності);</w:t>
            </w:r>
          </w:p>
          <w:p w14:paraId="78F33877" w14:textId="77777777" w:rsidR="002342CA" w:rsidRPr="005676C9" w:rsidRDefault="002342CA" w:rsidP="002342CA">
            <w:pPr>
              <w:spacing w:after="0" w:line="240" w:lineRule="auto"/>
              <w:ind w:firstLine="240"/>
              <w:jc w:val="both"/>
              <w:rPr>
                <w:rFonts w:ascii="Times New Roman" w:hAnsi="Times New Roman" w:cs="Times New Roman"/>
                <w:sz w:val="24"/>
                <w:szCs w:val="24"/>
                <w:lang w:val="uk-UA"/>
              </w:rPr>
            </w:pPr>
            <w:bookmarkStart w:id="9" w:name="18875"/>
            <w:bookmarkEnd w:id="8"/>
            <w:r w:rsidRPr="00C47D7E">
              <w:rPr>
                <w:rFonts w:ascii="Times New Roman" w:hAnsi="Times New Roman" w:cs="Times New Roman"/>
                <w:color w:val="000000"/>
                <w:sz w:val="24"/>
                <w:szCs w:val="24"/>
                <w:lang w:val="uk-UA"/>
              </w:rPr>
              <w:t xml:space="preserve">інформацію щодо заходів (робіт) із зазначенням їх етапів (обсягів) виконання, що заплановані до виконання у прогнозному періоді ПРСР (по заходах, що мають перехідний характер, зазначаються </w:t>
            </w:r>
            <w:r w:rsidRPr="00C47D7E">
              <w:rPr>
                <w:rFonts w:ascii="Times New Roman" w:hAnsi="Times New Roman" w:cs="Times New Roman"/>
                <w:color w:val="000000"/>
                <w:sz w:val="24"/>
                <w:szCs w:val="24"/>
                <w:lang w:val="uk-UA"/>
              </w:rPr>
              <w:lastRenderedPageBreak/>
              <w:t>етапи (обсяги) виконання за роками із урахуванням фактичного виконання).</w:t>
            </w:r>
            <w:bookmarkEnd w:id="9"/>
          </w:p>
        </w:tc>
        <w:tc>
          <w:tcPr>
            <w:tcW w:w="7371" w:type="dxa"/>
          </w:tcPr>
          <w:p w14:paraId="25CA38C0" w14:textId="4E2F91DD"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lastRenderedPageBreak/>
              <w:t xml:space="preserve">8) пояснювальну записку з обґрунтуванням необхідності проведення робіт по кожному розділу ПРСР, яка, у тому числі, повинна містити детальний опис кожного заходу, оформлений згідно з </w:t>
            </w:r>
            <w:r w:rsidR="002B1091" w:rsidRPr="00DD57E1">
              <w:rPr>
                <w:rFonts w:ascii="Times New Roman" w:hAnsi="Times New Roman" w:cs="Times New Roman"/>
                <w:b/>
                <w:sz w:val="24"/>
                <w:szCs w:val="24"/>
                <w:lang w:val="uk-UA"/>
              </w:rPr>
              <w:t xml:space="preserve">таблицею 23 </w:t>
            </w:r>
            <w:r w:rsidRPr="00DD57E1">
              <w:rPr>
                <w:rFonts w:ascii="Times New Roman" w:hAnsi="Times New Roman" w:cs="Times New Roman"/>
                <w:b/>
                <w:sz w:val="24"/>
                <w:szCs w:val="24"/>
                <w:lang w:val="uk-UA"/>
              </w:rPr>
              <w:t>додат</w:t>
            </w:r>
            <w:r w:rsidR="002B1091" w:rsidRPr="00DD57E1">
              <w:rPr>
                <w:rFonts w:ascii="Times New Roman" w:hAnsi="Times New Roman" w:cs="Times New Roman"/>
                <w:b/>
                <w:sz w:val="24"/>
                <w:szCs w:val="24"/>
                <w:lang w:val="uk-UA"/>
              </w:rPr>
              <w:t>ку</w:t>
            </w:r>
            <w:r w:rsidRPr="00DD57E1">
              <w:rPr>
                <w:rFonts w:ascii="Times New Roman" w:hAnsi="Times New Roman" w:cs="Times New Roman"/>
                <w:b/>
                <w:sz w:val="24"/>
                <w:szCs w:val="24"/>
                <w:lang w:val="uk-UA"/>
              </w:rPr>
              <w:t xml:space="preserve"> </w:t>
            </w:r>
            <w:r w:rsidR="002B1091" w:rsidRPr="00DD57E1">
              <w:rPr>
                <w:rFonts w:ascii="Times New Roman" w:hAnsi="Times New Roman" w:cs="Times New Roman"/>
                <w:b/>
                <w:sz w:val="24"/>
                <w:szCs w:val="24"/>
                <w:lang w:val="uk-UA"/>
              </w:rPr>
              <w:t>1</w:t>
            </w:r>
            <w:r w:rsidRPr="00DD57E1">
              <w:rPr>
                <w:rFonts w:ascii="Times New Roman" w:hAnsi="Times New Roman" w:cs="Times New Roman"/>
                <w:b/>
                <w:sz w:val="24"/>
                <w:szCs w:val="24"/>
                <w:lang w:val="uk-UA"/>
              </w:rPr>
              <w:t xml:space="preserve"> до цього Порядку </w:t>
            </w:r>
            <w:bookmarkStart w:id="10" w:name="_Hlk191991250"/>
            <w:r w:rsidRPr="00DD57E1">
              <w:rPr>
                <w:rFonts w:ascii="Times New Roman" w:hAnsi="Times New Roman" w:cs="Times New Roman"/>
                <w:b/>
                <w:sz w:val="24"/>
                <w:szCs w:val="24"/>
                <w:lang w:val="uk-UA"/>
              </w:rPr>
              <w:t xml:space="preserve">(із відповідним гіперпосиланням на цей опис у </w:t>
            </w:r>
            <w:r w:rsidR="008D43C5" w:rsidRPr="00DD57E1">
              <w:rPr>
                <w:rFonts w:ascii="Times New Roman" w:hAnsi="Times New Roman" w:cs="Times New Roman"/>
                <w:b/>
                <w:sz w:val="24"/>
                <w:szCs w:val="24"/>
                <w:lang w:val="uk-UA"/>
              </w:rPr>
              <w:t>графі</w:t>
            </w:r>
            <w:r w:rsidRPr="00DD57E1">
              <w:rPr>
                <w:rFonts w:ascii="Times New Roman" w:hAnsi="Times New Roman" w:cs="Times New Roman"/>
                <w:b/>
                <w:sz w:val="24"/>
                <w:szCs w:val="24"/>
                <w:lang w:val="uk-UA"/>
              </w:rPr>
              <w:t xml:space="preserve"> </w:t>
            </w:r>
            <w:bookmarkStart w:id="11" w:name="_Hlk191991232"/>
            <w:r w:rsidRPr="00DD57E1">
              <w:rPr>
                <w:rFonts w:ascii="Times New Roman" w:hAnsi="Times New Roman" w:cs="Times New Roman"/>
                <w:b/>
                <w:sz w:val="24"/>
                <w:szCs w:val="24"/>
                <w:lang w:val="uk-UA"/>
              </w:rPr>
              <w:t>25</w:t>
            </w:r>
            <w:r w:rsidR="00102F17" w:rsidRPr="00DD57E1">
              <w:rPr>
                <w:rFonts w:ascii="Times New Roman" w:hAnsi="Times New Roman" w:cs="Times New Roman"/>
                <w:b/>
                <w:sz w:val="24"/>
                <w:szCs w:val="24"/>
                <w:lang w:val="uk-UA"/>
              </w:rPr>
              <w:t>/41</w:t>
            </w:r>
            <w:r w:rsidRPr="00DD57E1">
              <w:rPr>
                <w:rFonts w:ascii="Times New Roman" w:hAnsi="Times New Roman" w:cs="Times New Roman"/>
                <w:b/>
                <w:sz w:val="24"/>
                <w:szCs w:val="24"/>
                <w:lang w:val="uk-UA"/>
              </w:rPr>
              <w:t xml:space="preserve"> таблиці 22</w:t>
            </w:r>
            <w:r w:rsidR="002D08AE" w:rsidRPr="00DD57E1">
              <w:rPr>
                <w:rFonts w:ascii="Times New Roman" w:hAnsi="Times New Roman" w:cs="Times New Roman"/>
                <w:b/>
                <w:sz w:val="24"/>
                <w:szCs w:val="24"/>
                <w:lang w:val="uk-UA"/>
              </w:rPr>
              <w:t>.1/22.2 П</w:t>
            </w:r>
            <w:r w:rsidRPr="00DD57E1">
              <w:rPr>
                <w:rFonts w:ascii="Times New Roman" w:hAnsi="Times New Roman" w:cs="Times New Roman"/>
                <w:b/>
                <w:sz w:val="24"/>
                <w:szCs w:val="24"/>
                <w:lang w:val="uk-UA"/>
              </w:rPr>
              <w:t>РСР</w:t>
            </w:r>
            <w:r w:rsidR="002D08AE" w:rsidRPr="00DD57E1">
              <w:rPr>
                <w:rFonts w:ascii="Times New Roman" w:hAnsi="Times New Roman" w:cs="Times New Roman"/>
                <w:b/>
                <w:sz w:val="24"/>
                <w:szCs w:val="24"/>
                <w:lang w:val="uk-UA"/>
              </w:rPr>
              <w:t xml:space="preserve"> відповідно</w:t>
            </w:r>
            <w:bookmarkEnd w:id="11"/>
            <w:r w:rsidRPr="00DD57E1">
              <w:rPr>
                <w:rFonts w:ascii="Times New Roman" w:hAnsi="Times New Roman" w:cs="Times New Roman"/>
                <w:b/>
                <w:sz w:val="24"/>
                <w:szCs w:val="24"/>
                <w:lang w:val="uk-UA"/>
              </w:rPr>
              <w:t xml:space="preserve">), </w:t>
            </w:r>
            <w:bookmarkEnd w:id="10"/>
            <w:r w:rsidRPr="00DD57E1">
              <w:rPr>
                <w:rFonts w:ascii="Times New Roman" w:hAnsi="Times New Roman" w:cs="Times New Roman"/>
                <w:b/>
                <w:sz w:val="24"/>
                <w:szCs w:val="24"/>
                <w:lang w:val="uk-UA"/>
              </w:rPr>
              <w:t>що включає, зокрема, таку інформацію:</w:t>
            </w:r>
          </w:p>
          <w:p w14:paraId="59EFD99E" w14:textId="77777777"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1) назву та порядковий номер заходу ПРСР відповідно до таблиці 22 додатка 1 до цього Порядку.</w:t>
            </w:r>
          </w:p>
          <w:p w14:paraId="617C6142" w14:textId="77777777"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2) характер робіт, що плануються до виконання (будівництво, реконструкція, технічне переоснащення), та запланований термін виконання цього заходу;</w:t>
            </w:r>
          </w:p>
          <w:p w14:paraId="7BABF92A" w14:textId="77777777"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3) пріоритетність заходу в межах розділу ПРСР із зазначенням основних критеріїв її визначення;</w:t>
            </w:r>
          </w:p>
          <w:p w14:paraId="0F82B872" w14:textId="77777777"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lastRenderedPageBreak/>
              <w:t>4) посилання на документи, що передбачають виконання заходу, зокрема: сторінку та пункт погодженої схеми перспективного розвитку (далі – СПР) (із зазначенням передбаченого терміну виконання заходу згідно СПР), План розвитку системи передачі, План заходів щодо підвищення достовірності даних для здійснення моніторингу якості послуг, програму модернізації вузлів обліку електричної енергії по точках комерційного обліку всіх типів, по яких оператор системи розподілу є стороною, відповідальною за точку комерційного обліку, яка погоджена Адміністратором комерційного обліку, та інші документи (концепції, програми, плани, нормативно-правові акти тощо);</w:t>
            </w:r>
          </w:p>
          <w:p w14:paraId="24EAAE61" w14:textId="77777777"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 xml:space="preserve">5) посилання на </w:t>
            </w:r>
            <w:proofErr w:type="spellStart"/>
            <w:r w:rsidRPr="00DD57E1">
              <w:rPr>
                <w:rFonts w:ascii="Times New Roman" w:hAnsi="Times New Roman" w:cs="Times New Roman"/>
                <w:b/>
                <w:sz w:val="24"/>
                <w:szCs w:val="24"/>
                <w:lang w:val="uk-UA"/>
              </w:rPr>
              <w:t>обґрунтовуючі</w:t>
            </w:r>
            <w:proofErr w:type="spellEnd"/>
            <w:r w:rsidRPr="00DD57E1">
              <w:rPr>
                <w:rFonts w:ascii="Times New Roman" w:hAnsi="Times New Roman" w:cs="Times New Roman"/>
                <w:b/>
                <w:sz w:val="24"/>
                <w:szCs w:val="24"/>
                <w:lang w:val="uk-UA"/>
              </w:rPr>
              <w:t xml:space="preserve"> матеріали, що підтверджують необхідність виконання заходу, зокрема:</w:t>
            </w:r>
          </w:p>
          <w:p w14:paraId="5A308538" w14:textId="3B2FBF6F"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акти, експертні звіти (висновки) щодо необхідності заміни відповідного обладнання, протоколи замірів (акти, відомості тощо), протоколи випробувань та вимірювань, розпорядчі документи органів державного нагляду/контролю та результати розгляду скарг, на підставі яких захід включено до ПРСР</w:t>
            </w:r>
            <w:r w:rsidR="0077582D" w:rsidRPr="00DD57E1">
              <w:rPr>
                <w:rFonts w:ascii="Times New Roman" w:hAnsi="Times New Roman" w:cs="Times New Roman"/>
                <w:b/>
                <w:sz w:val="24"/>
                <w:szCs w:val="24"/>
                <w:lang w:val="uk-UA"/>
              </w:rPr>
              <w:t>,</w:t>
            </w:r>
            <w:r w:rsidRPr="00DD57E1">
              <w:rPr>
                <w:rFonts w:ascii="Times New Roman" w:hAnsi="Times New Roman" w:cs="Times New Roman"/>
                <w:b/>
                <w:sz w:val="24"/>
                <w:szCs w:val="24"/>
                <w:lang w:val="uk-UA"/>
              </w:rPr>
              <w:t xml:space="preserve"> тощо;</w:t>
            </w:r>
          </w:p>
          <w:p w14:paraId="1273A836" w14:textId="77777777"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 xml:space="preserve">технічне завдання на </w:t>
            </w:r>
            <w:proofErr w:type="spellStart"/>
            <w:r w:rsidRPr="00DD57E1">
              <w:rPr>
                <w:rFonts w:ascii="Times New Roman" w:hAnsi="Times New Roman" w:cs="Times New Roman"/>
                <w:b/>
                <w:sz w:val="24"/>
                <w:szCs w:val="24"/>
                <w:lang w:val="uk-UA"/>
              </w:rPr>
              <w:t>проєктування</w:t>
            </w:r>
            <w:proofErr w:type="spellEnd"/>
            <w:r w:rsidRPr="00DD57E1">
              <w:rPr>
                <w:rFonts w:ascii="Times New Roman" w:hAnsi="Times New Roman" w:cs="Times New Roman"/>
                <w:b/>
                <w:sz w:val="24"/>
                <w:szCs w:val="24"/>
                <w:lang w:val="uk-UA"/>
              </w:rPr>
              <w:t>, затверджене в установленому порядку;</w:t>
            </w:r>
          </w:p>
          <w:p w14:paraId="7A08E48C" w14:textId="77777777"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 xml:space="preserve">схвалену, затверджену, погоджену належним чином </w:t>
            </w:r>
            <w:proofErr w:type="spellStart"/>
            <w:r w:rsidRPr="00DD57E1">
              <w:rPr>
                <w:rFonts w:ascii="Times New Roman" w:hAnsi="Times New Roman" w:cs="Times New Roman"/>
                <w:b/>
                <w:sz w:val="24"/>
                <w:szCs w:val="24"/>
                <w:lang w:val="uk-UA"/>
              </w:rPr>
              <w:t>проєктно</w:t>
            </w:r>
            <w:proofErr w:type="spellEnd"/>
            <w:r w:rsidRPr="00DD57E1">
              <w:rPr>
                <w:rFonts w:ascii="Times New Roman" w:hAnsi="Times New Roman" w:cs="Times New Roman"/>
                <w:b/>
                <w:sz w:val="24"/>
                <w:szCs w:val="24"/>
                <w:lang w:val="uk-UA"/>
              </w:rPr>
              <w:t>-кошторисну документацію та відповідний наказ про її затвердження із зазначенням відповідної кошторисної вартості</w:t>
            </w:r>
            <w:r w:rsidR="008F1767" w:rsidRPr="00DD57E1">
              <w:rPr>
                <w:rFonts w:ascii="Times New Roman" w:hAnsi="Times New Roman" w:cs="Times New Roman"/>
                <w:b/>
                <w:sz w:val="24"/>
                <w:szCs w:val="24"/>
                <w:lang w:val="uk-UA"/>
              </w:rPr>
              <w:t xml:space="preserve"> (за наявності)</w:t>
            </w:r>
            <w:r w:rsidRPr="00DD57E1">
              <w:rPr>
                <w:rFonts w:ascii="Times New Roman" w:hAnsi="Times New Roman" w:cs="Times New Roman"/>
                <w:b/>
                <w:sz w:val="24"/>
                <w:szCs w:val="24"/>
                <w:lang w:val="uk-UA"/>
              </w:rPr>
              <w:t>;</w:t>
            </w:r>
          </w:p>
          <w:p w14:paraId="4234D342" w14:textId="77777777"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 xml:space="preserve">експертний висновок щодо розгляду </w:t>
            </w:r>
            <w:proofErr w:type="spellStart"/>
            <w:r w:rsidRPr="00DD57E1">
              <w:rPr>
                <w:rFonts w:ascii="Times New Roman" w:hAnsi="Times New Roman" w:cs="Times New Roman"/>
                <w:b/>
                <w:sz w:val="24"/>
                <w:szCs w:val="24"/>
                <w:lang w:val="uk-UA"/>
              </w:rPr>
              <w:t>проєктно</w:t>
            </w:r>
            <w:proofErr w:type="spellEnd"/>
            <w:r w:rsidRPr="00DD57E1">
              <w:rPr>
                <w:rFonts w:ascii="Times New Roman" w:hAnsi="Times New Roman" w:cs="Times New Roman"/>
                <w:b/>
                <w:sz w:val="24"/>
                <w:szCs w:val="24"/>
                <w:lang w:val="uk-UA"/>
              </w:rPr>
              <w:t>-кошторисної документації із зазначенням відповідної кошторисної вартості;</w:t>
            </w:r>
          </w:p>
          <w:p w14:paraId="7F996350" w14:textId="77777777"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 xml:space="preserve">6) інформацію щодо існуючого технічного стану відповідних об'єктів та їх складових частин із зазначенням останньої дати проведення реконструкції/технічного переоснащення/відновлення/ремонтних робіт, терміну їх </w:t>
            </w:r>
            <w:r w:rsidRPr="00DD57E1">
              <w:rPr>
                <w:rFonts w:ascii="Times New Roman" w:hAnsi="Times New Roman" w:cs="Times New Roman"/>
                <w:b/>
                <w:sz w:val="24"/>
                <w:szCs w:val="24"/>
                <w:lang w:val="uk-UA"/>
              </w:rPr>
              <w:lastRenderedPageBreak/>
              <w:t>експлуатації, типу та характеристик згідно з технічними паспортами;</w:t>
            </w:r>
          </w:p>
          <w:p w14:paraId="3A83FA2F" w14:textId="77777777"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7) обґрунтування необхідності та доцільності виконання заходу ПРСР, що, зокрема, має містити:</w:t>
            </w:r>
          </w:p>
          <w:p w14:paraId="7421BC4E" w14:textId="77777777"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відповідні графічні дані щодо розрахунків режимів, карт-схем до та після реалізації запланованих робіт, схемних рішень тощо (у разі зміни схемних рішень);</w:t>
            </w:r>
          </w:p>
          <w:p w14:paraId="4D41F75E" w14:textId="77777777"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 xml:space="preserve"> опис очікуваного результату виконання цього заходу;</w:t>
            </w:r>
          </w:p>
          <w:p w14:paraId="76BBB4E0" w14:textId="77777777"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 xml:space="preserve"> інші графічні та табличні дані, що </w:t>
            </w:r>
            <w:proofErr w:type="spellStart"/>
            <w:r w:rsidRPr="00DD57E1">
              <w:rPr>
                <w:rFonts w:ascii="Times New Roman" w:hAnsi="Times New Roman" w:cs="Times New Roman"/>
                <w:b/>
                <w:sz w:val="24"/>
                <w:szCs w:val="24"/>
                <w:lang w:val="uk-UA"/>
              </w:rPr>
              <w:t>візуалізують</w:t>
            </w:r>
            <w:proofErr w:type="spellEnd"/>
            <w:r w:rsidRPr="00DD57E1">
              <w:rPr>
                <w:rFonts w:ascii="Times New Roman" w:hAnsi="Times New Roman" w:cs="Times New Roman"/>
                <w:b/>
                <w:sz w:val="24"/>
                <w:szCs w:val="24"/>
                <w:lang w:val="uk-UA"/>
              </w:rPr>
              <w:t>/підтверджують необхідність та доцільність виконання заходу;</w:t>
            </w:r>
          </w:p>
          <w:p w14:paraId="1A16EC83" w14:textId="77777777"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 xml:space="preserve">8) опис робіт із зазначенням фізичних обсягів та вартості, що заплановані до виконання у прогнозному періоді, та основних техніко-економічних показників </w:t>
            </w:r>
            <w:proofErr w:type="spellStart"/>
            <w:r w:rsidRPr="00DD57E1">
              <w:rPr>
                <w:rFonts w:ascii="Times New Roman" w:hAnsi="Times New Roman" w:cs="Times New Roman"/>
                <w:b/>
                <w:sz w:val="24"/>
                <w:szCs w:val="24"/>
                <w:lang w:val="uk-UA"/>
              </w:rPr>
              <w:t>проєктно</w:t>
            </w:r>
            <w:proofErr w:type="spellEnd"/>
            <w:r w:rsidRPr="00DD57E1">
              <w:rPr>
                <w:rFonts w:ascii="Times New Roman" w:hAnsi="Times New Roman" w:cs="Times New Roman"/>
                <w:b/>
                <w:sz w:val="24"/>
                <w:szCs w:val="24"/>
                <w:lang w:val="uk-UA"/>
              </w:rPr>
              <w:t>-кошторисної документації (</w:t>
            </w:r>
            <w:r w:rsidR="007A4377" w:rsidRPr="00DD57E1">
              <w:rPr>
                <w:rFonts w:ascii="Times New Roman" w:hAnsi="Times New Roman" w:cs="Times New Roman"/>
                <w:b/>
                <w:sz w:val="24"/>
                <w:szCs w:val="24"/>
                <w:lang w:val="uk-UA"/>
              </w:rPr>
              <w:t xml:space="preserve">за </w:t>
            </w:r>
            <w:r w:rsidRPr="00DD57E1">
              <w:rPr>
                <w:rFonts w:ascii="Times New Roman" w:hAnsi="Times New Roman" w:cs="Times New Roman"/>
                <w:b/>
                <w:sz w:val="24"/>
                <w:szCs w:val="24"/>
                <w:lang w:val="uk-UA"/>
              </w:rPr>
              <w:t xml:space="preserve">наявності) (із зазначенням, зокрема, типу та кількості основного обладнання та матеріалів, що плануються до заміни/встановлення). </w:t>
            </w:r>
          </w:p>
          <w:p w14:paraId="7C7C303B" w14:textId="77777777"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 xml:space="preserve">По заходах, що передбачають демонтаж обладнання/матеріалів, необхідно зазначати інформацію щодо кількості обладнання/матеріалів, що підлягає демонтажу згідно з актами технічного стану, відповідно до розробленої </w:t>
            </w:r>
            <w:proofErr w:type="spellStart"/>
            <w:r w:rsidRPr="00DD57E1">
              <w:rPr>
                <w:rFonts w:ascii="Times New Roman" w:hAnsi="Times New Roman" w:cs="Times New Roman"/>
                <w:b/>
                <w:sz w:val="24"/>
                <w:szCs w:val="24"/>
                <w:lang w:val="uk-UA"/>
              </w:rPr>
              <w:t>проєктно</w:t>
            </w:r>
            <w:proofErr w:type="spellEnd"/>
            <w:r w:rsidRPr="00DD57E1">
              <w:rPr>
                <w:rFonts w:ascii="Times New Roman" w:hAnsi="Times New Roman" w:cs="Times New Roman"/>
                <w:b/>
                <w:sz w:val="24"/>
                <w:szCs w:val="24"/>
                <w:lang w:val="uk-UA"/>
              </w:rPr>
              <w:t xml:space="preserve">-кошторисної документації (за наявності) та кількості обладнання/матеріалів, що пропонується до встановлення на заміну демонтованих, із зазначенням інформації щодо подальшого застосування обладнання, що демонтується з причин, не пов'язаних із незадовільним технічним станом. </w:t>
            </w:r>
          </w:p>
          <w:p w14:paraId="274148E8" w14:textId="77777777" w:rsidR="006A0952" w:rsidRPr="00DD57E1" w:rsidRDefault="002342CA" w:rsidP="006A0952">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 xml:space="preserve">По заходах, що мають перехідний характер, також зазначаються етапи виконання (план-графік, діаграма </w:t>
            </w:r>
            <w:proofErr w:type="spellStart"/>
            <w:r w:rsidRPr="00DD57E1">
              <w:rPr>
                <w:rFonts w:ascii="Times New Roman" w:hAnsi="Times New Roman" w:cs="Times New Roman"/>
                <w:b/>
                <w:sz w:val="24"/>
                <w:szCs w:val="24"/>
                <w:lang w:val="uk-UA"/>
              </w:rPr>
              <w:t>Ганта</w:t>
            </w:r>
            <w:proofErr w:type="spellEnd"/>
            <w:r w:rsidRPr="00DD57E1">
              <w:rPr>
                <w:rFonts w:ascii="Times New Roman" w:hAnsi="Times New Roman" w:cs="Times New Roman"/>
                <w:b/>
                <w:sz w:val="24"/>
                <w:szCs w:val="24"/>
                <w:lang w:val="uk-UA"/>
              </w:rPr>
              <w:t xml:space="preserve">), фізичні обсяги та фінансування по роках із урахуванням фактичного виконання). </w:t>
            </w:r>
          </w:p>
          <w:p w14:paraId="6EF292E2" w14:textId="43460301" w:rsidR="002342CA" w:rsidRPr="00DD57E1" w:rsidRDefault="006A0952" w:rsidP="006A0952">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 xml:space="preserve">9) для </w:t>
            </w:r>
            <w:r w:rsidR="00B27614" w:rsidRPr="00DD57E1">
              <w:rPr>
                <w:rFonts w:ascii="Times New Roman" w:hAnsi="Times New Roman" w:cs="Times New Roman"/>
                <w:b/>
                <w:sz w:val="24"/>
                <w:szCs w:val="24"/>
                <w:lang w:val="uk-UA"/>
              </w:rPr>
              <w:t>окремих заход</w:t>
            </w:r>
            <w:r w:rsidR="00CC456D" w:rsidRPr="00DD57E1">
              <w:rPr>
                <w:rFonts w:ascii="Times New Roman" w:hAnsi="Times New Roman" w:cs="Times New Roman"/>
                <w:b/>
                <w:sz w:val="24"/>
                <w:szCs w:val="24"/>
                <w:lang w:val="uk-UA"/>
              </w:rPr>
              <w:t>ів</w:t>
            </w:r>
            <w:r w:rsidR="00B27614" w:rsidRPr="00DD57E1">
              <w:rPr>
                <w:rFonts w:ascii="Times New Roman" w:hAnsi="Times New Roman" w:cs="Times New Roman"/>
                <w:b/>
                <w:sz w:val="24"/>
                <w:szCs w:val="24"/>
                <w:lang w:val="uk-UA"/>
              </w:rPr>
              <w:t xml:space="preserve"> </w:t>
            </w:r>
            <w:r w:rsidR="002342CA" w:rsidRPr="00DD57E1">
              <w:rPr>
                <w:rFonts w:ascii="Times New Roman" w:hAnsi="Times New Roman" w:cs="Times New Roman"/>
                <w:b/>
                <w:sz w:val="24"/>
                <w:szCs w:val="24"/>
                <w:lang w:val="uk-UA"/>
              </w:rPr>
              <w:t>зазначаються відповідні цілі та показники (індикатори), що будуть досягнуті за результатом їх виконання;</w:t>
            </w:r>
          </w:p>
          <w:p w14:paraId="6AF9ED06" w14:textId="7597F253" w:rsidR="002342CA" w:rsidRPr="00DD57E1" w:rsidRDefault="006A0952"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lastRenderedPageBreak/>
              <w:t>10</w:t>
            </w:r>
            <w:r w:rsidR="002342CA" w:rsidRPr="00DD57E1">
              <w:rPr>
                <w:rFonts w:ascii="Times New Roman" w:hAnsi="Times New Roman" w:cs="Times New Roman"/>
                <w:b/>
                <w:sz w:val="24"/>
                <w:szCs w:val="24"/>
                <w:lang w:val="uk-UA"/>
              </w:rPr>
              <w:t>) опис та розрахунок запланованого економічного ефекту від впровадження заходу (робіт).</w:t>
            </w:r>
          </w:p>
        </w:tc>
      </w:tr>
      <w:bookmarkEnd w:id="3"/>
      <w:tr w:rsidR="002342CA" w:rsidRPr="007A6290" w14:paraId="020DC357" w14:textId="77777777" w:rsidTr="007F584C">
        <w:tc>
          <w:tcPr>
            <w:tcW w:w="421" w:type="dxa"/>
          </w:tcPr>
          <w:p w14:paraId="5019570B"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772D258C" w14:textId="4FD8E788" w:rsidR="002342CA" w:rsidRPr="00A328C9" w:rsidRDefault="00A328C9" w:rsidP="002342CA">
            <w:pPr>
              <w:spacing w:after="0" w:line="240" w:lineRule="auto"/>
              <w:ind w:firstLine="240"/>
              <w:jc w:val="both"/>
              <w:rPr>
                <w:rFonts w:ascii="Times New Roman" w:hAnsi="Times New Roman" w:cs="Times New Roman"/>
                <w:b/>
                <w:sz w:val="24"/>
                <w:szCs w:val="24"/>
                <w:lang w:val="uk-UA"/>
              </w:rPr>
            </w:pPr>
            <w:r w:rsidRPr="00A328C9">
              <w:rPr>
                <w:rFonts w:ascii="Times New Roman" w:hAnsi="Times New Roman" w:cs="Times New Roman"/>
                <w:b/>
                <w:color w:val="000000"/>
                <w:sz w:val="24"/>
                <w:szCs w:val="24"/>
                <w:lang w:val="uk-UA"/>
              </w:rPr>
              <w:t>…</w:t>
            </w:r>
          </w:p>
        </w:tc>
        <w:tc>
          <w:tcPr>
            <w:tcW w:w="7371" w:type="dxa"/>
          </w:tcPr>
          <w:p w14:paraId="1A0662EC" w14:textId="77777777" w:rsidR="002342CA" w:rsidRPr="00DD57E1" w:rsidRDefault="002342CA" w:rsidP="002342CA">
            <w:pPr>
              <w:spacing w:after="0" w:line="240" w:lineRule="auto"/>
              <w:rPr>
                <w:rFonts w:ascii="Times New Roman" w:hAnsi="Times New Roman" w:cs="Times New Roman"/>
                <w:lang w:val="uk-UA"/>
              </w:rPr>
            </w:pPr>
          </w:p>
        </w:tc>
      </w:tr>
      <w:tr w:rsidR="002342CA" w:rsidRPr="008D43C5" w14:paraId="52021539" w14:textId="77777777" w:rsidTr="007F584C">
        <w:tc>
          <w:tcPr>
            <w:tcW w:w="421" w:type="dxa"/>
          </w:tcPr>
          <w:p w14:paraId="0AB0E0A3"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3EA6735B"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12" w:name="18880"/>
            <w:r w:rsidRPr="00C47D7E">
              <w:rPr>
                <w:rFonts w:ascii="Times New Roman" w:hAnsi="Times New Roman" w:cs="Times New Roman"/>
                <w:color w:val="000000"/>
                <w:sz w:val="24"/>
                <w:szCs w:val="24"/>
                <w:lang w:val="uk-UA"/>
              </w:rPr>
              <w:t>2.7. Оператор системи розподілу формує джерела фінансування ПРСР та ІП з таких статей:</w:t>
            </w:r>
          </w:p>
          <w:p w14:paraId="12A42EFF"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13" w:name="18881"/>
            <w:bookmarkEnd w:id="12"/>
            <w:r w:rsidRPr="00C47D7E">
              <w:rPr>
                <w:rFonts w:ascii="Times New Roman" w:hAnsi="Times New Roman" w:cs="Times New Roman"/>
                <w:color w:val="000000"/>
                <w:sz w:val="24"/>
                <w:szCs w:val="24"/>
                <w:lang w:val="uk-UA"/>
              </w:rPr>
              <w:t>амортизація;</w:t>
            </w:r>
          </w:p>
          <w:p w14:paraId="3FABA44F"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14" w:name="18882"/>
            <w:bookmarkEnd w:id="13"/>
            <w:r w:rsidRPr="00C47D7E">
              <w:rPr>
                <w:rFonts w:ascii="Times New Roman" w:hAnsi="Times New Roman" w:cs="Times New Roman"/>
                <w:color w:val="000000"/>
                <w:sz w:val="24"/>
                <w:szCs w:val="24"/>
                <w:lang w:val="uk-UA"/>
              </w:rPr>
              <w:t>прибуток на виробничі інвестиції або прибуток (обов'язкові реінвестиції);</w:t>
            </w:r>
          </w:p>
          <w:p w14:paraId="36CB42F7"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15" w:name="18883"/>
            <w:bookmarkEnd w:id="14"/>
            <w:r w:rsidRPr="00C47D7E">
              <w:rPr>
                <w:rFonts w:ascii="Times New Roman" w:hAnsi="Times New Roman" w:cs="Times New Roman"/>
                <w:color w:val="000000"/>
                <w:sz w:val="24"/>
                <w:szCs w:val="24"/>
                <w:lang w:val="uk-UA"/>
              </w:rPr>
              <w:t xml:space="preserve">запланований обсяг надходжень за </w:t>
            </w:r>
            <w:proofErr w:type="spellStart"/>
            <w:r w:rsidRPr="00C47D7E">
              <w:rPr>
                <w:rFonts w:ascii="Times New Roman" w:hAnsi="Times New Roman" w:cs="Times New Roman"/>
                <w:color w:val="000000"/>
                <w:sz w:val="24"/>
                <w:szCs w:val="24"/>
                <w:lang w:val="uk-UA"/>
              </w:rPr>
              <w:t>перетоки</w:t>
            </w:r>
            <w:proofErr w:type="spellEnd"/>
            <w:r w:rsidRPr="00C47D7E">
              <w:rPr>
                <w:rFonts w:ascii="Times New Roman" w:hAnsi="Times New Roman" w:cs="Times New Roman"/>
                <w:color w:val="000000"/>
                <w:sz w:val="24"/>
                <w:szCs w:val="24"/>
                <w:lang w:val="uk-UA"/>
              </w:rPr>
              <w:t xml:space="preserve"> реактивної електричної енергії;</w:t>
            </w:r>
          </w:p>
          <w:p w14:paraId="2ED4D686"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16" w:name="18884"/>
            <w:bookmarkEnd w:id="15"/>
            <w:r w:rsidRPr="00C47D7E">
              <w:rPr>
                <w:rFonts w:ascii="Times New Roman" w:hAnsi="Times New Roman" w:cs="Times New Roman"/>
                <w:color w:val="000000"/>
                <w:sz w:val="24"/>
                <w:szCs w:val="24"/>
                <w:lang w:val="uk-UA"/>
              </w:rPr>
              <w:t xml:space="preserve">частина від запланованого на прогнозний період обсягу прибутку, пов'язаного зі зменшенням фактичних технологічних витрат електричної енергії (для операторів систем розподілу, до яких застосовується методологія </w:t>
            </w:r>
            <w:proofErr w:type="spellStart"/>
            <w:r w:rsidRPr="00C47D7E">
              <w:rPr>
                <w:rFonts w:ascii="Times New Roman" w:hAnsi="Times New Roman" w:cs="Times New Roman"/>
                <w:color w:val="000000"/>
                <w:sz w:val="24"/>
                <w:szCs w:val="24"/>
                <w:lang w:val="uk-UA"/>
              </w:rPr>
              <w:t>тарифоутворення</w:t>
            </w:r>
            <w:proofErr w:type="spellEnd"/>
            <w:r w:rsidRPr="00C47D7E">
              <w:rPr>
                <w:rFonts w:ascii="Times New Roman" w:hAnsi="Times New Roman" w:cs="Times New Roman"/>
                <w:color w:val="000000"/>
                <w:sz w:val="24"/>
                <w:szCs w:val="24"/>
                <w:lang w:val="uk-UA"/>
              </w:rPr>
              <w:t xml:space="preserve"> "витрати +"), що виникають при її розподілі електричними мережами, порівняно з прогнозованими, розрахованого за фактичним балансом електричної енергії попереднього періоду та прогнозною ціною закупівлі технологічних витрат електричної енергії у прогнозному періоді. Фактичний баланс електричної енергії попереднього періоду розраховується відповідно до фактичних даних, наданих у формі звітності N 2а-НКРЕКП-розподіл електричної енергії (місячна) "Звітні дані про обсяги розподілу електричної енергії та технологічні витрати електричної енергії за 1 та 2 класами напруги", затвердженої постановою НКРЕКП від 28 лютого 2019 року N 282, за друге півріччя року, який передує базовому, та перше півріччя базового року (далі - дохід від небалансу ТВЕ).</w:t>
            </w:r>
          </w:p>
          <w:p w14:paraId="6154F505" w14:textId="77777777" w:rsidR="00CA4EF5" w:rsidRDefault="00CA4EF5" w:rsidP="002342CA">
            <w:pPr>
              <w:spacing w:after="0" w:line="240" w:lineRule="auto"/>
              <w:ind w:firstLine="240"/>
              <w:jc w:val="both"/>
              <w:rPr>
                <w:rFonts w:ascii="Times New Roman" w:hAnsi="Times New Roman" w:cs="Times New Roman"/>
                <w:color w:val="000000"/>
                <w:sz w:val="24"/>
                <w:szCs w:val="24"/>
                <w:lang w:val="uk-UA"/>
              </w:rPr>
            </w:pPr>
            <w:bookmarkStart w:id="17" w:name="18885"/>
            <w:bookmarkEnd w:id="16"/>
          </w:p>
          <w:p w14:paraId="46507566" w14:textId="77777777" w:rsidR="00CA4EF5" w:rsidRDefault="00CA4EF5" w:rsidP="002342CA">
            <w:pPr>
              <w:spacing w:after="0" w:line="240" w:lineRule="auto"/>
              <w:ind w:firstLine="240"/>
              <w:jc w:val="both"/>
              <w:rPr>
                <w:rFonts w:ascii="Times New Roman" w:hAnsi="Times New Roman" w:cs="Times New Roman"/>
                <w:color w:val="000000"/>
                <w:sz w:val="24"/>
                <w:szCs w:val="24"/>
                <w:lang w:val="uk-UA"/>
              </w:rPr>
            </w:pPr>
          </w:p>
          <w:p w14:paraId="36368F86" w14:textId="488235A2" w:rsidR="002342CA" w:rsidRPr="00C47D7E" w:rsidRDefault="002342CA" w:rsidP="002342CA">
            <w:pPr>
              <w:spacing w:after="0" w:line="240" w:lineRule="auto"/>
              <w:ind w:firstLine="240"/>
              <w:jc w:val="both"/>
              <w:rPr>
                <w:rFonts w:ascii="Times New Roman" w:hAnsi="Times New Roman" w:cs="Times New Roman"/>
                <w:sz w:val="24"/>
                <w:szCs w:val="24"/>
                <w:lang w:val="uk-UA"/>
              </w:rPr>
            </w:pPr>
            <w:r w:rsidRPr="00C47D7E">
              <w:rPr>
                <w:rFonts w:ascii="Times New Roman" w:hAnsi="Times New Roman" w:cs="Times New Roman"/>
                <w:color w:val="000000"/>
                <w:sz w:val="24"/>
                <w:szCs w:val="24"/>
                <w:lang w:val="uk-UA"/>
              </w:rPr>
              <w:t xml:space="preserve">Додатковими джерелами фінансування ПРСР/ІП можуть бути: прибуток (додаткові реінвестиції), плата за приєднання, залучені кошти (кредити, фінансова допомога), кошти, отримані від здійснення діяльності, пов'язаної та не пов'язаної з розподілом </w:t>
            </w:r>
            <w:r w:rsidRPr="00C47D7E">
              <w:rPr>
                <w:rFonts w:ascii="Times New Roman" w:hAnsi="Times New Roman" w:cs="Times New Roman"/>
                <w:color w:val="000000"/>
                <w:sz w:val="24"/>
                <w:szCs w:val="24"/>
                <w:lang w:val="uk-UA"/>
              </w:rPr>
              <w:lastRenderedPageBreak/>
              <w:t>електричної енергії, дохід від небалансу ТВЕ, прибуток від надання послуг комерційного обліку електричної енергії та інші джерела відповідно до вимог чинного законодавства.</w:t>
            </w:r>
            <w:bookmarkEnd w:id="17"/>
          </w:p>
        </w:tc>
        <w:tc>
          <w:tcPr>
            <w:tcW w:w="7371" w:type="dxa"/>
          </w:tcPr>
          <w:p w14:paraId="7F780A9A" w14:textId="77777777" w:rsidR="00CA4EF5" w:rsidRPr="00DD57E1" w:rsidRDefault="00CA4EF5" w:rsidP="00CA4EF5">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lastRenderedPageBreak/>
              <w:t>2.7. Оператор системи розподілу формує джерела фінансування ПРСР та ІП з таких статей:</w:t>
            </w:r>
          </w:p>
          <w:p w14:paraId="3B3BA511" w14:textId="77777777" w:rsidR="00CA4EF5" w:rsidRPr="00DD57E1" w:rsidRDefault="00CA4EF5" w:rsidP="00CA4EF5">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амортизація;</w:t>
            </w:r>
          </w:p>
          <w:p w14:paraId="7A383F09" w14:textId="77777777" w:rsidR="00CA4EF5" w:rsidRPr="00DD57E1" w:rsidRDefault="00CA4EF5" w:rsidP="00CA4EF5">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прибуток на виробничі інвестиції або прибуток (обов'язкові реінвестиції);</w:t>
            </w:r>
          </w:p>
          <w:p w14:paraId="5AD72F82" w14:textId="77777777" w:rsidR="00CA4EF5" w:rsidRPr="00DD57E1" w:rsidRDefault="00CA4EF5" w:rsidP="00CA4EF5">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 xml:space="preserve">запланований обсяг надходжень за </w:t>
            </w:r>
            <w:proofErr w:type="spellStart"/>
            <w:r w:rsidRPr="00DD57E1">
              <w:rPr>
                <w:rFonts w:ascii="Times New Roman" w:hAnsi="Times New Roman" w:cs="Times New Roman"/>
                <w:sz w:val="24"/>
                <w:szCs w:val="24"/>
                <w:lang w:val="uk-UA"/>
              </w:rPr>
              <w:t>перетоки</w:t>
            </w:r>
            <w:proofErr w:type="spellEnd"/>
            <w:r w:rsidRPr="00DD57E1">
              <w:rPr>
                <w:rFonts w:ascii="Times New Roman" w:hAnsi="Times New Roman" w:cs="Times New Roman"/>
                <w:sz w:val="24"/>
                <w:szCs w:val="24"/>
                <w:lang w:val="uk-UA"/>
              </w:rPr>
              <w:t xml:space="preserve"> реактивної електричної енергії;</w:t>
            </w:r>
          </w:p>
          <w:p w14:paraId="37F4CA64" w14:textId="35D18ADC" w:rsidR="00CA4EF5" w:rsidRPr="00DD57E1" w:rsidRDefault="00CA4EF5" w:rsidP="00CA4EF5">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 xml:space="preserve">частина від запланованого на прогнозний період обсягу прибутку, пов'язаного зі зменшенням фактичних технологічних витрат електричної енергії (для операторів систем розподілу, до яких застосовується методологія </w:t>
            </w:r>
            <w:proofErr w:type="spellStart"/>
            <w:r w:rsidRPr="00DD57E1">
              <w:rPr>
                <w:rFonts w:ascii="Times New Roman" w:hAnsi="Times New Roman" w:cs="Times New Roman"/>
                <w:sz w:val="24"/>
                <w:szCs w:val="24"/>
                <w:lang w:val="uk-UA"/>
              </w:rPr>
              <w:t>тарифоутворення</w:t>
            </w:r>
            <w:proofErr w:type="spellEnd"/>
            <w:r w:rsidRPr="00DD57E1">
              <w:rPr>
                <w:rFonts w:ascii="Times New Roman" w:hAnsi="Times New Roman" w:cs="Times New Roman"/>
                <w:sz w:val="24"/>
                <w:szCs w:val="24"/>
                <w:lang w:val="uk-UA"/>
              </w:rPr>
              <w:t xml:space="preserve"> "витрати +"), що виникають при її розподілі електричними мережами, порівняно з прогнозованими, розрахованого за фактичним балансом електричної енергії попереднього періоду та прогнозною ціною закупівлі технологічних витрат електричної енергії у прогнозному періоді. Фактичний баланс електричної енергії попереднього періоду розраховується відповідно до фактичних даних, наданих у формі звітності N 2а-НКРЕКП-розподіл електричної енергії (місячна) "Звітні дані про обсяги розподілу електричної енергії та технологічні витрати електричної енергії за 1 та 2 класами напруги", затвердженої постановою НКРЕКП від 28 лютого 2019 року N 282, за друге півріччя року, який передує базовому, та перше півріччя базового року (далі - дохід від небалансу ТВЕ).</w:t>
            </w:r>
          </w:p>
          <w:p w14:paraId="624D9351" w14:textId="77777777" w:rsidR="00CA4EF5" w:rsidRPr="00DD57E1" w:rsidRDefault="00CA4EF5" w:rsidP="00D73B6D">
            <w:pPr>
              <w:jc w:val="both"/>
              <w:rPr>
                <w:rFonts w:ascii="Times New Roman" w:hAnsi="Times New Roman" w:cs="Times New Roman"/>
                <w:sz w:val="24"/>
                <w:szCs w:val="24"/>
                <w:lang w:val="uk-UA"/>
              </w:rPr>
            </w:pPr>
          </w:p>
          <w:p w14:paraId="0A3C9A8F" w14:textId="6AE15A2E" w:rsidR="002342CA" w:rsidRPr="00DD57E1" w:rsidRDefault="00CD067D" w:rsidP="00D73B6D">
            <w:pPr>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 xml:space="preserve">Додатковими джерелами фінансування ПРСР/ІП можуть бути: прибуток (додаткові реінвестиції), плата за приєднання, залучені кошти </w:t>
            </w:r>
            <w:r w:rsidRPr="00DD57E1">
              <w:rPr>
                <w:rFonts w:ascii="Times New Roman" w:hAnsi="Times New Roman" w:cs="Times New Roman"/>
                <w:b/>
                <w:strike/>
                <w:sz w:val="24"/>
                <w:szCs w:val="24"/>
                <w:lang w:val="uk-UA"/>
              </w:rPr>
              <w:t>(кредити, фінансова допомога)</w:t>
            </w:r>
            <w:r w:rsidRPr="00DD57E1">
              <w:rPr>
                <w:rFonts w:ascii="Times New Roman" w:hAnsi="Times New Roman" w:cs="Times New Roman"/>
                <w:sz w:val="24"/>
                <w:szCs w:val="24"/>
                <w:lang w:val="uk-UA"/>
              </w:rPr>
              <w:t xml:space="preserve">, кошти, отримані від </w:t>
            </w:r>
            <w:r w:rsidRPr="00DD57E1">
              <w:rPr>
                <w:rFonts w:ascii="Times New Roman" w:hAnsi="Times New Roman" w:cs="Times New Roman"/>
                <w:sz w:val="24"/>
                <w:szCs w:val="24"/>
                <w:lang w:val="uk-UA"/>
              </w:rPr>
              <w:lastRenderedPageBreak/>
              <w:t>здійснення діяльності, пов'язаної та не пов'язаної з розподілом електричної енергії, дохід від небалансу ТВЕ, прибуток від надання послуг комерційного обліку електричної енергії та інші джерела відповідно до вимог чинного законодавства.</w:t>
            </w:r>
          </w:p>
        </w:tc>
      </w:tr>
      <w:tr w:rsidR="002342CA" w:rsidRPr="008D43C5" w14:paraId="0D3CC59A" w14:textId="77777777" w:rsidTr="007F584C">
        <w:tc>
          <w:tcPr>
            <w:tcW w:w="421" w:type="dxa"/>
          </w:tcPr>
          <w:p w14:paraId="34F50B2B"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37BA33D5"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18" w:name="18886"/>
            <w:r w:rsidRPr="00C47D7E">
              <w:rPr>
                <w:rFonts w:ascii="Times New Roman" w:hAnsi="Times New Roman" w:cs="Times New Roman"/>
                <w:color w:val="000000"/>
                <w:sz w:val="24"/>
                <w:szCs w:val="24"/>
                <w:lang w:val="uk-UA"/>
              </w:rPr>
              <w:t>2.8. Оператор системи розподілу формує ІП відповідно до розділів, визначених цим Порядком, із зазначенням обсягу фінансування по кожному з розділів (без урахування податку на додану вартість (далі - ПДВ)). ІП має містити:</w:t>
            </w:r>
          </w:p>
          <w:p w14:paraId="650B368A" w14:textId="093E53C9" w:rsidR="002342CA" w:rsidRPr="00A328C9" w:rsidRDefault="00A328C9" w:rsidP="002342CA">
            <w:pPr>
              <w:spacing w:after="0" w:line="240" w:lineRule="auto"/>
              <w:ind w:firstLine="240"/>
              <w:jc w:val="both"/>
              <w:rPr>
                <w:rFonts w:ascii="Times New Roman" w:hAnsi="Times New Roman" w:cs="Times New Roman"/>
                <w:b/>
                <w:sz w:val="24"/>
                <w:szCs w:val="24"/>
                <w:lang w:val="uk-UA"/>
              </w:rPr>
            </w:pPr>
            <w:bookmarkStart w:id="19" w:name="18888"/>
            <w:bookmarkEnd w:id="18"/>
            <w:r w:rsidRPr="00A328C9">
              <w:rPr>
                <w:rFonts w:ascii="Times New Roman" w:hAnsi="Times New Roman" w:cs="Times New Roman"/>
                <w:b/>
                <w:color w:val="000000"/>
                <w:sz w:val="24"/>
                <w:szCs w:val="24"/>
                <w:lang w:val="uk-UA"/>
              </w:rPr>
              <w:t>…</w:t>
            </w:r>
          </w:p>
          <w:p w14:paraId="7A3842BE"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20" w:name="18889"/>
            <w:bookmarkEnd w:id="19"/>
            <w:r w:rsidRPr="00C47D7E">
              <w:rPr>
                <w:rFonts w:ascii="Times New Roman" w:hAnsi="Times New Roman" w:cs="Times New Roman"/>
                <w:color w:val="000000"/>
                <w:sz w:val="24"/>
                <w:szCs w:val="24"/>
                <w:lang w:val="uk-UA"/>
              </w:rPr>
              <w:t xml:space="preserve">3) детальний перелік заходів ІП, запланованих до виконання на прогнозний період, з урахуванням наскрізної </w:t>
            </w:r>
            <w:proofErr w:type="spellStart"/>
            <w:r w:rsidRPr="00C47D7E">
              <w:rPr>
                <w:rFonts w:ascii="Times New Roman" w:hAnsi="Times New Roman" w:cs="Times New Roman"/>
                <w:color w:val="000000"/>
                <w:sz w:val="24"/>
                <w:szCs w:val="24"/>
                <w:lang w:val="uk-UA"/>
              </w:rPr>
              <w:t>пріоритезації</w:t>
            </w:r>
            <w:proofErr w:type="spellEnd"/>
            <w:r w:rsidRPr="00C47D7E">
              <w:rPr>
                <w:rFonts w:ascii="Times New Roman" w:hAnsi="Times New Roman" w:cs="Times New Roman"/>
                <w:color w:val="000000"/>
                <w:sz w:val="24"/>
                <w:szCs w:val="24"/>
                <w:lang w:val="uk-UA"/>
              </w:rPr>
              <w:t xml:space="preserve"> заходів у межах розділів ІП, з розбивкою на етапи (квартали) з фінансуванням відповідно до планових квартальних обсягів надходжень коштів. При визначенні </w:t>
            </w:r>
            <w:proofErr w:type="spellStart"/>
            <w:r w:rsidRPr="00C47D7E">
              <w:rPr>
                <w:rFonts w:ascii="Times New Roman" w:hAnsi="Times New Roman" w:cs="Times New Roman"/>
                <w:color w:val="000000"/>
                <w:sz w:val="24"/>
                <w:szCs w:val="24"/>
                <w:lang w:val="uk-UA"/>
              </w:rPr>
              <w:t>пріоритезації</w:t>
            </w:r>
            <w:proofErr w:type="spellEnd"/>
            <w:r w:rsidRPr="00C47D7E">
              <w:rPr>
                <w:rFonts w:ascii="Times New Roman" w:hAnsi="Times New Roman" w:cs="Times New Roman"/>
                <w:color w:val="000000"/>
                <w:sz w:val="24"/>
                <w:szCs w:val="24"/>
                <w:lang w:val="uk-UA"/>
              </w:rPr>
              <w:t xml:space="preserve"> заходів необхідно враховувати те, що </w:t>
            </w:r>
            <w:proofErr w:type="spellStart"/>
            <w:r w:rsidRPr="00C47D7E">
              <w:rPr>
                <w:rFonts w:ascii="Times New Roman" w:hAnsi="Times New Roman" w:cs="Times New Roman"/>
                <w:color w:val="000000"/>
                <w:sz w:val="24"/>
                <w:szCs w:val="24"/>
                <w:lang w:val="uk-UA"/>
              </w:rPr>
              <w:t>пріоритетнішим</w:t>
            </w:r>
            <w:proofErr w:type="spellEnd"/>
            <w:r w:rsidRPr="00C47D7E">
              <w:rPr>
                <w:rFonts w:ascii="Times New Roman" w:hAnsi="Times New Roman" w:cs="Times New Roman"/>
                <w:color w:val="000000"/>
                <w:sz w:val="24"/>
                <w:szCs w:val="24"/>
                <w:lang w:val="uk-UA"/>
              </w:rPr>
              <w:t xml:space="preserve"> є захід, виконання якого є важливішим та/або має більший вплив на забезпечення підвищення рівня надійності, безпеки, економічності, зниження технологічних витрат електричної енергії та поліпшення якості надання послуг з розподілу електричної енергії, та не враховувати заходи зі створення трансформаторної потужності для реалізації стандартних приєднань, що включаються до ІП без зазначення конкретного місця встановлення (згідно з типовими </w:t>
            </w:r>
            <w:proofErr w:type="spellStart"/>
            <w:r w:rsidRPr="00C47D7E">
              <w:rPr>
                <w:rFonts w:ascii="Times New Roman" w:hAnsi="Times New Roman" w:cs="Times New Roman"/>
                <w:color w:val="000000"/>
                <w:sz w:val="24"/>
                <w:szCs w:val="24"/>
                <w:lang w:val="uk-UA"/>
              </w:rPr>
              <w:t>проєктами</w:t>
            </w:r>
            <w:proofErr w:type="spellEnd"/>
            <w:r w:rsidRPr="00C47D7E">
              <w:rPr>
                <w:rFonts w:ascii="Times New Roman" w:hAnsi="Times New Roman" w:cs="Times New Roman"/>
                <w:color w:val="000000"/>
                <w:sz w:val="24"/>
                <w:szCs w:val="24"/>
                <w:lang w:val="uk-UA"/>
              </w:rPr>
              <w:t xml:space="preserve"> за відповідними </w:t>
            </w:r>
            <w:proofErr w:type="spellStart"/>
            <w:r w:rsidRPr="00C47D7E">
              <w:rPr>
                <w:rFonts w:ascii="Times New Roman" w:hAnsi="Times New Roman" w:cs="Times New Roman"/>
                <w:color w:val="000000"/>
                <w:sz w:val="24"/>
                <w:szCs w:val="24"/>
                <w:lang w:val="uk-UA"/>
              </w:rPr>
              <w:t>потужностями</w:t>
            </w:r>
            <w:proofErr w:type="spellEnd"/>
            <w:r w:rsidRPr="00C47D7E">
              <w:rPr>
                <w:rFonts w:ascii="Times New Roman" w:hAnsi="Times New Roman" w:cs="Times New Roman"/>
                <w:color w:val="000000"/>
                <w:sz w:val="24"/>
                <w:szCs w:val="24"/>
                <w:lang w:val="uk-UA"/>
              </w:rPr>
              <w:t xml:space="preserve"> з урахуванням статистичних даних тощо);</w:t>
            </w:r>
          </w:p>
          <w:bookmarkEnd w:id="20"/>
          <w:p w14:paraId="1B8C1887" w14:textId="77777777" w:rsidR="00A328C9" w:rsidRDefault="00A328C9" w:rsidP="002342CA">
            <w:pPr>
              <w:spacing w:after="0" w:line="240" w:lineRule="auto"/>
              <w:ind w:firstLine="240"/>
              <w:jc w:val="both"/>
              <w:rPr>
                <w:rFonts w:ascii="Times New Roman" w:hAnsi="Times New Roman" w:cs="Times New Roman"/>
                <w:color w:val="000000"/>
                <w:sz w:val="24"/>
                <w:szCs w:val="24"/>
                <w:lang w:val="uk-UA"/>
              </w:rPr>
            </w:pPr>
          </w:p>
          <w:p w14:paraId="01A98F12" w14:textId="41E8D04E" w:rsidR="002342CA" w:rsidRPr="00A328C9" w:rsidRDefault="00A328C9" w:rsidP="002342CA">
            <w:pPr>
              <w:spacing w:after="0" w:line="240" w:lineRule="auto"/>
              <w:ind w:firstLine="240"/>
              <w:jc w:val="both"/>
              <w:rPr>
                <w:rFonts w:ascii="Times New Roman" w:hAnsi="Times New Roman" w:cs="Times New Roman"/>
                <w:b/>
                <w:sz w:val="24"/>
                <w:szCs w:val="24"/>
                <w:lang w:val="uk-UA"/>
              </w:rPr>
            </w:pPr>
            <w:r w:rsidRPr="00A328C9">
              <w:rPr>
                <w:rFonts w:ascii="Times New Roman" w:hAnsi="Times New Roman" w:cs="Times New Roman"/>
                <w:b/>
                <w:color w:val="000000"/>
                <w:sz w:val="24"/>
                <w:szCs w:val="24"/>
                <w:lang w:val="uk-UA"/>
              </w:rPr>
              <w:t>…</w:t>
            </w:r>
          </w:p>
        </w:tc>
        <w:tc>
          <w:tcPr>
            <w:tcW w:w="7371" w:type="dxa"/>
          </w:tcPr>
          <w:p w14:paraId="60E25F75" w14:textId="77777777" w:rsidR="002342CA" w:rsidRPr="00DD57E1" w:rsidRDefault="002342CA" w:rsidP="002342CA">
            <w:pPr>
              <w:spacing w:after="0" w:line="240" w:lineRule="auto"/>
              <w:rPr>
                <w:rFonts w:ascii="Times New Roman" w:hAnsi="Times New Roman" w:cs="Times New Roman"/>
                <w:lang w:val="uk-UA"/>
              </w:rPr>
            </w:pPr>
          </w:p>
          <w:p w14:paraId="6774F501" w14:textId="77777777" w:rsidR="002342CA" w:rsidRPr="00DD57E1" w:rsidRDefault="002342CA" w:rsidP="002342CA">
            <w:pPr>
              <w:spacing w:after="0" w:line="240" w:lineRule="auto"/>
              <w:rPr>
                <w:rFonts w:ascii="Times New Roman" w:hAnsi="Times New Roman" w:cs="Times New Roman"/>
                <w:lang w:val="uk-UA"/>
              </w:rPr>
            </w:pPr>
          </w:p>
          <w:p w14:paraId="0CE80314" w14:textId="77777777" w:rsidR="002342CA" w:rsidRPr="00DD57E1" w:rsidRDefault="002342CA" w:rsidP="002342CA">
            <w:pPr>
              <w:spacing w:after="0" w:line="240" w:lineRule="auto"/>
              <w:rPr>
                <w:rFonts w:ascii="Times New Roman" w:hAnsi="Times New Roman" w:cs="Times New Roman"/>
                <w:lang w:val="uk-UA"/>
              </w:rPr>
            </w:pPr>
          </w:p>
          <w:p w14:paraId="3BCAD654" w14:textId="77777777" w:rsidR="002342CA" w:rsidRPr="00DD57E1" w:rsidRDefault="002342CA" w:rsidP="002342CA">
            <w:pPr>
              <w:spacing w:after="0" w:line="240" w:lineRule="auto"/>
              <w:rPr>
                <w:rFonts w:ascii="Times New Roman" w:hAnsi="Times New Roman" w:cs="Times New Roman"/>
                <w:lang w:val="uk-UA"/>
              </w:rPr>
            </w:pPr>
          </w:p>
          <w:p w14:paraId="472B85F4" w14:textId="3E27B6DF" w:rsidR="002342CA" w:rsidRPr="00DD57E1" w:rsidRDefault="002342CA" w:rsidP="002342CA">
            <w:pPr>
              <w:spacing w:after="0" w:line="240" w:lineRule="auto"/>
              <w:rPr>
                <w:rFonts w:ascii="Times New Roman" w:hAnsi="Times New Roman" w:cs="Times New Roman"/>
                <w:lang w:val="uk-UA"/>
              </w:rPr>
            </w:pPr>
          </w:p>
          <w:p w14:paraId="6BBEAE97" w14:textId="77777777" w:rsidR="002342CA" w:rsidRPr="00DD57E1" w:rsidRDefault="002342CA" w:rsidP="002342CA">
            <w:pPr>
              <w:spacing w:after="0" w:line="240" w:lineRule="auto"/>
              <w:ind w:firstLine="240"/>
              <w:jc w:val="both"/>
              <w:rPr>
                <w:rFonts w:ascii="Times New Roman" w:hAnsi="Times New Roman" w:cs="Times New Roman"/>
                <w:lang w:val="uk-UA"/>
              </w:rPr>
            </w:pPr>
            <w:r w:rsidRPr="00DD57E1">
              <w:rPr>
                <w:rFonts w:ascii="Times New Roman" w:hAnsi="Times New Roman" w:cs="Times New Roman"/>
                <w:sz w:val="24"/>
                <w:szCs w:val="24"/>
                <w:lang w:val="uk-UA"/>
              </w:rPr>
              <w:t xml:space="preserve">3) детальний перелік заходів ІП, запланованих до виконання на прогнозний період, з урахуванням наскрізної </w:t>
            </w:r>
            <w:proofErr w:type="spellStart"/>
            <w:r w:rsidRPr="00DD57E1">
              <w:rPr>
                <w:rFonts w:ascii="Times New Roman" w:hAnsi="Times New Roman" w:cs="Times New Roman"/>
                <w:sz w:val="24"/>
                <w:szCs w:val="24"/>
                <w:lang w:val="uk-UA"/>
              </w:rPr>
              <w:t>пріоритезації</w:t>
            </w:r>
            <w:proofErr w:type="spellEnd"/>
            <w:r w:rsidRPr="00DD57E1">
              <w:rPr>
                <w:rFonts w:ascii="Times New Roman" w:hAnsi="Times New Roman" w:cs="Times New Roman"/>
                <w:sz w:val="24"/>
                <w:szCs w:val="24"/>
                <w:lang w:val="uk-UA"/>
              </w:rPr>
              <w:t xml:space="preserve"> заходів у межах розділів ІП, </w:t>
            </w:r>
            <w:r w:rsidRPr="00DD57E1">
              <w:rPr>
                <w:rFonts w:ascii="Times New Roman" w:hAnsi="Times New Roman" w:cs="Times New Roman"/>
                <w:b/>
                <w:sz w:val="24"/>
                <w:szCs w:val="24"/>
                <w:lang w:val="uk-UA"/>
              </w:rPr>
              <w:t xml:space="preserve">що повинна відповідати </w:t>
            </w:r>
            <w:proofErr w:type="spellStart"/>
            <w:r w:rsidRPr="00DD57E1">
              <w:rPr>
                <w:rFonts w:ascii="Times New Roman" w:hAnsi="Times New Roman" w:cs="Times New Roman"/>
                <w:b/>
                <w:sz w:val="24"/>
                <w:szCs w:val="24"/>
                <w:lang w:val="uk-UA"/>
              </w:rPr>
              <w:t>пріоритезації</w:t>
            </w:r>
            <w:proofErr w:type="spellEnd"/>
            <w:r w:rsidRPr="00DD57E1">
              <w:rPr>
                <w:rFonts w:ascii="Times New Roman" w:hAnsi="Times New Roman" w:cs="Times New Roman"/>
                <w:b/>
                <w:sz w:val="24"/>
                <w:szCs w:val="24"/>
                <w:lang w:val="uk-UA"/>
              </w:rPr>
              <w:t xml:space="preserve"> заходів у відповідному ПРСР,</w:t>
            </w:r>
            <w:r w:rsidRPr="00DD57E1">
              <w:rPr>
                <w:rFonts w:ascii="Times New Roman" w:hAnsi="Times New Roman" w:cs="Times New Roman"/>
                <w:sz w:val="24"/>
                <w:szCs w:val="24"/>
                <w:lang w:val="uk-UA"/>
              </w:rPr>
              <w:t xml:space="preserve"> з розбивкою на етапи (квартали) з фінансуванням відповідно до планових квартальних обсягів надходжень коштів. При визначенні </w:t>
            </w:r>
            <w:proofErr w:type="spellStart"/>
            <w:r w:rsidRPr="00DD57E1">
              <w:rPr>
                <w:rFonts w:ascii="Times New Roman" w:hAnsi="Times New Roman" w:cs="Times New Roman"/>
                <w:sz w:val="24"/>
                <w:szCs w:val="24"/>
                <w:lang w:val="uk-UA"/>
              </w:rPr>
              <w:t>пріоритезації</w:t>
            </w:r>
            <w:proofErr w:type="spellEnd"/>
            <w:r w:rsidRPr="00DD57E1">
              <w:rPr>
                <w:rFonts w:ascii="Times New Roman" w:hAnsi="Times New Roman" w:cs="Times New Roman"/>
                <w:sz w:val="24"/>
                <w:szCs w:val="24"/>
                <w:lang w:val="uk-UA"/>
              </w:rPr>
              <w:t xml:space="preserve"> заходів необхідно враховувати те, що </w:t>
            </w:r>
            <w:proofErr w:type="spellStart"/>
            <w:r w:rsidRPr="00DD57E1">
              <w:rPr>
                <w:rFonts w:ascii="Times New Roman" w:hAnsi="Times New Roman" w:cs="Times New Roman"/>
                <w:sz w:val="24"/>
                <w:szCs w:val="24"/>
                <w:lang w:val="uk-UA"/>
              </w:rPr>
              <w:t>пріоритетнішим</w:t>
            </w:r>
            <w:proofErr w:type="spellEnd"/>
            <w:r w:rsidRPr="00DD57E1">
              <w:rPr>
                <w:rFonts w:ascii="Times New Roman" w:hAnsi="Times New Roman" w:cs="Times New Roman"/>
                <w:sz w:val="24"/>
                <w:szCs w:val="24"/>
                <w:lang w:val="uk-UA"/>
              </w:rPr>
              <w:t xml:space="preserve"> є захід, виконання якого є важливішим та/або має більший вплив на забезпечення підвищення рівня надійності, безпеки, економічності, зниження технологічних витрат електричної енергії та поліпшення якості надання послуг з розподілу електричної енергії, та не враховувати заходи зі створення трансформаторної потужності для реалізації стандартних приєднань, що включаються до ІП без зазначення конкретного місця встановлення (згідно з типовими </w:t>
            </w:r>
            <w:proofErr w:type="spellStart"/>
            <w:r w:rsidRPr="00DD57E1">
              <w:rPr>
                <w:rFonts w:ascii="Times New Roman" w:hAnsi="Times New Roman" w:cs="Times New Roman"/>
                <w:sz w:val="24"/>
                <w:szCs w:val="24"/>
                <w:lang w:val="uk-UA"/>
              </w:rPr>
              <w:t>проєктами</w:t>
            </w:r>
            <w:proofErr w:type="spellEnd"/>
            <w:r w:rsidRPr="00DD57E1">
              <w:rPr>
                <w:rFonts w:ascii="Times New Roman" w:hAnsi="Times New Roman" w:cs="Times New Roman"/>
                <w:sz w:val="24"/>
                <w:szCs w:val="24"/>
                <w:lang w:val="uk-UA"/>
              </w:rPr>
              <w:t xml:space="preserve"> за відповідними </w:t>
            </w:r>
            <w:proofErr w:type="spellStart"/>
            <w:r w:rsidRPr="00DD57E1">
              <w:rPr>
                <w:rFonts w:ascii="Times New Roman" w:hAnsi="Times New Roman" w:cs="Times New Roman"/>
                <w:sz w:val="24"/>
                <w:szCs w:val="24"/>
                <w:lang w:val="uk-UA"/>
              </w:rPr>
              <w:t>потужностями</w:t>
            </w:r>
            <w:proofErr w:type="spellEnd"/>
            <w:r w:rsidRPr="00DD57E1">
              <w:rPr>
                <w:rFonts w:ascii="Times New Roman" w:hAnsi="Times New Roman" w:cs="Times New Roman"/>
                <w:sz w:val="24"/>
                <w:szCs w:val="24"/>
                <w:lang w:val="uk-UA"/>
              </w:rPr>
              <w:t xml:space="preserve"> з урахуванням статистичних даних тощо);</w:t>
            </w:r>
          </w:p>
        </w:tc>
      </w:tr>
      <w:tr w:rsidR="002342CA" w:rsidRPr="008D43C5" w14:paraId="3921461E" w14:textId="77777777" w:rsidTr="007F584C">
        <w:tc>
          <w:tcPr>
            <w:tcW w:w="421" w:type="dxa"/>
          </w:tcPr>
          <w:p w14:paraId="6F756A67"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067FD9DF"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21" w:name="18893"/>
            <w:r w:rsidRPr="00C47D7E">
              <w:rPr>
                <w:rFonts w:ascii="Times New Roman" w:hAnsi="Times New Roman" w:cs="Times New Roman"/>
                <w:color w:val="000000"/>
                <w:sz w:val="24"/>
                <w:szCs w:val="24"/>
                <w:lang w:val="uk-UA"/>
              </w:rPr>
              <w:t>2.9. Пояснювальна записка до ІП повинна бути структурованою, сформованою відповідно до вимог цього Порядку та складатись із вступу та детального опису кожного заходу у розрізі розділів ІП.</w:t>
            </w:r>
            <w:bookmarkEnd w:id="21"/>
          </w:p>
        </w:tc>
        <w:tc>
          <w:tcPr>
            <w:tcW w:w="7371" w:type="dxa"/>
          </w:tcPr>
          <w:p w14:paraId="71D5FB94" w14:textId="77777777" w:rsidR="002342CA" w:rsidRPr="00DD57E1" w:rsidRDefault="002342CA" w:rsidP="002342CA">
            <w:pPr>
              <w:spacing w:after="0" w:line="240" w:lineRule="auto"/>
              <w:rPr>
                <w:rFonts w:ascii="Times New Roman" w:hAnsi="Times New Roman" w:cs="Times New Roman"/>
                <w:lang w:val="uk-UA"/>
              </w:rPr>
            </w:pPr>
          </w:p>
        </w:tc>
      </w:tr>
      <w:tr w:rsidR="002342CA" w:rsidRPr="007A6290" w14:paraId="35989CCD" w14:textId="77777777" w:rsidTr="007F584C">
        <w:tc>
          <w:tcPr>
            <w:tcW w:w="421" w:type="dxa"/>
          </w:tcPr>
          <w:p w14:paraId="4C8BAF5C"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25D33AAF"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22" w:name="18894"/>
            <w:r w:rsidRPr="00C47D7E">
              <w:rPr>
                <w:rFonts w:ascii="Times New Roman" w:hAnsi="Times New Roman" w:cs="Times New Roman"/>
                <w:color w:val="000000"/>
                <w:sz w:val="24"/>
                <w:szCs w:val="24"/>
                <w:lang w:val="uk-UA"/>
              </w:rPr>
              <w:t>2.9.1. Вступ повинен містити:</w:t>
            </w:r>
          </w:p>
          <w:bookmarkEnd w:id="22"/>
          <w:p w14:paraId="479741F5" w14:textId="390EC559" w:rsidR="002342CA" w:rsidRPr="00A328C9" w:rsidRDefault="00A328C9" w:rsidP="002342CA">
            <w:pPr>
              <w:spacing w:after="0" w:line="240" w:lineRule="auto"/>
              <w:ind w:firstLine="240"/>
              <w:jc w:val="both"/>
              <w:rPr>
                <w:rFonts w:ascii="Times New Roman" w:hAnsi="Times New Roman" w:cs="Times New Roman"/>
                <w:b/>
                <w:sz w:val="24"/>
                <w:szCs w:val="24"/>
                <w:lang w:val="uk-UA"/>
              </w:rPr>
            </w:pPr>
            <w:r w:rsidRPr="00A328C9">
              <w:rPr>
                <w:rFonts w:ascii="Times New Roman" w:hAnsi="Times New Roman" w:cs="Times New Roman"/>
                <w:b/>
                <w:color w:val="000000"/>
                <w:sz w:val="24"/>
                <w:szCs w:val="24"/>
                <w:lang w:val="uk-UA"/>
              </w:rPr>
              <w:t>…</w:t>
            </w:r>
          </w:p>
        </w:tc>
        <w:tc>
          <w:tcPr>
            <w:tcW w:w="7371" w:type="dxa"/>
          </w:tcPr>
          <w:p w14:paraId="10CA2275" w14:textId="77777777" w:rsidR="002342CA" w:rsidRPr="00DD57E1" w:rsidRDefault="002342CA" w:rsidP="002342CA">
            <w:pPr>
              <w:spacing w:after="0" w:line="240" w:lineRule="auto"/>
              <w:rPr>
                <w:rFonts w:ascii="Times New Roman" w:hAnsi="Times New Roman" w:cs="Times New Roman"/>
                <w:lang w:val="uk-UA"/>
              </w:rPr>
            </w:pPr>
          </w:p>
        </w:tc>
      </w:tr>
      <w:tr w:rsidR="002342CA" w:rsidRPr="008D43C5" w14:paraId="4E15DAB2" w14:textId="77777777" w:rsidTr="007F584C">
        <w:tc>
          <w:tcPr>
            <w:tcW w:w="421" w:type="dxa"/>
          </w:tcPr>
          <w:p w14:paraId="3AC42416"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11A94200"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23" w:name="18905"/>
            <w:r w:rsidRPr="00C47D7E">
              <w:rPr>
                <w:rFonts w:ascii="Times New Roman" w:hAnsi="Times New Roman" w:cs="Times New Roman"/>
                <w:color w:val="000000"/>
                <w:sz w:val="24"/>
                <w:szCs w:val="24"/>
                <w:lang w:val="uk-UA"/>
              </w:rPr>
              <w:t xml:space="preserve">2.9.2. </w:t>
            </w:r>
            <w:bookmarkStart w:id="24" w:name="_Hlk191989222"/>
            <w:r w:rsidRPr="00C47D7E">
              <w:rPr>
                <w:rFonts w:ascii="Times New Roman" w:hAnsi="Times New Roman" w:cs="Times New Roman"/>
                <w:color w:val="000000"/>
                <w:sz w:val="24"/>
                <w:szCs w:val="24"/>
                <w:lang w:val="uk-UA"/>
              </w:rPr>
              <w:t>Детальний опис кожного заходу у розрізі розділів ІП має бути оформлений у вигляді таблиці 7 додатка 2 до цього Порядку та містити, зокрема, таку інформацію:</w:t>
            </w:r>
            <w:bookmarkEnd w:id="24"/>
          </w:p>
          <w:p w14:paraId="1B639F0F" w14:textId="7A2BB007" w:rsidR="00A328C9" w:rsidRPr="00A328C9" w:rsidRDefault="00A328C9" w:rsidP="002342CA">
            <w:pPr>
              <w:spacing w:after="0" w:line="240" w:lineRule="auto"/>
              <w:ind w:firstLine="240"/>
              <w:jc w:val="both"/>
              <w:rPr>
                <w:rFonts w:ascii="Times New Roman" w:hAnsi="Times New Roman" w:cs="Times New Roman"/>
                <w:b/>
                <w:color w:val="000000"/>
                <w:sz w:val="24"/>
                <w:szCs w:val="24"/>
                <w:lang w:val="uk-UA"/>
              </w:rPr>
            </w:pPr>
            <w:bookmarkStart w:id="25" w:name="18917"/>
            <w:bookmarkEnd w:id="23"/>
            <w:r w:rsidRPr="00A328C9">
              <w:rPr>
                <w:rFonts w:ascii="Times New Roman" w:hAnsi="Times New Roman" w:cs="Times New Roman"/>
                <w:b/>
                <w:color w:val="000000"/>
                <w:sz w:val="24"/>
                <w:szCs w:val="24"/>
                <w:lang w:val="uk-UA"/>
              </w:rPr>
              <w:t>…</w:t>
            </w:r>
          </w:p>
          <w:p w14:paraId="32D09B99" w14:textId="3C5170DD" w:rsidR="002342CA" w:rsidRPr="00C47D7E" w:rsidRDefault="002342CA" w:rsidP="002342CA">
            <w:pPr>
              <w:spacing w:after="0" w:line="240" w:lineRule="auto"/>
              <w:ind w:firstLine="240"/>
              <w:jc w:val="both"/>
              <w:rPr>
                <w:rFonts w:ascii="Times New Roman" w:hAnsi="Times New Roman" w:cs="Times New Roman"/>
                <w:sz w:val="24"/>
                <w:szCs w:val="24"/>
                <w:lang w:val="uk-UA"/>
              </w:rPr>
            </w:pPr>
            <w:r w:rsidRPr="00C47D7E">
              <w:rPr>
                <w:rFonts w:ascii="Times New Roman" w:hAnsi="Times New Roman" w:cs="Times New Roman"/>
                <w:color w:val="000000"/>
                <w:sz w:val="24"/>
                <w:szCs w:val="24"/>
                <w:lang w:val="uk-UA"/>
              </w:rPr>
              <w:t xml:space="preserve">8) опис робіт із зазначенням фізичних обсягів та вартості, що заплановані до виконання у прогнозному періоді, та основних техніко-економічних показників </w:t>
            </w:r>
            <w:proofErr w:type="spellStart"/>
            <w:r w:rsidRPr="00C47D7E">
              <w:rPr>
                <w:rFonts w:ascii="Times New Roman" w:hAnsi="Times New Roman" w:cs="Times New Roman"/>
                <w:color w:val="000000"/>
                <w:sz w:val="24"/>
                <w:szCs w:val="24"/>
                <w:lang w:val="uk-UA"/>
              </w:rPr>
              <w:t>проєктів</w:t>
            </w:r>
            <w:proofErr w:type="spellEnd"/>
            <w:r w:rsidRPr="00C47D7E">
              <w:rPr>
                <w:rFonts w:ascii="Times New Roman" w:hAnsi="Times New Roman" w:cs="Times New Roman"/>
                <w:color w:val="000000"/>
                <w:sz w:val="24"/>
                <w:szCs w:val="24"/>
                <w:lang w:val="uk-UA"/>
              </w:rPr>
              <w:t xml:space="preserve"> (із зазначенням, зокрема, типу та кількості основного обладнання та матеріалів, що плануються до заміни/встановлення). По заходах, що передбачають демонтаж обладнання/матеріалів, необхідно зазначати інформацію щодо кількості обладнання/матеріалів, що підлягає демонтажу згідно з актами технічного стану, відповідно до розробленої </w:t>
            </w:r>
            <w:proofErr w:type="spellStart"/>
            <w:r w:rsidRPr="00C47D7E">
              <w:rPr>
                <w:rFonts w:ascii="Times New Roman" w:hAnsi="Times New Roman" w:cs="Times New Roman"/>
                <w:color w:val="000000"/>
                <w:sz w:val="24"/>
                <w:szCs w:val="24"/>
                <w:lang w:val="uk-UA"/>
              </w:rPr>
              <w:t>проєктно</w:t>
            </w:r>
            <w:proofErr w:type="spellEnd"/>
            <w:r w:rsidRPr="00C47D7E">
              <w:rPr>
                <w:rFonts w:ascii="Times New Roman" w:hAnsi="Times New Roman" w:cs="Times New Roman"/>
                <w:color w:val="000000"/>
                <w:sz w:val="24"/>
                <w:szCs w:val="24"/>
                <w:lang w:val="uk-UA"/>
              </w:rPr>
              <w:t xml:space="preserve">-кошторисної документації та кількості обладнання/матеріалів, що пропонується до встановлення на заміну демонтованих, із зазначенням інформації щодо подальшого застосування обладнання, що демонтується з причин, не пов'язаних із незадовільним технічним станом. По заходах, що мають перехідний характер, також зазначаються етапи виконання (план-графік, діаграма </w:t>
            </w:r>
            <w:proofErr w:type="spellStart"/>
            <w:r w:rsidRPr="00C47D7E">
              <w:rPr>
                <w:rFonts w:ascii="Times New Roman" w:hAnsi="Times New Roman" w:cs="Times New Roman"/>
                <w:color w:val="000000"/>
                <w:sz w:val="24"/>
                <w:szCs w:val="24"/>
                <w:lang w:val="uk-UA"/>
              </w:rPr>
              <w:t>Ганта</w:t>
            </w:r>
            <w:proofErr w:type="spellEnd"/>
            <w:r w:rsidRPr="00C47D7E">
              <w:rPr>
                <w:rFonts w:ascii="Times New Roman" w:hAnsi="Times New Roman" w:cs="Times New Roman"/>
                <w:color w:val="000000"/>
                <w:sz w:val="24"/>
                <w:szCs w:val="24"/>
                <w:lang w:val="uk-UA"/>
              </w:rPr>
              <w:t>), фізичні обсяги та фінансування по роках із урахуванням фактичного виконання). Для заходів ІП також зазначаються відповідні цілі та показники (індикатори), що будуть досягнуті за результатом їх виконання, та орієнтовний термін проведення відповідної процедури закупівлі;</w:t>
            </w:r>
          </w:p>
          <w:p w14:paraId="0B2712E8" w14:textId="1AEBAD38" w:rsidR="004B7725" w:rsidRDefault="004B7725" w:rsidP="00A328C9">
            <w:pPr>
              <w:spacing w:after="0" w:line="240" w:lineRule="auto"/>
              <w:jc w:val="both"/>
              <w:rPr>
                <w:rFonts w:ascii="Times New Roman" w:hAnsi="Times New Roman" w:cs="Times New Roman"/>
                <w:color w:val="000000"/>
                <w:sz w:val="24"/>
                <w:szCs w:val="24"/>
                <w:lang w:val="uk-UA"/>
              </w:rPr>
            </w:pPr>
            <w:bookmarkStart w:id="26" w:name="18918"/>
            <w:bookmarkEnd w:id="25"/>
          </w:p>
          <w:p w14:paraId="0991A9F6" w14:textId="77777777" w:rsidR="004B7725" w:rsidRDefault="004B7725" w:rsidP="002342CA">
            <w:pPr>
              <w:spacing w:after="0" w:line="240" w:lineRule="auto"/>
              <w:ind w:firstLine="240"/>
              <w:jc w:val="both"/>
              <w:rPr>
                <w:rFonts w:ascii="Times New Roman" w:hAnsi="Times New Roman" w:cs="Times New Roman"/>
                <w:color w:val="000000"/>
                <w:sz w:val="24"/>
                <w:szCs w:val="24"/>
                <w:lang w:val="uk-UA"/>
              </w:rPr>
            </w:pPr>
          </w:p>
          <w:p w14:paraId="07EE15C0" w14:textId="1DCAD673" w:rsidR="002342CA" w:rsidRPr="00C47D7E" w:rsidRDefault="002342CA" w:rsidP="002342CA">
            <w:pPr>
              <w:spacing w:after="0" w:line="240" w:lineRule="auto"/>
              <w:ind w:firstLine="240"/>
              <w:jc w:val="both"/>
              <w:rPr>
                <w:rFonts w:ascii="Times New Roman" w:hAnsi="Times New Roman" w:cs="Times New Roman"/>
                <w:sz w:val="24"/>
                <w:szCs w:val="24"/>
                <w:lang w:val="uk-UA"/>
              </w:rPr>
            </w:pPr>
            <w:r w:rsidRPr="00C47D7E">
              <w:rPr>
                <w:rFonts w:ascii="Times New Roman" w:hAnsi="Times New Roman" w:cs="Times New Roman"/>
                <w:color w:val="000000"/>
                <w:sz w:val="24"/>
                <w:szCs w:val="24"/>
                <w:lang w:val="uk-UA"/>
              </w:rPr>
              <w:t>9) опис та розрахунок запланованого економічного ефекту від впровадження заходу (робіт) ІП.</w:t>
            </w:r>
            <w:bookmarkEnd w:id="26"/>
          </w:p>
        </w:tc>
        <w:tc>
          <w:tcPr>
            <w:tcW w:w="7371" w:type="dxa"/>
          </w:tcPr>
          <w:p w14:paraId="53C52012" w14:textId="77777777" w:rsidR="002342CA" w:rsidRPr="00DD57E1" w:rsidRDefault="002342CA" w:rsidP="002342CA">
            <w:pPr>
              <w:spacing w:after="0" w:line="240" w:lineRule="auto"/>
              <w:jc w:val="both"/>
              <w:rPr>
                <w:rFonts w:ascii="Times New Roman" w:hAnsi="Times New Roman" w:cs="Times New Roman"/>
                <w:sz w:val="24"/>
                <w:szCs w:val="24"/>
                <w:lang w:val="uk-UA"/>
              </w:rPr>
            </w:pPr>
          </w:p>
          <w:p w14:paraId="4C6C2AA8" w14:textId="77777777" w:rsidR="002342CA" w:rsidRPr="00DD57E1" w:rsidRDefault="002342CA" w:rsidP="002342CA">
            <w:pPr>
              <w:spacing w:after="0" w:line="240" w:lineRule="auto"/>
              <w:jc w:val="both"/>
              <w:rPr>
                <w:rFonts w:ascii="Times New Roman" w:hAnsi="Times New Roman" w:cs="Times New Roman"/>
                <w:sz w:val="24"/>
                <w:szCs w:val="24"/>
                <w:lang w:val="uk-UA"/>
              </w:rPr>
            </w:pPr>
          </w:p>
          <w:p w14:paraId="1BABE8B1" w14:textId="4F934B33" w:rsidR="002342CA" w:rsidRPr="00DD57E1" w:rsidRDefault="002342CA" w:rsidP="002342CA">
            <w:pPr>
              <w:spacing w:after="0" w:line="240" w:lineRule="auto"/>
              <w:jc w:val="both"/>
              <w:rPr>
                <w:rFonts w:ascii="Times New Roman" w:hAnsi="Times New Roman" w:cs="Times New Roman"/>
                <w:sz w:val="24"/>
                <w:szCs w:val="24"/>
                <w:lang w:val="uk-UA"/>
              </w:rPr>
            </w:pPr>
          </w:p>
          <w:p w14:paraId="2D0A9EDA" w14:textId="77777777" w:rsidR="002342CA" w:rsidRPr="00DD57E1" w:rsidRDefault="002342CA" w:rsidP="002342CA">
            <w:pPr>
              <w:spacing w:after="0" w:line="240" w:lineRule="auto"/>
              <w:jc w:val="both"/>
              <w:rPr>
                <w:rFonts w:ascii="Times New Roman" w:hAnsi="Times New Roman" w:cs="Times New Roman"/>
                <w:sz w:val="24"/>
                <w:szCs w:val="24"/>
                <w:lang w:val="uk-UA"/>
              </w:rPr>
            </w:pPr>
          </w:p>
          <w:p w14:paraId="2ACEA2A3" w14:textId="77777777" w:rsidR="002342CA" w:rsidRPr="00DD57E1" w:rsidRDefault="002342CA" w:rsidP="004B7725">
            <w:pPr>
              <w:spacing w:after="0" w:line="240" w:lineRule="auto"/>
              <w:jc w:val="both"/>
              <w:rPr>
                <w:rFonts w:ascii="Times New Roman" w:hAnsi="Times New Roman" w:cs="Times New Roman"/>
                <w:strike/>
                <w:sz w:val="24"/>
                <w:szCs w:val="24"/>
                <w:lang w:val="uk-UA"/>
              </w:rPr>
            </w:pPr>
            <w:r w:rsidRPr="00DD57E1">
              <w:rPr>
                <w:rFonts w:ascii="Times New Roman" w:hAnsi="Times New Roman" w:cs="Times New Roman"/>
                <w:sz w:val="24"/>
                <w:szCs w:val="24"/>
                <w:lang w:val="uk-UA"/>
              </w:rPr>
              <w:t xml:space="preserve">8) опис робіт із зазначенням фізичних обсягів та вартості, що заплановані до виконання у прогнозному періоді, та основних техніко-економічних показників </w:t>
            </w:r>
            <w:proofErr w:type="spellStart"/>
            <w:r w:rsidRPr="00DD57E1">
              <w:rPr>
                <w:rFonts w:ascii="Times New Roman" w:hAnsi="Times New Roman" w:cs="Times New Roman"/>
                <w:sz w:val="24"/>
                <w:szCs w:val="24"/>
                <w:lang w:val="uk-UA"/>
              </w:rPr>
              <w:t>проєктів</w:t>
            </w:r>
            <w:proofErr w:type="spellEnd"/>
            <w:r w:rsidRPr="00DD57E1">
              <w:rPr>
                <w:rFonts w:ascii="Times New Roman" w:hAnsi="Times New Roman" w:cs="Times New Roman"/>
                <w:sz w:val="24"/>
                <w:szCs w:val="24"/>
                <w:lang w:val="uk-UA"/>
              </w:rPr>
              <w:t xml:space="preserve"> (із зазначенням, зокрема, типу та кількості основного обладнання та матеріалів, що плануються до заміни/встановлення). По заходах, що передбачають демонтаж обладнання/матеріалів, необхідно зазначати інформацію щодо кількості обладнання/матеріалів, що підлягає демонтажу згідно з актами технічного стану, відповідно до розробленої </w:t>
            </w:r>
            <w:proofErr w:type="spellStart"/>
            <w:r w:rsidRPr="00DD57E1">
              <w:rPr>
                <w:rFonts w:ascii="Times New Roman" w:hAnsi="Times New Roman" w:cs="Times New Roman"/>
                <w:sz w:val="24"/>
                <w:szCs w:val="24"/>
                <w:lang w:val="uk-UA"/>
              </w:rPr>
              <w:t>проєктно</w:t>
            </w:r>
            <w:proofErr w:type="spellEnd"/>
            <w:r w:rsidRPr="00DD57E1">
              <w:rPr>
                <w:rFonts w:ascii="Times New Roman" w:hAnsi="Times New Roman" w:cs="Times New Roman"/>
                <w:sz w:val="24"/>
                <w:szCs w:val="24"/>
                <w:lang w:val="uk-UA"/>
              </w:rPr>
              <w:t xml:space="preserve">-кошторисної документації та кількості обладнання/матеріалів, що пропонується до встановлення на заміну демонтованих, із зазначенням інформації щодо подальшого застосування обладнання, що демонтується з причин, не пов'язаних із незадовільним технічним станом. </w:t>
            </w:r>
            <w:r w:rsidRPr="00DD57E1">
              <w:rPr>
                <w:rFonts w:ascii="Times New Roman" w:hAnsi="Times New Roman" w:cs="Times New Roman"/>
                <w:b/>
                <w:sz w:val="24"/>
                <w:szCs w:val="24"/>
                <w:lang w:val="uk-UA"/>
              </w:rPr>
              <w:t>При цьому по заходах ІП, що передбачають демонтаж обладнання/матеріалів, необхідно зазначити інформацію щодо плану виведення відповідних активів з регуляторного обліку.</w:t>
            </w:r>
            <w:r w:rsidRPr="00DD57E1">
              <w:rPr>
                <w:rFonts w:ascii="Times New Roman" w:hAnsi="Times New Roman" w:cs="Times New Roman"/>
                <w:sz w:val="24"/>
                <w:szCs w:val="24"/>
                <w:lang w:val="uk-UA"/>
              </w:rPr>
              <w:t xml:space="preserve"> По заходах, що мають перехідний характер, також зазначаються етапи виконання (план-графік, діаграма </w:t>
            </w:r>
            <w:proofErr w:type="spellStart"/>
            <w:r w:rsidRPr="00DD57E1">
              <w:rPr>
                <w:rFonts w:ascii="Times New Roman" w:hAnsi="Times New Roman" w:cs="Times New Roman"/>
                <w:sz w:val="24"/>
                <w:szCs w:val="24"/>
                <w:lang w:val="uk-UA"/>
              </w:rPr>
              <w:t>Ганта</w:t>
            </w:r>
            <w:proofErr w:type="spellEnd"/>
            <w:r w:rsidRPr="00DD57E1">
              <w:rPr>
                <w:rFonts w:ascii="Times New Roman" w:hAnsi="Times New Roman" w:cs="Times New Roman"/>
                <w:sz w:val="24"/>
                <w:szCs w:val="24"/>
                <w:lang w:val="uk-UA"/>
              </w:rPr>
              <w:t xml:space="preserve">), фізичні обсяги та фінансування по роках із урахуванням фактичного виконання). </w:t>
            </w:r>
            <w:r w:rsidR="00E26FD6" w:rsidRPr="00DD57E1">
              <w:rPr>
                <w:rFonts w:ascii="Times New Roman" w:hAnsi="Times New Roman" w:cs="Times New Roman"/>
                <w:strike/>
                <w:sz w:val="24"/>
                <w:szCs w:val="24"/>
                <w:lang w:val="uk-UA"/>
              </w:rPr>
              <w:t>Для заходів ІП також зазначаються відповідні цілі та показники (індикатори), що будуть досягнуті за результатом їх виконання</w:t>
            </w:r>
            <w:r w:rsidR="00DE185B" w:rsidRPr="00DD57E1">
              <w:rPr>
                <w:rFonts w:ascii="Times New Roman" w:hAnsi="Times New Roman" w:cs="Times New Roman"/>
                <w:strike/>
                <w:sz w:val="24"/>
                <w:szCs w:val="24"/>
                <w:lang w:val="uk-UA"/>
              </w:rPr>
              <w:t>,</w:t>
            </w:r>
            <w:r w:rsidR="00E26FD6" w:rsidRPr="00DD57E1">
              <w:rPr>
                <w:rFonts w:ascii="Times New Roman" w:hAnsi="Times New Roman" w:cs="Times New Roman"/>
                <w:strike/>
                <w:sz w:val="24"/>
                <w:szCs w:val="24"/>
                <w:lang w:val="uk-UA"/>
              </w:rPr>
              <w:t xml:space="preserve"> та орієнтовний термін проведення відповідної процедури закупівлі;</w:t>
            </w:r>
          </w:p>
          <w:p w14:paraId="64A1BCBA" w14:textId="77777777" w:rsidR="004B7725" w:rsidRPr="00DD57E1" w:rsidRDefault="004B7725" w:rsidP="004B7725">
            <w:pPr>
              <w:spacing w:after="0" w:line="240" w:lineRule="auto"/>
              <w:jc w:val="both"/>
              <w:rPr>
                <w:rFonts w:ascii="Times New Roman" w:hAnsi="Times New Roman" w:cs="Times New Roman"/>
                <w:b/>
                <w:sz w:val="24"/>
                <w:szCs w:val="24"/>
                <w:lang w:val="uk-UA"/>
              </w:rPr>
            </w:pPr>
            <w:r w:rsidRPr="00DD57E1">
              <w:rPr>
                <w:rFonts w:ascii="Times New Roman" w:hAnsi="Times New Roman" w:cs="Times New Roman"/>
                <w:b/>
                <w:sz w:val="24"/>
                <w:szCs w:val="24"/>
                <w:lang w:val="uk-UA"/>
              </w:rPr>
              <w:t>9) для окремих заходів ІП також зазначаються відповідні цілі та показники (індикатори), що будуть досягнуті за результатом їх виконання, та орієнтовний термін проведення відповідної процедури закупівлі;</w:t>
            </w:r>
          </w:p>
          <w:p w14:paraId="0B7CCECA" w14:textId="2BD21140" w:rsidR="004B7725" w:rsidRPr="00DD57E1" w:rsidRDefault="004B7725" w:rsidP="004B7725">
            <w:pPr>
              <w:spacing w:after="0" w:line="240" w:lineRule="auto"/>
              <w:jc w:val="both"/>
              <w:rPr>
                <w:rFonts w:ascii="Times New Roman" w:hAnsi="Times New Roman" w:cs="Times New Roman"/>
                <w:sz w:val="24"/>
                <w:szCs w:val="24"/>
                <w:lang w:val="uk-UA"/>
              </w:rPr>
            </w:pPr>
            <w:r w:rsidRPr="00DD57E1">
              <w:rPr>
                <w:rFonts w:ascii="Times New Roman" w:hAnsi="Times New Roman" w:cs="Times New Roman"/>
                <w:b/>
                <w:sz w:val="24"/>
                <w:szCs w:val="24"/>
                <w:lang w:val="uk-UA"/>
              </w:rPr>
              <w:t>10</w:t>
            </w:r>
            <w:r w:rsidRPr="00DD57E1">
              <w:rPr>
                <w:rFonts w:ascii="Times New Roman" w:hAnsi="Times New Roman" w:cs="Times New Roman"/>
                <w:sz w:val="24"/>
                <w:szCs w:val="24"/>
                <w:lang w:val="uk-UA"/>
              </w:rPr>
              <w:t>) опис та розрахунок запланованого економічного ефекту від впровадження заходу (робіт) ІП.</w:t>
            </w:r>
          </w:p>
        </w:tc>
      </w:tr>
      <w:tr w:rsidR="002342CA" w:rsidRPr="008D43C5" w14:paraId="6FECEC43" w14:textId="77777777" w:rsidTr="007F584C">
        <w:tc>
          <w:tcPr>
            <w:tcW w:w="421" w:type="dxa"/>
          </w:tcPr>
          <w:p w14:paraId="3773CB29"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7045BE55"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27" w:name="18919"/>
            <w:r w:rsidRPr="00C47D7E">
              <w:rPr>
                <w:rFonts w:ascii="Times New Roman" w:hAnsi="Times New Roman" w:cs="Times New Roman"/>
                <w:color w:val="000000"/>
                <w:sz w:val="24"/>
                <w:szCs w:val="24"/>
                <w:lang w:val="uk-UA"/>
              </w:rPr>
              <w:t xml:space="preserve">2.10. Оператор системи розподілу додає до кожного заходу ІП </w:t>
            </w:r>
            <w:proofErr w:type="spellStart"/>
            <w:r w:rsidRPr="00C47D7E">
              <w:rPr>
                <w:rFonts w:ascii="Times New Roman" w:hAnsi="Times New Roman" w:cs="Times New Roman"/>
                <w:color w:val="000000"/>
                <w:sz w:val="24"/>
                <w:szCs w:val="24"/>
                <w:lang w:val="uk-UA"/>
              </w:rPr>
              <w:t>обґрунтовуючі</w:t>
            </w:r>
            <w:proofErr w:type="spellEnd"/>
            <w:r w:rsidRPr="00C47D7E">
              <w:rPr>
                <w:rFonts w:ascii="Times New Roman" w:hAnsi="Times New Roman" w:cs="Times New Roman"/>
                <w:color w:val="000000"/>
                <w:sz w:val="24"/>
                <w:szCs w:val="24"/>
                <w:lang w:val="uk-UA"/>
              </w:rPr>
              <w:t xml:space="preserve"> матеріали, що, зокрема мають містити:</w:t>
            </w:r>
          </w:p>
          <w:p w14:paraId="731092E7" w14:textId="77777777" w:rsidR="005A1914" w:rsidRDefault="005A1914" w:rsidP="002342CA">
            <w:pPr>
              <w:spacing w:after="0" w:line="240" w:lineRule="auto"/>
              <w:ind w:firstLine="240"/>
              <w:jc w:val="both"/>
              <w:rPr>
                <w:rFonts w:ascii="Times New Roman" w:hAnsi="Times New Roman" w:cs="Times New Roman"/>
                <w:color w:val="000000"/>
                <w:sz w:val="24"/>
                <w:szCs w:val="24"/>
                <w:lang w:val="uk-UA"/>
              </w:rPr>
            </w:pPr>
            <w:bookmarkStart w:id="28" w:name="18920"/>
            <w:bookmarkEnd w:id="27"/>
          </w:p>
          <w:p w14:paraId="3EA3A5EF" w14:textId="1E886ED5" w:rsidR="002342CA" w:rsidRPr="00C47D7E" w:rsidRDefault="002342CA" w:rsidP="002342CA">
            <w:pPr>
              <w:spacing w:after="0" w:line="240" w:lineRule="auto"/>
              <w:ind w:firstLine="240"/>
              <w:jc w:val="both"/>
              <w:rPr>
                <w:rFonts w:ascii="Times New Roman" w:hAnsi="Times New Roman" w:cs="Times New Roman"/>
                <w:sz w:val="24"/>
                <w:szCs w:val="24"/>
                <w:lang w:val="uk-UA"/>
              </w:rPr>
            </w:pPr>
            <w:r w:rsidRPr="00C47D7E">
              <w:rPr>
                <w:rFonts w:ascii="Times New Roman" w:hAnsi="Times New Roman" w:cs="Times New Roman"/>
                <w:color w:val="000000"/>
                <w:sz w:val="24"/>
                <w:szCs w:val="24"/>
                <w:lang w:val="uk-UA"/>
              </w:rPr>
              <w:t xml:space="preserve">1) </w:t>
            </w:r>
            <w:proofErr w:type="spellStart"/>
            <w:r w:rsidRPr="00C47D7E">
              <w:rPr>
                <w:rFonts w:ascii="Times New Roman" w:hAnsi="Times New Roman" w:cs="Times New Roman"/>
                <w:color w:val="000000"/>
                <w:sz w:val="24"/>
                <w:szCs w:val="24"/>
                <w:lang w:val="uk-UA"/>
              </w:rPr>
              <w:t>проєктно</w:t>
            </w:r>
            <w:proofErr w:type="spellEnd"/>
            <w:r w:rsidRPr="00C47D7E">
              <w:rPr>
                <w:rFonts w:ascii="Times New Roman" w:hAnsi="Times New Roman" w:cs="Times New Roman"/>
                <w:color w:val="000000"/>
                <w:sz w:val="24"/>
                <w:szCs w:val="24"/>
                <w:lang w:val="uk-UA"/>
              </w:rPr>
              <w:t xml:space="preserve">-кошторисну документацію з виконання відповідних робіт, розроблену та затверджену відповідно до вимог чинного законодавства. При цьому обсяги робіт та ресурсів (матеріалів, обладнання тощо) у кошторисній документації повинні бути підтверджені відповідними обсягами у затвердженій </w:t>
            </w:r>
            <w:proofErr w:type="spellStart"/>
            <w:r w:rsidRPr="00C47D7E">
              <w:rPr>
                <w:rFonts w:ascii="Times New Roman" w:hAnsi="Times New Roman" w:cs="Times New Roman"/>
                <w:color w:val="000000"/>
                <w:sz w:val="24"/>
                <w:szCs w:val="24"/>
                <w:lang w:val="uk-UA"/>
              </w:rPr>
              <w:t>проєктній</w:t>
            </w:r>
            <w:proofErr w:type="spellEnd"/>
            <w:r w:rsidRPr="00C47D7E">
              <w:rPr>
                <w:rFonts w:ascii="Times New Roman" w:hAnsi="Times New Roman" w:cs="Times New Roman"/>
                <w:color w:val="000000"/>
                <w:sz w:val="24"/>
                <w:szCs w:val="24"/>
                <w:lang w:val="uk-UA"/>
              </w:rPr>
              <w:t xml:space="preserve"> частині;</w:t>
            </w:r>
          </w:p>
          <w:p w14:paraId="2721A0C3" w14:textId="77777777" w:rsidR="002342CA" w:rsidRDefault="002342CA" w:rsidP="002342CA">
            <w:pPr>
              <w:spacing w:after="0" w:line="240" w:lineRule="auto"/>
              <w:ind w:firstLine="240"/>
              <w:jc w:val="both"/>
              <w:rPr>
                <w:rFonts w:ascii="Times New Roman" w:hAnsi="Times New Roman" w:cs="Times New Roman"/>
                <w:color w:val="000000"/>
                <w:sz w:val="24"/>
                <w:szCs w:val="24"/>
                <w:lang w:val="uk-UA"/>
              </w:rPr>
            </w:pPr>
            <w:bookmarkStart w:id="29" w:name="18921"/>
            <w:bookmarkEnd w:id="28"/>
          </w:p>
          <w:p w14:paraId="502111A3" w14:textId="77777777" w:rsidR="002342CA" w:rsidRDefault="002342CA" w:rsidP="002342CA">
            <w:pPr>
              <w:spacing w:after="0" w:line="240" w:lineRule="auto"/>
              <w:ind w:firstLine="240"/>
              <w:jc w:val="both"/>
              <w:rPr>
                <w:rFonts w:ascii="Times New Roman" w:hAnsi="Times New Roman" w:cs="Times New Roman"/>
                <w:color w:val="000000"/>
                <w:sz w:val="24"/>
                <w:szCs w:val="24"/>
                <w:lang w:val="uk-UA"/>
              </w:rPr>
            </w:pPr>
          </w:p>
          <w:p w14:paraId="1FAE67EB" w14:textId="77777777" w:rsidR="002342CA" w:rsidRDefault="002342CA" w:rsidP="002342CA">
            <w:pPr>
              <w:spacing w:after="0" w:line="240" w:lineRule="auto"/>
              <w:ind w:firstLine="240"/>
              <w:jc w:val="both"/>
              <w:rPr>
                <w:rFonts w:ascii="Times New Roman" w:hAnsi="Times New Roman" w:cs="Times New Roman"/>
                <w:color w:val="000000"/>
                <w:sz w:val="24"/>
                <w:szCs w:val="24"/>
                <w:lang w:val="uk-UA"/>
              </w:rPr>
            </w:pPr>
          </w:p>
          <w:p w14:paraId="155EFF95" w14:textId="012A3AD1" w:rsidR="002342CA" w:rsidRPr="00A328C9" w:rsidRDefault="00A328C9" w:rsidP="002342CA">
            <w:pPr>
              <w:spacing w:after="0" w:line="240" w:lineRule="auto"/>
              <w:ind w:firstLine="240"/>
              <w:jc w:val="both"/>
              <w:rPr>
                <w:rFonts w:ascii="Times New Roman" w:hAnsi="Times New Roman" w:cs="Times New Roman"/>
                <w:b/>
                <w:sz w:val="24"/>
                <w:szCs w:val="24"/>
                <w:lang w:val="uk-UA"/>
              </w:rPr>
            </w:pPr>
            <w:bookmarkStart w:id="30" w:name="18922"/>
            <w:bookmarkEnd w:id="29"/>
            <w:r w:rsidRPr="00A328C9">
              <w:rPr>
                <w:rFonts w:ascii="Times New Roman" w:hAnsi="Times New Roman" w:cs="Times New Roman"/>
                <w:b/>
                <w:color w:val="000000"/>
                <w:sz w:val="24"/>
                <w:szCs w:val="24"/>
                <w:lang w:val="uk-UA"/>
              </w:rPr>
              <w:t>…</w:t>
            </w:r>
          </w:p>
          <w:p w14:paraId="787FAF06"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31" w:name="18923"/>
            <w:bookmarkEnd w:id="30"/>
            <w:r w:rsidRPr="00C47D7E">
              <w:rPr>
                <w:rFonts w:ascii="Times New Roman" w:hAnsi="Times New Roman" w:cs="Times New Roman"/>
                <w:color w:val="000000"/>
                <w:sz w:val="24"/>
                <w:szCs w:val="24"/>
                <w:lang w:val="uk-UA"/>
              </w:rPr>
              <w:t xml:space="preserve">4) акти, експертні звіти (висновки) щодо необхідності заміни відповідного обладнання, програмних засобів, технічні паспорти, протоколи замірів (акти, відомості тощо), протоколи випробувань та вимірювань, відповідні технічні завдання на </w:t>
            </w:r>
            <w:proofErr w:type="spellStart"/>
            <w:r w:rsidRPr="00C47D7E">
              <w:rPr>
                <w:rFonts w:ascii="Times New Roman" w:hAnsi="Times New Roman" w:cs="Times New Roman"/>
                <w:color w:val="000000"/>
                <w:sz w:val="24"/>
                <w:szCs w:val="24"/>
                <w:lang w:val="uk-UA"/>
              </w:rPr>
              <w:t>проєктування</w:t>
            </w:r>
            <w:proofErr w:type="spellEnd"/>
            <w:r w:rsidRPr="00C47D7E">
              <w:rPr>
                <w:rFonts w:ascii="Times New Roman" w:hAnsi="Times New Roman" w:cs="Times New Roman"/>
                <w:color w:val="000000"/>
                <w:sz w:val="24"/>
                <w:szCs w:val="24"/>
                <w:lang w:val="uk-UA"/>
              </w:rPr>
              <w:t xml:space="preserve">, затверджені в установленому порядку із зазначенням стадії </w:t>
            </w:r>
            <w:proofErr w:type="spellStart"/>
            <w:r w:rsidRPr="00C47D7E">
              <w:rPr>
                <w:rFonts w:ascii="Times New Roman" w:hAnsi="Times New Roman" w:cs="Times New Roman"/>
                <w:color w:val="000000"/>
                <w:sz w:val="24"/>
                <w:szCs w:val="24"/>
                <w:lang w:val="uk-UA"/>
              </w:rPr>
              <w:t>проєктування</w:t>
            </w:r>
            <w:proofErr w:type="spellEnd"/>
            <w:r w:rsidRPr="00C47D7E">
              <w:rPr>
                <w:rFonts w:ascii="Times New Roman" w:hAnsi="Times New Roman" w:cs="Times New Roman"/>
                <w:color w:val="000000"/>
                <w:sz w:val="24"/>
                <w:szCs w:val="24"/>
                <w:lang w:val="uk-UA"/>
              </w:rPr>
              <w:t xml:space="preserve"> (ТЕО, </w:t>
            </w:r>
            <w:proofErr w:type="spellStart"/>
            <w:r w:rsidRPr="00C47D7E">
              <w:rPr>
                <w:rFonts w:ascii="Times New Roman" w:hAnsi="Times New Roman" w:cs="Times New Roman"/>
                <w:color w:val="000000"/>
                <w:sz w:val="24"/>
                <w:szCs w:val="24"/>
                <w:lang w:val="uk-UA"/>
              </w:rPr>
              <w:t>проєкт</w:t>
            </w:r>
            <w:proofErr w:type="spellEnd"/>
            <w:r w:rsidRPr="00C47D7E">
              <w:rPr>
                <w:rFonts w:ascii="Times New Roman" w:hAnsi="Times New Roman" w:cs="Times New Roman"/>
                <w:color w:val="000000"/>
                <w:sz w:val="24"/>
                <w:szCs w:val="24"/>
                <w:lang w:val="uk-UA"/>
              </w:rPr>
              <w:t xml:space="preserve">, робочий </w:t>
            </w:r>
            <w:proofErr w:type="spellStart"/>
            <w:r w:rsidRPr="00C47D7E">
              <w:rPr>
                <w:rFonts w:ascii="Times New Roman" w:hAnsi="Times New Roman" w:cs="Times New Roman"/>
                <w:color w:val="000000"/>
                <w:sz w:val="24"/>
                <w:szCs w:val="24"/>
                <w:lang w:val="uk-UA"/>
              </w:rPr>
              <w:t>проєкт</w:t>
            </w:r>
            <w:proofErr w:type="spellEnd"/>
            <w:r w:rsidRPr="00C47D7E">
              <w:rPr>
                <w:rFonts w:ascii="Times New Roman" w:hAnsi="Times New Roman" w:cs="Times New Roman"/>
                <w:color w:val="000000"/>
                <w:sz w:val="24"/>
                <w:szCs w:val="24"/>
                <w:lang w:val="uk-UA"/>
              </w:rPr>
              <w:t xml:space="preserve"> тощо), та інші матеріали;</w:t>
            </w:r>
          </w:p>
          <w:p w14:paraId="556A71DA" w14:textId="77777777" w:rsidR="002342CA" w:rsidRDefault="002342CA" w:rsidP="002342CA">
            <w:pPr>
              <w:spacing w:after="0" w:line="240" w:lineRule="auto"/>
              <w:ind w:firstLine="240"/>
              <w:jc w:val="both"/>
              <w:rPr>
                <w:rFonts w:ascii="Times New Roman" w:hAnsi="Times New Roman" w:cs="Times New Roman"/>
                <w:color w:val="000000"/>
                <w:sz w:val="24"/>
                <w:szCs w:val="24"/>
                <w:lang w:val="uk-UA"/>
              </w:rPr>
            </w:pPr>
            <w:bookmarkStart w:id="32" w:name="31818"/>
            <w:bookmarkEnd w:id="31"/>
          </w:p>
          <w:p w14:paraId="6F9E9361" w14:textId="65191B88" w:rsidR="002342CA" w:rsidRDefault="002342CA" w:rsidP="002342CA">
            <w:pPr>
              <w:spacing w:after="0" w:line="240" w:lineRule="auto"/>
              <w:ind w:firstLine="240"/>
              <w:jc w:val="both"/>
              <w:rPr>
                <w:rFonts w:ascii="Times New Roman" w:hAnsi="Times New Roman" w:cs="Times New Roman"/>
                <w:color w:val="000000"/>
                <w:sz w:val="24"/>
                <w:szCs w:val="24"/>
                <w:lang w:val="uk-UA"/>
              </w:rPr>
            </w:pPr>
          </w:p>
          <w:p w14:paraId="0F422227" w14:textId="77777777" w:rsidR="00A328C9" w:rsidRDefault="00A328C9" w:rsidP="002342CA">
            <w:pPr>
              <w:spacing w:after="0" w:line="240" w:lineRule="auto"/>
              <w:ind w:firstLine="240"/>
              <w:jc w:val="both"/>
              <w:rPr>
                <w:rFonts w:ascii="Times New Roman" w:hAnsi="Times New Roman" w:cs="Times New Roman"/>
                <w:color w:val="000000"/>
                <w:sz w:val="24"/>
                <w:szCs w:val="24"/>
                <w:lang w:val="uk-UA"/>
              </w:rPr>
            </w:pPr>
          </w:p>
          <w:p w14:paraId="6DD04CF8" w14:textId="43FB0B57" w:rsidR="002342CA" w:rsidRPr="00A328C9" w:rsidRDefault="00A328C9" w:rsidP="002342CA">
            <w:pPr>
              <w:spacing w:after="0" w:line="240" w:lineRule="auto"/>
              <w:ind w:firstLine="240"/>
              <w:jc w:val="both"/>
              <w:rPr>
                <w:rFonts w:ascii="Times New Roman" w:hAnsi="Times New Roman" w:cs="Times New Roman"/>
                <w:b/>
                <w:sz w:val="24"/>
                <w:szCs w:val="24"/>
                <w:lang w:val="uk-UA"/>
              </w:rPr>
            </w:pPr>
            <w:bookmarkStart w:id="33" w:name="18925"/>
            <w:bookmarkEnd w:id="32"/>
            <w:r w:rsidRPr="00A328C9">
              <w:rPr>
                <w:rFonts w:ascii="Times New Roman" w:hAnsi="Times New Roman" w:cs="Times New Roman"/>
                <w:b/>
                <w:color w:val="000000"/>
                <w:sz w:val="24"/>
                <w:szCs w:val="24"/>
                <w:lang w:val="uk-UA"/>
              </w:rPr>
              <w:t>…</w:t>
            </w:r>
          </w:p>
          <w:bookmarkEnd w:id="33"/>
          <w:p w14:paraId="6B25C16C" w14:textId="77777777" w:rsidR="002342CA" w:rsidRPr="00C47D7E" w:rsidRDefault="002342CA" w:rsidP="002342CA">
            <w:pPr>
              <w:spacing w:after="0" w:line="240" w:lineRule="auto"/>
              <w:ind w:firstLine="240"/>
              <w:jc w:val="both"/>
              <w:rPr>
                <w:rFonts w:ascii="Times New Roman" w:hAnsi="Times New Roman" w:cs="Times New Roman"/>
                <w:color w:val="000000"/>
                <w:sz w:val="24"/>
                <w:szCs w:val="24"/>
                <w:lang w:val="uk-UA"/>
              </w:rPr>
            </w:pPr>
          </w:p>
        </w:tc>
        <w:tc>
          <w:tcPr>
            <w:tcW w:w="7371" w:type="dxa"/>
          </w:tcPr>
          <w:p w14:paraId="48BC3778" w14:textId="2F02EDEC" w:rsidR="002342CA" w:rsidRPr="00DD57E1" w:rsidRDefault="005A1914" w:rsidP="005A1914">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 xml:space="preserve">2.10. Оператор системи розподілу додає до кожного заходу ІП </w:t>
            </w:r>
            <w:proofErr w:type="spellStart"/>
            <w:r w:rsidRPr="00DD57E1">
              <w:rPr>
                <w:rFonts w:ascii="Times New Roman" w:hAnsi="Times New Roman" w:cs="Times New Roman"/>
                <w:sz w:val="24"/>
                <w:szCs w:val="24"/>
                <w:lang w:val="uk-UA"/>
              </w:rPr>
              <w:t>обґрунтовуючі</w:t>
            </w:r>
            <w:proofErr w:type="spellEnd"/>
            <w:r w:rsidRPr="00DD57E1">
              <w:rPr>
                <w:rFonts w:ascii="Times New Roman" w:hAnsi="Times New Roman" w:cs="Times New Roman"/>
                <w:sz w:val="24"/>
                <w:szCs w:val="24"/>
                <w:lang w:val="uk-UA"/>
              </w:rPr>
              <w:t xml:space="preserve"> матеріали, що, зокрема мають містити:</w:t>
            </w:r>
          </w:p>
          <w:p w14:paraId="452A7AF3" w14:textId="77777777" w:rsidR="005A1914" w:rsidRPr="00DD57E1" w:rsidRDefault="005A1914" w:rsidP="002342CA">
            <w:pPr>
              <w:spacing w:after="0" w:line="240" w:lineRule="auto"/>
              <w:ind w:firstLine="240"/>
              <w:jc w:val="both"/>
              <w:rPr>
                <w:rFonts w:ascii="Times New Roman" w:hAnsi="Times New Roman" w:cs="Times New Roman"/>
                <w:sz w:val="24"/>
                <w:szCs w:val="24"/>
                <w:lang w:val="uk-UA"/>
              </w:rPr>
            </w:pPr>
          </w:p>
          <w:p w14:paraId="227C220F" w14:textId="5944F2FB" w:rsidR="002342CA" w:rsidRPr="00DD57E1" w:rsidRDefault="002342CA" w:rsidP="002342CA">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sz w:val="24"/>
                <w:szCs w:val="24"/>
                <w:lang w:val="uk-UA"/>
              </w:rPr>
              <w:t xml:space="preserve">1) </w:t>
            </w:r>
            <w:proofErr w:type="spellStart"/>
            <w:r w:rsidRPr="00DD57E1">
              <w:rPr>
                <w:rFonts w:ascii="Times New Roman" w:hAnsi="Times New Roman" w:cs="Times New Roman"/>
                <w:sz w:val="24"/>
                <w:szCs w:val="24"/>
                <w:lang w:val="uk-UA"/>
              </w:rPr>
              <w:t>проєктно</w:t>
            </w:r>
            <w:proofErr w:type="spellEnd"/>
            <w:r w:rsidRPr="00DD57E1">
              <w:rPr>
                <w:rFonts w:ascii="Times New Roman" w:hAnsi="Times New Roman" w:cs="Times New Roman"/>
                <w:sz w:val="24"/>
                <w:szCs w:val="24"/>
                <w:lang w:val="uk-UA"/>
              </w:rPr>
              <w:t xml:space="preserve">-кошторисну документацію з виконання відповідних робіт, розроблену та затверджену відповідно до вимог чинного законодавства. При цьому обсяги робіт та ресурсів (матеріалів, обладнання тощо) у кошторисній документації повинні бути підтверджені відповідними обсягами у затвердженій </w:t>
            </w:r>
            <w:proofErr w:type="spellStart"/>
            <w:r w:rsidRPr="00DD57E1">
              <w:rPr>
                <w:rFonts w:ascii="Times New Roman" w:hAnsi="Times New Roman" w:cs="Times New Roman"/>
                <w:sz w:val="24"/>
                <w:szCs w:val="24"/>
                <w:lang w:val="uk-UA"/>
              </w:rPr>
              <w:t>проєктній</w:t>
            </w:r>
            <w:proofErr w:type="spellEnd"/>
            <w:r w:rsidRPr="00DD57E1">
              <w:rPr>
                <w:rFonts w:ascii="Times New Roman" w:hAnsi="Times New Roman" w:cs="Times New Roman"/>
                <w:sz w:val="24"/>
                <w:szCs w:val="24"/>
                <w:lang w:val="uk-UA"/>
              </w:rPr>
              <w:t xml:space="preserve"> частині</w:t>
            </w:r>
            <w:r w:rsidRPr="00DD57E1">
              <w:rPr>
                <w:rFonts w:ascii="Times New Roman" w:hAnsi="Times New Roman" w:cs="Times New Roman"/>
                <w:b/>
                <w:sz w:val="24"/>
                <w:szCs w:val="24"/>
                <w:lang w:val="uk-UA"/>
              </w:rPr>
              <w:t xml:space="preserve">, а технічні рішення, застосовані у </w:t>
            </w:r>
            <w:proofErr w:type="spellStart"/>
            <w:r w:rsidRPr="00DD57E1">
              <w:rPr>
                <w:rFonts w:ascii="Times New Roman" w:hAnsi="Times New Roman" w:cs="Times New Roman"/>
                <w:b/>
                <w:sz w:val="24"/>
                <w:szCs w:val="24"/>
                <w:lang w:val="uk-UA"/>
              </w:rPr>
              <w:t>проєктно</w:t>
            </w:r>
            <w:proofErr w:type="spellEnd"/>
            <w:r w:rsidRPr="00DD57E1">
              <w:rPr>
                <w:rFonts w:ascii="Times New Roman" w:hAnsi="Times New Roman" w:cs="Times New Roman"/>
                <w:b/>
                <w:sz w:val="24"/>
                <w:szCs w:val="24"/>
                <w:lang w:val="uk-UA"/>
              </w:rPr>
              <w:t xml:space="preserve">-кошторисній документації, мають відповідати технічним </w:t>
            </w:r>
            <w:r w:rsidR="00890E81" w:rsidRPr="00DD57E1">
              <w:rPr>
                <w:rFonts w:ascii="Times New Roman" w:hAnsi="Times New Roman" w:cs="Times New Roman"/>
                <w:b/>
                <w:sz w:val="24"/>
                <w:szCs w:val="24"/>
                <w:lang w:val="uk-UA"/>
              </w:rPr>
              <w:t>рішенням  у відповідному ПРСР;</w:t>
            </w:r>
          </w:p>
          <w:p w14:paraId="0F335B77" w14:textId="77777777" w:rsidR="002342CA" w:rsidRPr="00DD57E1" w:rsidRDefault="002342CA" w:rsidP="002342CA">
            <w:pPr>
              <w:spacing w:after="0" w:line="240" w:lineRule="auto"/>
              <w:ind w:firstLine="240"/>
              <w:jc w:val="both"/>
              <w:rPr>
                <w:rFonts w:ascii="Times New Roman" w:hAnsi="Times New Roman" w:cs="Times New Roman"/>
                <w:sz w:val="24"/>
                <w:szCs w:val="24"/>
                <w:lang w:val="uk-UA"/>
              </w:rPr>
            </w:pPr>
          </w:p>
          <w:p w14:paraId="07F32F72" w14:textId="522B754B" w:rsidR="00A328C9" w:rsidRPr="00DD57E1" w:rsidRDefault="00A328C9" w:rsidP="00A328C9">
            <w:pPr>
              <w:spacing w:after="0" w:line="240" w:lineRule="auto"/>
              <w:jc w:val="both"/>
              <w:rPr>
                <w:rFonts w:ascii="Times New Roman" w:hAnsi="Times New Roman" w:cs="Times New Roman"/>
                <w:sz w:val="24"/>
                <w:szCs w:val="24"/>
                <w:lang w:val="uk-UA"/>
              </w:rPr>
            </w:pPr>
          </w:p>
          <w:p w14:paraId="3972AB91" w14:textId="76E345A1" w:rsidR="002342CA" w:rsidRPr="00DD57E1" w:rsidRDefault="002342CA" w:rsidP="002342CA">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 xml:space="preserve">4) акти, експертні звіти (висновки) щодо необхідності заміни відповідного обладнання, програмних засобів, технічні паспорти, протоколи замірів (акти, відомості тощо), протоколи випробувань та вимірювань, відповідні технічні завдання на </w:t>
            </w:r>
            <w:proofErr w:type="spellStart"/>
            <w:r w:rsidRPr="00DD57E1">
              <w:rPr>
                <w:rFonts w:ascii="Times New Roman" w:hAnsi="Times New Roman" w:cs="Times New Roman"/>
                <w:sz w:val="24"/>
                <w:szCs w:val="24"/>
                <w:lang w:val="uk-UA"/>
              </w:rPr>
              <w:t>проєктування</w:t>
            </w:r>
            <w:proofErr w:type="spellEnd"/>
            <w:r w:rsidRPr="00DD57E1">
              <w:rPr>
                <w:rFonts w:ascii="Times New Roman" w:hAnsi="Times New Roman" w:cs="Times New Roman"/>
                <w:sz w:val="24"/>
                <w:szCs w:val="24"/>
                <w:lang w:val="uk-UA"/>
              </w:rPr>
              <w:t xml:space="preserve">, затверджені в установленому порядку із зазначенням стадії </w:t>
            </w:r>
            <w:proofErr w:type="spellStart"/>
            <w:r w:rsidRPr="00DD57E1">
              <w:rPr>
                <w:rFonts w:ascii="Times New Roman" w:hAnsi="Times New Roman" w:cs="Times New Roman"/>
                <w:sz w:val="24"/>
                <w:szCs w:val="24"/>
                <w:lang w:val="uk-UA"/>
              </w:rPr>
              <w:t>проєктування</w:t>
            </w:r>
            <w:proofErr w:type="spellEnd"/>
            <w:r w:rsidRPr="00DD57E1">
              <w:rPr>
                <w:rFonts w:ascii="Times New Roman" w:hAnsi="Times New Roman" w:cs="Times New Roman"/>
                <w:sz w:val="24"/>
                <w:szCs w:val="24"/>
                <w:lang w:val="uk-UA"/>
              </w:rPr>
              <w:t xml:space="preserve"> (ТЕО, </w:t>
            </w:r>
            <w:proofErr w:type="spellStart"/>
            <w:r w:rsidRPr="00DD57E1">
              <w:rPr>
                <w:rFonts w:ascii="Times New Roman" w:hAnsi="Times New Roman" w:cs="Times New Roman"/>
                <w:sz w:val="24"/>
                <w:szCs w:val="24"/>
                <w:lang w:val="uk-UA"/>
              </w:rPr>
              <w:t>проєкт</w:t>
            </w:r>
            <w:proofErr w:type="spellEnd"/>
            <w:r w:rsidRPr="00DD57E1">
              <w:rPr>
                <w:rFonts w:ascii="Times New Roman" w:hAnsi="Times New Roman" w:cs="Times New Roman"/>
                <w:sz w:val="24"/>
                <w:szCs w:val="24"/>
                <w:lang w:val="uk-UA"/>
              </w:rPr>
              <w:t xml:space="preserve">, робочий </w:t>
            </w:r>
            <w:proofErr w:type="spellStart"/>
            <w:r w:rsidRPr="00DD57E1">
              <w:rPr>
                <w:rFonts w:ascii="Times New Roman" w:hAnsi="Times New Roman" w:cs="Times New Roman"/>
                <w:sz w:val="24"/>
                <w:szCs w:val="24"/>
                <w:lang w:val="uk-UA"/>
              </w:rPr>
              <w:t>проєкт</w:t>
            </w:r>
            <w:proofErr w:type="spellEnd"/>
            <w:r w:rsidRPr="00DD57E1">
              <w:rPr>
                <w:rFonts w:ascii="Times New Roman" w:hAnsi="Times New Roman" w:cs="Times New Roman"/>
                <w:sz w:val="24"/>
                <w:szCs w:val="24"/>
                <w:lang w:val="uk-UA"/>
              </w:rPr>
              <w:t xml:space="preserve"> тощо), та інші матеріали</w:t>
            </w:r>
            <w:r w:rsidRPr="00DD57E1">
              <w:rPr>
                <w:rFonts w:ascii="Times New Roman" w:hAnsi="Times New Roman" w:cs="Times New Roman"/>
                <w:b/>
                <w:sz w:val="24"/>
                <w:szCs w:val="24"/>
                <w:lang w:val="uk-UA"/>
              </w:rPr>
              <w:t xml:space="preserve">. При цьому вказані </w:t>
            </w:r>
            <w:proofErr w:type="spellStart"/>
            <w:r w:rsidRPr="00DD57E1">
              <w:rPr>
                <w:rFonts w:ascii="Times New Roman" w:hAnsi="Times New Roman" w:cs="Times New Roman"/>
                <w:b/>
                <w:sz w:val="24"/>
                <w:szCs w:val="24"/>
                <w:lang w:val="uk-UA"/>
              </w:rPr>
              <w:t>обґрунтовуючі</w:t>
            </w:r>
            <w:proofErr w:type="spellEnd"/>
            <w:r w:rsidRPr="00DD57E1">
              <w:rPr>
                <w:rFonts w:ascii="Times New Roman" w:hAnsi="Times New Roman" w:cs="Times New Roman"/>
                <w:b/>
                <w:sz w:val="24"/>
                <w:szCs w:val="24"/>
                <w:lang w:val="uk-UA"/>
              </w:rPr>
              <w:t xml:space="preserve"> матеріали до заходу ІП повинні відповідати </w:t>
            </w:r>
            <w:proofErr w:type="spellStart"/>
            <w:r w:rsidRPr="00DD57E1">
              <w:rPr>
                <w:rFonts w:ascii="Times New Roman" w:hAnsi="Times New Roman" w:cs="Times New Roman"/>
                <w:b/>
                <w:sz w:val="24"/>
                <w:szCs w:val="24"/>
                <w:lang w:val="uk-UA"/>
              </w:rPr>
              <w:t>обґрунтовуючим</w:t>
            </w:r>
            <w:proofErr w:type="spellEnd"/>
            <w:r w:rsidRPr="00DD57E1">
              <w:rPr>
                <w:rFonts w:ascii="Times New Roman" w:hAnsi="Times New Roman" w:cs="Times New Roman"/>
                <w:b/>
                <w:sz w:val="24"/>
                <w:szCs w:val="24"/>
                <w:lang w:val="uk-UA"/>
              </w:rPr>
              <w:t xml:space="preserve"> матеріалам до відповідного заходу ПРСР</w:t>
            </w:r>
            <w:r w:rsidRPr="00DD57E1">
              <w:rPr>
                <w:rFonts w:ascii="Times New Roman" w:hAnsi="Times New Roman" w:cs="Times New Roman"/>
                <w:sz w:val="24"/>
                <w:szCs w:val="24"/>
                <w:lang w:val="uk-UA"/>
              </w:rPr>
              <w:t>;</w:t>
            </w:r>
          </w:p>
          <w:p w14:paraId="7F2CACC5" w14:textId="77777777" w:rsidR="002342CA" w:rsidRPr="00DD57E1" w:rsidRDefault="002342CA" w:rsidP="002342CA">
            <w:pPr>
              <w:spacing w:after="0" w:line="240" w:lineRule="auto"/>
              <w:rPr>
                <w:rFonts w:ascii="Times New Roman" w:hAnsi="Times New Roman" w:cs="Times New Roman"/>
                <w:lang w:val="uk-UA"/>
              </w:rPr>
            </w:pPr>
          </w:p>
        </w:tc>
      </w:tr>
      <w:tr w:rsidR="002342CA" w:rsidRPr="008D43C5" w14:paraId="206AFFCE" w14:textId="77777777" w:rsidTr="007F584C">
        <w:tc>
          <w:tcPr>
            <w:tcW w:w="421" w:type="dxa"/>
          </w:tcPr>
          <w:p w14:paraId="6F30B95A"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3B43AB01"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34" w:name="18926"/>
            <w:r w:rsidRPr="00C47D7E">
              <w:rPr>
                <w:rFonts w:ascii="Times New Roman" w:hAnsi="Times New Roman" w:cs="Times New Roman"/>
                <w:color w:val="000000"/>
                <w:sz w:val="24"/>
                <w:szCs w:val="24"/>
                <w:lang w:val="uk-UA"/>
              </w:rPr>
              <w:t>2.11. При формуванні ІП на прогнозний період оператор системи розподілу повинен передбачити виконання перехідних заходів з попередніх періодів.</w:t>
            </w:r>
          </w:p>
          <w:p w14:paraId="2E042233"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35" w:name="18927"/>
            <w:bookmarkEnd w:id="34"/>
            <w:r w:rsidRPr="00C47D7E">
              <w:rPr>
                <w:rFonts w:ascii="Times New Roman" w:hAnsi="Times New Roman" w:cs="Times New Roman"/>
                <w:color w:val="000000"/>
                <w:sz w:val="24"/>
                <w:szCs w:val="24"/>
                <w:lang w:val="uk-UA"/>
              </w:rPr>
              <w:t>Кількість перехідних заходів у складі ІП може бути, як правило, не більше трьох, за виключенням заходів, виконання яких протягом прогнозного періоду є неможливим через режимні обмеження, що підтверджується наданням відповідних документів та розрахунків.</w:t>
            </w:r>
            <w:bookmarkEnd w:id="35"/>
          </w:p>
        </w:tc>
        <w:tc>
          <w:tcPr>
            <w:tcW w:w="7371" w:type="dxa"/>
          </w:tcPr>
          <w:p w14:paraId="6FA0DA63" w14:textId="77777777" w:rsidR="002342CA" w:rsidRPr="00DD57E1" w:rsidRDefault="002342CA" w:rsidP="002342CA">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2.11. При формуванні ІП на прогнозний період оператор системи розподілу повинен передбачити виконання перехідних заходів з попередніх періодів.</w:t>
            </w:r>
          </w:p>
          <w:p w14:paraId="08E6FC55" w14:textId="77777777" w:rsidR="002342CA" w:rsidRPr="00DD57E1" w:rsidRDefault="002342CA" w:rsidP="002342CA">
            <w:pPr>
              <w:spacing w:after="0" w:line="240" w:lineRule="auto"/>
              <w:ind w:firstLine="317"/>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Кількість перехідних заходів</w:t>
            </w:r>
            <w:r w:rsidRPr="00DD57E1">
              <w:rPr>
                <w:rFonts w:ascii="Times New Roman" w:hAnsi="Times New Roman" w:cs="Times New Roman"/>
                <w:b/>
                <w:sz w:val="24"/>
                <w:szCs w:val="24"/>
                <w:lang w:val="uk-UA"/>
              </w:rPr>
              <w:t>, початком виконання яких є прогнозний період,</w:t>
            </w:r>
            <w:r w:rsidRPr="00DD57E1">
              <w:rPr>
                <w:rFonts w:ascii="Times New Roman" w:hAnsi="Times New Roman" w:cs="Times New Roman"/>
                <w:sz w:val="24"/>
                <w:szCs w:val="24"/>
                <w:lang w:val="uk-UA"/>
              </w:rPr>
              <w:t xml:space="preserve"> у складі ІП може бути, як правило, не більше трьох, за виключенням заходів, виконання яких протягом прогнозного </w:t>
            </w:r>
            <w:r w:rsidRPr="00DD57E1">
              <w:rPr>
                <w:rFonts w:ascii="Times New Roman" w:hAnsi="Times New Roman" w:cs="Times New Roman"/>
                <w:sz w:val="24"/>
                <w:szCs w:val="24"/>
                <w:lang w:val="uk-UA"/>
              </w:rPr>
              <w:lastRenderedPageBreak/>
              <w:t>періоду є неможливим через режимні обмеження, що підтверджується наданням відповідних документів та розрахунків.</w:t>
            </w:r>
          </w:p>
        </w:tc>
      </w:tr>
      <w:tr w:rsidR="002342CA" w:rsidRPr="007A6290" w14:paraId="37948C5B" w14:textId="77777777" w:rsidTr="007F584C">
        <w:tc>
          <w:tcPr>
            <w:tcW w:w="421" w:type="dxa"/>
          </w:tcPr>
          <w:p w14:paraId="14F46EF3"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0051243E" w14:textId="6286BCE8" w:rsidR="002342CA" w:rsidRPr="00D764D9" w:rsidRDefault="00D764D9" w:rsidP="002342CA">
            <w:pPr>
              <w:spacing w:after="0" w:line="240" w:lineRule="auto"/>
              <w:ind w:firstLine="240"/>
              <w:jc w:val="both"/>
              <w:rPr>
                <w:rFonts w:ascii="Times New Roman" w:hAnsi="Times New Roman" w:cs="Times New Roman"/>
                <w:b/>
                <w:sz w:val="24"/>
                <w:szCs w:val="24"/>
                <w:lang w:val="uk-UA"/>
              </w:rPr>
            </w:pPr>
            <w:r w:rsidRPr="00D764D9">
              <w:rPr>
                <w:rFonts w:ascii="Times New Roman" w:hAnsi="Times New Roman" w:cs="Times New Roman"/>
                <w:b/>
                <w:color w:val="000000"/>
                <w:sz w:val="24"/>
                <w:szCs w:val="24"/>
                <w:lang w:val="uk-UA"/>
              </w:rPr>
              <w:t>…</w:t>
            </w:r>
          </w:p>
        </w:tc>
        <w:tc>
          <w:tcPr>
            <w:tcW w:w="7371" w:type="dxa"/>
          </w:tcPr>
          <w:p w14:paraId="43E80855" w14:textId="77777777" w:rsidR="002342CA" w:rsidRPr="00DD57E1" w:rsidRDefault="002342CA" w:rsidP="002342CA">
            <w:pPr>
              <w:spacing w:after="0" w:line="240" w:lineRule="auto"/>
              <w:rPr>
                <w:rFonts w:ascii="Times New Roman" w:hAnsi="Times New Roman" w:cs="Times New Roman"/>
                <w:lang w:val="uk-UA"/>
              </w:rPr>
            </w:pPr>
          </w:p>
        </w:tc>
      </w:tr>
      <w:tr w:rsidR="002342CA" w:rsidRPr="008D43C5" w14:paraId="0353B25E" w14:textId="77777777" w:rsidTr="007F584C">
        <w:tc>
          <w:tcPr>
            <w:tcW w:w="421" w:type="dxa"/>
          </w:tcPr>
          <w:p w14:paraId="58D9615D"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2679129D"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36" w:name="18930"/>
            <w:r w:rsidRPr="00C47D7E">
              <w:rPr>
                <w:rFonts w:ascii="Times New Roman" w:hAnsi="Times New Roman" w:cs="Times New Roman"/>
                <w:color w:val="000000"/>
                <w:sz w:val="24"/>
                <w:szCs w:val="24"/>
                <w:lang w:val="uk-UA"/>
              </w:rPr>
              <w:t xml:space="preserve">2.14. Оператор системи розподілу повинен здійснювати планування фінансування розділів ІП з урахуванням, зокрема, необхідності забезпечення належного рівня якості, безпеки та надійності надання послуг з розподілу електричної енергії на довгостроковий період, підвищення енергоефективності розподільних електричних мереж, з урахуванням вимог Закону України "Про енергетичну ефективність", управління попитом та можливостей використання розподіленої генерації, забезпечення </w:t>
            </w:r>
            <w:proofErr w:type="spellStart"/>
            <w:r w:rsidRPr="00C47D7E">
              <w:rPr>
                <w:rFonts w:ascii="Times New Roman" w:hAnsi="Times New Roman" w:cs="Times New Roman"/>
                <w:color w:val="000000"/>
                <w:sz w:val="24"/>
                <w:szCs w:val="24"/>
                <w:lang w:val="uk-UA"/>
              </w:rPr>
              <w:t>кібербезпеки</w:t>
            </w:r>
            <w:proofErr w:type="spellEnd"/>
            <w:r w:rsidRPr="00C47D7E">
              <w:rPr>
                <w:rFonts w:ascii="Times New Roman" w:hAnsi="Times New Roman" w:cs="Times New Roman"/>
                <w:color w:val="000000"/>
                <w:sz w:val="24"/>
                <w:szCs w:val="24"/>
                <w:lang w:val="uk-UA"/>
              </w:rPr>
              <w:t xml:space="preserve"> об'єктів системи розподілу, а також доцільності, необхідності та можливості використання установок зберігання енергії.</w:t>
            </w:r>
          </w:p>
          <w:p w14:paraId="0DCBE51C"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37" w:name="18931"/>
            <w:bookmarkEnd w:id="36"/>
            <w:r w:rsidRPr="00C47D7E">
              <w:rPr>
                <w:rFonts w:ascii="Times New Roman" w:hAnsi="Times New Roman" w:cs="Times New Roman"/>
                <w:color w:val="000000"/>
                <w:sz w:val="24"/>
                <w:szCs w:val="24"/>
                <w:lang w:val="uk-UA"/>
              </w:rPr>
              <w:t xml:space="preserve">Під час розробки </w:t>
            </w:r>
            <w:proofErr w:type="spellStart"/>
            <w:r w:rsidRPr="00C47D7E">
              <w:rPr>
                <w:rFonts w:ascii="Times New Roman" w:hAnsi="Times New Roman" w:cs="Times New Roman"/>
                <w:color w:val="000000"/>
                <w:sz w:val="24"/>
                <w:szCs w:val="24"/>
                <w:lang w:val="uk-UA"/>
              </w:rPr>
              <w:t>проєктно</w:t>
            </w:r>
            <w:proofErr w:type="spellEnd"/>
            <w:r w:rsidRPr="00C47D7E">
              <w:rPr>
                <w:rFonts w:ascii="Times New Roman" w:hAnsi="Times New Roman" w:cs="Times New Roman"/>
                <w:color w:val="000000"/>
                <w:sz w:val="24"/>
                <w:szCs w:val="24"/>
                <w:lang w:val="uk-UA"/>
              </w:rPr>
              <w:t>-кошторисної документації з нового будівництва, реконструкції та технічного переоснащення електричних мереж оператор системи розподілу зобов'язаний визначати характеристики технічних засобів на вводі об'єкта побутового споживача, що обмежують розподіл електричної енергії споживачу у межах дозволеної до використання (договірної) потужності електроустановки, але не нижче величини, визначеної діючими Державними будівельними нормами "Проектування електрообладнання об'єктів цивільного призначення".</w:t>
            </w:r>
            <w:bookmarkEnd w:id="37"/>
          </w:p>
        </w:tc>
        <w:tc>
          <w:tcPr>
            <w:tcW w:w="7371" w:type="dxa"/>
          </w:tcPr>
          <w:p w14:paraId="62210F01" w14:textId="77777777" w:rsidR="002342CA" w:rsidRPr="00DD57E1" w:rsidRDefault="002342CA" w:rsidP="002342CA">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 xml:space="preserve">2.14. Оператор системи розподілу повинен здійснювати планування фінансування розділів ІП з урахуванням, зокрема, необхідності забезпечення належного рівня якості, безпеки та надійності надання послуг з розподілу електричної енергії на довгостроковий період, підвищення енергоефективності розподільних електричних мереж, з урахуванням вимог Закону України "Про енергетичну ефективність", </w:t>
            </w:r>
            <w:r w:rsidRPr="00DD57E1">
              <w:rPr>
                <w:rFonts w:ascii="Times New Roman" w:hAnsi="Times New Roman" w:cs="Times New Roman"/>
                <w:b/>
                <w:sz w:val="24"/>
                <w:szCs w:val="24"/>
                <w:lang w:val="uk-UA"/>
              </w:rPr>
              <w:t>впровадження та розвитку «розумних мереж»,</w:t>
            </w:r>
            <w:r w:rsidRPr="00DD57E1">
              <w:rPr>
                <w:rFonts w:ascii="Times New Roman" w:hAnsi="Times New Roman" w:cs="Times New Roman"/>
                <w:sz w:val="24"/>
                <w:szCs w:val="24"/>
                <w:lang w:val="uk-UA"/>
              </w:rPr>
              <w:t xml:space="preserve"> управління попитом та можливостей використання розподіленої генерації, забезпечення </w:t>
            </w:r>
            <w:proofErr w:type="spellStart"/>
            <w:r w:rsidRPr="00DD57E1">
              <w:rPr>
                <w:rFonts w:ascii="Times New Roman" w:hAnsi="Times New Roman" w:cs="Times New Roman"/>
                <w:sz w:val="24"/>
                <w:szCs w:val="24"/>
                <w:lang w:val="uk-UA"/>
              </w:rPr>
              <w:t>кібербезпеки</w:t>
            </w:r>
            <w:proofErr w:type="spellEnd"/>
            <w:r w:rsidRPr="00DD57E1">
              <w:rPr>
                <w:rFonts w:ascii="Times New Roman" w:hAnsi="Times New Roman" w:cs="Times New Roman"/>
                <w:sz w:val="24"/>
                <w:szCs w:val="24"/>
                <w:lang w:val="uk-UA"/>
              </w:rPr>
              <w:t xml:space="preserve"> об'єктів системи розподілу, а також доцільності, необхідності та можливості використання установок зберігання енергії.</w:t>
            </w:r>
          </w:p>
          <w:p w14:paraId="29497D2B" w14:textId="77777777" w:rsidR="002342CA" w:rsidRPr="00DD57E1" w:rsidRDefault="002342CA" w:rsidP="002342CA">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 xml:space="preserve">Під час розробки </w:t>
            </w:r>
            <w:proofErr w:type="spellStart"/>
            <w:r w:rsidRPr="00DD57E1">
              <w:rPr>
                <w:rFonts w:ascii="Times New Roman" w:hAnsi="Times New Roman" w:cs="Times New Roman"/>
                <w:sz w:val="24"/>
                <w:szCs w:val="24"/>
                <w:lang w:val="uk-UA"/>
              </w:rPr>
              <w:t>проєктно</w:t>
            </w:r>
            <w:proofErr w:type="spellEnd"/>
            <w:r w:rsidRPr="00DD57E1">
              <w:rPr>
                <w:rFonts w:ascii="Times New Roman" w:hAnsi="Times New Roman" w:cs="Times New Roman"/>
                <w:sz w:val="24"/>
                <w:szCs w:val="24"/>
                <w:lang w:val="uk-UA"/>
              </w:rPr>
              <w:t>-кошторисної документації з нового будівництва, реконструкції та технічного переоснащення електричних мереж оператор системи розподілу зобов'язаний визначати характеристики технічних засобів на вводі об'єкта побутового споживача, що обмежують розподіл електричної енергії споживачу у межах дозволеної до використання (договірної) потужності електроустановки, але не нижче величини, визначеної діючими Державними будівельними нормами "Проектування електрообладнання об'єктів цивільного призначення".</w:t>
            </w:r>
          </w:p>
        </w:tc>
      </w:tr>
      <w:tr w:rsidR="002342CA" w:rsidRPr="007A6290" w14:paraId="17AA9B2A" w14:textId="77777777" w:rsidTr="007F584C">
        <w:tc>
          <w:tcPr>
            <w:tcW w:w="421" w:type="dxa"/>
          </w:tcPr>
          <w:p w14:paraId="78073A85"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485CF222" w14:textId="0B06E002" w:rsidR="002342CA" w:rsidRPr="00D764D9" w:rsidRDefault="00D764D9" w:rsidP="002342CA">
            <w:pPr>
              <w:spacing w:after="0" w:line="240" w:lineRule="auto"/>
              <w:ind w:firstLine="240"/>
              <w:jc w:val="both"/>
              <w:rPr>
                <w:rFonts w:ascii="Times New Roman" w:hAnsi="Times New Roman" w:cs="Times New Roman"/>
                <w:b/>
                <w:sz w:val="24"/>
                <w:szCs w:val="24"/>
                <w:lang w:val="uk-UA"/>
              </w:rPr>
            </w:pPr>
            <w:r w:rsidRPr="00D764D9">
              <w:rPr>
                <w:rFonts w:ascii="Times New Roman" w:hAnsi="Times New Roman" w:cs="Times New Roman"/>
                <w:b/>
                <w:color w:val="000000"/>
                <w:sz w:val="24"/>
                <w:szCs w:val="24"/>
                <w:lang w:val="uk-UA"/>
              </w:rPr>
              <w:t>…</w:t>
            </w:r>
          </w:p>
        </w:tc>
        <w:tc>
          <w:tcPr>
            <w:tcW w:w="7371" w:type="dxa"/>
          </w:tcPr>
          <w:p w14:paraId="30C1D8E5" w14:textId="77777777" w:rsidR="002342CA" w:rsidRPr="00DD57E1" w:rsidRDefault="002342CA" w:rsidP="002342CA">
            <w:pPr>
              <w:spacing w:after="0" w:line="240" w:lineRule="auto"/>
              <w:rPr>
                <w:rFonts w:ascii="Times New Roman" w:hAnsi="Times New Roman" w:cs="Times New Roman"/>
                <w:lang w:val="uk-UA"/>
              </w:rPr>
            </w:pPr>
          </w:p>
        </w:tc>
      </w:tr>
      <w:tr w:rsidR="002342CA" w:rsidRPr="008D43C5" w14:paraId="02461DAD" w14:textId="77777777" w:rsidTr="007F584C">
        <w:tc>
          <w:tcPr>
            <w:tcW w:w="421" w:type="dxa"/>
          </w:tcPr>
          <w:p w14:paraId="070F6929"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754207A2"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38" w:name="18944"/>
            <w:r w:rsidRPr="00C47D7E">
              <w:rPr>
                <w:rFonts w:ascii="Times New Roman" w:hAnsi="Times New Roman" w:cs="Times New Roman"/>
                <w:color w:val="000000"/>
                <w:sz w:val="24"/>
                <w:szCs w:val="24"/>
                <w:lang w:val="uk-UA"/>
              </w:rPr>
              <w:t>2.20. Заходи, що передбачають закупівлю та впровадження програмного забезпечення (далі - ПЗ), придбання прав (ліцензій) на користування програмним забезпеченням можуть бути включені до ІП за умови, якщо:</w:t>
            </w:r>
          </w:p>
          <w:p w14:paraId="012BC578"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39" w:name="18945"/>
            <w:bookmarkEnd w:id="38"/>
            <w:r w:rsidRPr="00C47D7E">
              <w:rPr>
                <w:rFonts w:ascii="Times New Roman" w:hAnsi="Times New Roman" w:cs="Times New Roman"/>
                <w:color w:val="000000"/>
                <w:sz w:val="24"/>
                <w:szCs w:val="24"/>
                <w:lang w:val="uk-UA"/>
              </w:rPr>
              <w:t>платіж за використання ПЗ (прав користування ним) є одноразовим, а ліцензія є безстроковою або довгостроковою (строк використання не менше 1 року) та враховується як нематеріальний актив або у складі вартості основних засобів;</w:t>
            </w:r>
          </w:p>
          <w:p w14:paraId="07434A90"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40" w:name="18946"/>
            <w:bookmarkEnd w:id="39"/>
            <w:r w:rsidRPr="00C47D7E">
              <w:rPr>
                <w:rFonts w:ascii="Times New Roman" w:hAnsi="Times New Roman" w:cs="Times New Roman"/>
                <w:color w:val="000000"/>
                <w:sz w:val="24"/>
                <w:szCs w:val="24"/>
                <w:lang w:val="uk-UA"/>
              </w:rPr>
              <w:lastRenderedPageBreak/>
              <w:t>на вже використовуване ПЗ встановлюється за доплату оновлена версія ПЗ або здійснюється його поліпшення (модернізація) за умови збільшення його капіталізації;</w:t>
            </w:r>
          </w:p>
          <w:p w14:paraId="3B90321B"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41" w:name="18947"/>
            <w:bookmarkEnd w:id="40"/>
            <w:r w:rsidRPr="00C47D7E">
              <w:rPr>
                <w:rFonts w:ascii="Times New Roman" w:hAnsi="Times New Roman" w:cs="Times New Roman"/>
                <w:color w:val="000000"/>
                <w:sz w:val="24"/>
                <w:szCs w:val="24"/>
                <w:lang w:val="uk-UA"/>
              </w:rPr>
              <w:t>закупівля ПЗ здійснюється як невід'ємна складова частина обладнання;</w:t>
            </w:r>
          </w:p>
          <w:p w14:paraId="25DF1934"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42" w:name="18948"/>
            <w:bookmarkEnd w:id="41"/>
            <w:r w:rsidRPr="00C47D7E">
              <w:rPr>
                <w:rFonts w:ascii="Times New Roman" w:hAnsi="Times New Roman" w:cs="Times New Roman"/>
                <w:color w:val="000000"/>
                <w:sz w:val="24"/>
                <w:szCs w:val="24"/>
                <w:lang w:val="uk-UA"/>
              </w:rPr>
              <w:t xml:space="preserve">строк (термін) корисного використання програми (ліцензії) становить не менше одного операційного циклу (1 року) (за виключенням заходів </w:t>
            </w:r>
            <w:proofErr w:type="spellStart"/>
            <w:r w:rsidRPr="00C47D7E">
              <w:rPr>
                <w:rFonts w:ascii="Times New Roman" w:hAnsi="Times New Roman" w:cs="Times New Roman"/>
                <w:color w:val="000000"/>
                <w:sz w:val="24"/>
                <w:szCs w:val="24"/>
                <w:lang w:val="uk-UA"/>
              </w:rPr>
              <w:t>кібербезпеки</w:t>
            </w:r>
            <w:proofErr w:type="spellEnd"/>
            <w:r w:rsidRPr="00C47D7E">
              <w:rPr>
                <w:rFonts w:ascii="Times New Roman" w:hAnsi="Times New Roman" w:cs="Times New Roman"/>
                <w:color w:val="000000"/>
                <w:sz w:val="24"/>
                <w:szCs w:val="24"/>
                <w:lang w:val="uk-UA"/>
              </w:rPr>
              <w:t>) та програма (ліцензія) враховується як нематеріальний актив або у складі вартості основних засобів;</w:t>
            </w:r>
          </w:p>
          <w:p w14:paraId="7AD6A486"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43" w:name="18949"/>
            <w:bookmarkEnd w:id="42"/>
            <w:r w:rsidRPr="00C47D7E">
              <w:rPr>
                <w:rFonts w:ascii="Times New Roman" w:hAnsi="Times New Roman" w:cs="Times New Roman"/>
                <w:color w:val="000000"/>
                <w:sz w:val="24"/>
                <w:szCs w:val="24"/>
                <w:lang w:val="uk-UA"/>
              </w:rPr>
              <w:t>нове впровадження взамін існуючого ПЗ здійснюється не частіше ніж 1 раз на 5 років, за виключенням випадків припинення підтримки ПЗ виробником.</w:t>
            </w:r>
          </w:p>
          <w:p w14:paraId="17729135"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44" w:name="18950"/>
            <w:bookmarkEnd w:id="43"/>
            <w:r w:rsidRPr="00C47D7E">
              <w:rPr>
                <w:rFonts w:ascii="Times New Roman" w:hAnsi="Times New Roman" w:cs="Times New Roman"/>
                <w:color w:val="000000"/>
                <w:sz w:val="24"/>
                <w:szCs w:val="24"/>
                <w:lang w:val="uk-UA"/>
              </w:rPr>
              <w:t xml:space="preserve">До ІП оператора системи розподілу не можуть бути включені такі заходи: хмарні рішення (послуги), консалтингові послуги, технічна підтримка, послуги інтернету, послуги з оренди каналів зв'язку, підтримка доменного імені, ремонтні роботи для обслуговування обчислювальних </w:t>
            </w:r>
            <w:proofErr w:type="spellStart"/>
            <w:r w:rsidRPr="00C47D7E">
              <w:rPr>
                <w:rFonts w:ascii="Times New Roman" w:hAnsi="Times New Roman" w:cs="Times New Roman"/>
                <w:color w:val="000000"/>
                <w:sz w:val="24"/>
                <w:szCs w:val="24"/>
                <w:lang w:val="uk-UA"/>
              </w:rPr>
              <w:t>потужностей</w:t>
            </w:r>
            <w:proofErr w:type="spellEnd"/>
            <w:r w:rsidRPr="00C47D7E">
              <w:rPr>
                <w:rFonts w:ascii="Times New Roman" w:hAnsi="Times New Roman" w:cs="Times New Roman"/>
                <w:color w:val="000000"/>
                <w:sz w:val="24"/>
                <w:szCs w:val="24"/>
                <w:lang w:val="uk-UA"/>
              </w:rPr>
              <w:t xml:space="preserve">, комплектуючі для ремонту існуючої техніки, послуги підписки на використання ПЗ (за виключенням заходів </w:t>
            </w:r>
            <w:proofErr w:type="spellStart"/>
            <w:r w:rsidRPr="00C47D7E">
              <w:rPr>
                <w:rFonts w:ascii="Times New Roman" w:hAnsi="Times New Roman" w:cs="Times New Roman"/>
                <w:color w:val="000000"/>
                <w:sz w:val="24"/>
                <w:szCs w:val="24"/>
                <w:lang w:val="uk-UA"/>
              </w:rPr>
              <w:t>кібербезпеки</w:t>
            </w:r>
            <w:proofErr w:type="spellEnd"/>
            <w:r w:rsidRPr="00C47D7E">
              <w:rPr>
                <w:rFonts w:ascii="Times New Roman" w:hAnsi="Times New Roman" w:cs="Times New Roman"/>
                <w:color w:val="000000"/>
                <w:sz w:val="24"/>
                <w:szCs w:val="24"/>
                <w:lang w:val="uk-UA"/>
              </w:rPr>
              <w:t>) тощо.</w:t>
            </w:r>
            <w:bookmarkEnd w:id="44"/>
          </w:p>
        </w:tc>
        <w:tc>
          <w:tcPr>
            <w:tcW w:w="7371" w:type="dxa"/>
          </w:tcPr>
          <w:p w14:paraId="48DB5993" w14:textId="77777777" w:rsidR="009848B9" w:rsidRPr="00DD57E1" w:rsidRDefault="009848B9" w:rsidP="009848B9">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lastRenderedPageBreak/>
              <w:t>2.20. Заходи, що передбачають закупівлю та впровадження програмного забезпечення (далі - ПЗ), придбання прав (ліцензій) на користування програмним забезпеченням можуть бути включені до ІП за умови, якщо:</w:t>
            </w:r>
          </w:p>
          <w:p w14:paraId="2208474A" w14:textId="77777777" w:rsidR="009848B9" w:rsidRPr="00DD57E1" w:rsidRDefault="009848B9" w:rsidP="009848B9">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платіж за використання ПЗ (прав користування ним) є одноразовим, а ліцензія є безстроковою або довгостроковою (строк використання не менше 1 року) та враховується як нематеріальний актив або у складі вартості основних засобів;</w:t>
            </w:r>
          </w:p>
          <w:p w14:paraId="32A3ACD0" w14:textId="77777777" w:rsidR="009848B9" w:rsidRPr="00DD57E1" w:rsidRDefault="009848B9" w:rsidP="009848B9">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lastRenderedPageBreak/>
              <w:t>на вже використовуване ПЗ встановлюється за доплату оновлена версія ПЗ або здійснюється його поліпшення (модернізація) за умови збільшення його капіталізації;</w:t>
            </w:r>
          </w:p>
          <w:p w14:paraId="4C29739D" w14:textId="77777777" w:rsidR="009848B9" w:rsidRPr="00DD57E1" w:rsidRDefault="009848B9" w:rsidP="009848B9">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закупівля ПЗ здійснюється як невід'ємна складова частина обладнання;</w:t>
            </w:r>
          </w:p>
          <w:p w14:paraId="409C217A" w14:textId="4B0C0BF2" w:rsidR="00165B1E" w:rsidRPr="00DD57E1" w:rsidRDefault="009848B9" w:rsidP="00C914EE">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 xml:space="preserve">строк (термін) корисного використання програми (ліцензії) становить не менше одного операційного циклу (1 року) (за виключенням заходів </w:t>
            </w:r>
            <w:proofErr w:type="spellStart"/>
            <w:r w:rsidRPr="00DD57E1">
              <w:rPr>
                <w:rFonts w:ascii="Times New Roman" w:hAnsi="Times New Roman" w:cs="Times New Roman"/>
                <w:sz w:val="24"/>
                <w:szCs w:val="24"/>
                <w:lang w:val="uk-UA"/>
              </w:rPr>
              <w:t>кібербезпеки</w:t>
            </w:r>
            <w:proofErr w:type="spellEnd"/>
            <w:r w:rsidRPr="00DD57E1">
              <w:rPr>
                <w:rFonts w:ascii="Times New Roman" w:hAnsi="Times New Roman" w:cs="Times New Roman"/>
                <w:sz w:val="24"/>
                <w:szCs w:val="24"/>
                <w:lang w:val="uk-UA"/>
              </w:rPr>
              <w:t>) та програма (ліцензія) враховується як нематеріальний актив або у складі вартості основних засобів;</w:t>
            </w:r>
          </w:p>
          <w:p w14:paraId="1B0FD2FF" w14:textId="7EA2B422" w:rsidR="00D764D9" w:rsidRPr="00DD57E1" w:rsidRDefault="009848B9" w:rsidP="009848B9">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нове впровадження взамін існуючого ПЗ здійснюється не частіше ніж 1 раз на 5 років, за виключенням випадків припинення підтримки ПЗ виробником.</w:t>
            </w:r>
          </w:p>
          <w:p w14:paraId="6C43DB6F" w14:textId="124FD0F4" w:rsidR="002342CA" w:rsidRPr="00DD57E1" w:rsidRDefault="00165B1E" w:rsidP="002342CA">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 xml:space="preserve">До ІП оператора системи розподілу </w:t>
            </w:r>
            <w:r w:rsidRPr="00DD57E1">
              <w:rPr>
                <w:rFonts w:ascii="Times New Roman" w:hAnsi="Times New Roman" w:cs="Times New Roman"/>
                <w:b/>
                <w:sz w:val="24"/>
                <w:szCs w:val="24"/>
                <w:lang w:val="uk-UA"/>
              </w:rPr>
              <w:t>за рахунок основних джерел фінансування</w:t>
            </w:r>
            <w:r w:rsidRPr="00DD57E1">
              <w:rPr>
                <w:rFonts w:ascii="Times New Roman" w:hAnsi="Times New Roman" w:cs="Times New Roman"/>
                <w:sz w:val="24"/>
                <w:szCs w:val="24"/>
                <w:lang w:val="uk-UA"/>
              </w:rPr>
              <w:t xml:space="preserve"> не можуть бути включені такі заходи: хмарні рішення (послуги), консалтингові послуги, технічна підтримка, послуги інтернету, послуги з оренди каналів зв'язку, підтримка доменного імені, ремонтні роботи для обслуговування обчислювальних </w:t>
            </w:r>
            <w:proofErr w:type="spellStart"/>
            <w:r w:rsidRPr="00DD57E1">
              <w:rPr>
                <w:rFonts w:ascii="Times New Roman" w:hAnsi="Times New Roman" w:cs="Times New Roman"/>
                <w:sz w:val="24"/>
                <w:szCs w:val="24"/>
                <w:lang w:val="uk-UA"/>
              </w:rPr>
              <w:t>потужностей</w:t>
            </w:r>
            <w:proofErr w:type="spellEnd"/>
            <w:r w:rsidRPr="00DD57E1">
              <w:rPr>
                <w:rFonts w:ascii="Times New Roman" w:hAnsi="Times New Roman" w:cs="Times New Roman"/>
                <w:sz w:val="24"/>
                <w:szCs w:val="24"/>
                <w:lang w:val="uk-UA"/>
              </w:rPr>
              <w:t xml:space="preserve">, комплектуючі для ремонту існуючої техніки, послуги підписки на використання ПЗ (за виключенням заходів </w:t>
            </w:r>
            <w:proofErr w:type="spellStart"/>
            <w:r w:rsidRPr="00DD57E1">
              <w:rPr>
                <w:rFonts w:ascii="Times New Roman" w:hAnsi="Times New Roman" w:cs="Times New Roman"/>
                <w:sz w:val="24"/>
                <w:szCs w:val="24"/>
                <w:lang w:val="uk-UA"/>
              </w:rPr>
              <w:t>кібербезпеки</w:t>
            </w:r>
            <w:proofErr w:type="spellEnd"/>
            <w:r w:rsidRPr="00DD57E1">
              <w:rPr>
                <w:rFonts w:ascii="Times New Roman" w:hAnsi="Times New Roman" w:cs="Times New Roman"/>
                <w:sz w:val="24"/>
                <w:szCs w:val="24"/>
                <w:lang w:val="uk-UA"/>
              </w:rPr>
              <w:t>) тощо.</w:t>
            </w:r>
          </w:p>
        </w:tc>
      </w:tr>
      <w:tr w:rsidR="002342CA" w:rsidRPr="007A6290" w14:paraId="448569CF" w14:textId="77777777" w:rsidTr="007F584C">
        <w:tc>
          <w:tcPr>
            <w:tcW w:w="421" w:type="dxa"/>
          </w:tcPr>
          <w:p w14:paraId="57808806"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78EF3C9F" w14:textId="4FBB8216" w:rsidR="002342CA" w:rsidRPr="00D764D9" w:rsidRDefault="00D764D9" w:rsidP="002342CA">
            <w:pPr>
              <w:spacing w:after="0" w:line="240" w:lineRule="auto"/>
              <w:ind w:firstLine="240"/>
              <w:jc w:val="both"/>
              <w:rPr>
                <w:rFonts w:ascii="Times New Roman" w:hAnsi="Times New Roman" w:cs="Times New Roman"/>
                <w:b/>
                <w:sz w:val="24"/>
                <w:szCs w:val="24"/>
                <w:lang w:val="uk-UA"/>
              </w:rPr>
            </w:pPr>
            <w:r w:rsidRPr="00D764D9">
              <w:rPr>
                <w:rFonts w:ascii="Times New Roman" w:hAnsi="Times New Roman" w:cs="Times New Roman"/>
                <w:b/>
                <w:color w:val="000000"/>
                <w:sz w:val="24"/>
                <w:szCs w:val="24"/>
                <w:lang w:val="uk-UA"/>
              </w:rPr>
              <w:t>…</w:t>
            </w:r>
          </w:p>
        </w:tc>
        <w:tc>
          <w:tcPr>
            <w:tcW w:w="7371" w:type="dxa"/>
          </w:tcPr>
          <w:p w14:paraId="0CF595ED" w14:textId="77777777" w:rsidR="002342CA" w:rsidRPr="00DD57E1" w:rsidRDefault="002342CA" w:rsidP="002342CA">
            <w:pPr>
              <w:spacing w:after="0" w:line="240" w:lineRule="auto"/>
              <w:rPr>
                <w:rFonts w:ascii="Times New Roman" w:hAnsi="Times New Roman" w:cs="Times New Roman"/>
                <w:lang w:val="uk-UA"/>
              </w:rPr>
            </w:pPr>
          </w:p>
        </w:tc>
      </w:tr>
      <w:tr w:rsidR="002342CA" w:rsidRPr="008D43C5" w14:paraId="35B3DD1C" w14:textId="77777777" w:rsidTr="007F584C">
        <w:tc>
          <w:tcPr>
            <w:tcW w:w="421" w:type="dxa"/>
          </w:tcPr>
          <w:p w14:paraId="4D38F354" w14:textId="77777777" w:rsidR="002342CA" w:rsidRPr="00C47D7E" w:rsidRDefault="002342CA" w:rsidP="002342CA">
            <w:pPr>
              <w:spacing w:after="0" w:line="240" w:lineRule="auto"/>
              <w:rPr>
                <w:rFonts w:ascii="Times New Roman" w:hAnsi="Times New Roman" w:cs="Times New Roman"/>
                <w:lang w:val="uk-UA"/>
              </w:rPr>
            </w:pPr>
          </w:p>
        </w:tc>
        <w:tc>
          <w:tcPr>
            <w:tcW w:w="14600" w:type="dxa"/>
            <w:gridSpan w:val="2"/>
          </w:tcPr>
          <w:p w14:paraId="1CDBC226" w14:textId="77777777" w:rsidR="002342CA" w:rsidRPr="00DD57E1" w:rsidRDefault="002342CA" w:rsidP="001B1FF5">
            <w:pPr>
              <w:pStyle w:val="3"/>
              <w:spacing w:before="0" w:after="0" w:line="240" w:lineRule="auto"/>
              <w:jc w:val="center"/>
              <w:outlineLvl w:val="2"/>
              <w:rPr>
                <w:rFonts w:ascii="Times New Roman" w:hAnsi="Times New Roman" w:cs="Times New Roman"/>
                <w:color w:val="auto"/>
                <w:sz w:val="24"/>
                <w:szCs w:val="24"/>
                <w:lang w:val="uk-UA"/>
              </w:rPr>
            </w:pPr>
            <w:r w:rsidRPr="00DD57E1">
              <w:rPr>
                <w:rFonts w:ascii="Times New Roman" w:hAnsi="Times New Roman" w:cs="Times New Roman"/>
                <w:color w:val="auto"/>
                <w:sz w:val="24"/>
                <w:szCs w:val="24"/>
                <w:lang w:val="uk-UA"/>
              </w:rPr>
              <w:t>3. Порядок розгляду та схвалення ПРСР та ІП</w:t>
            </w:r>
          </w:p>
        </w:tc>
      </w:tr>
      <w:tr w:rsidR="002342CA" w:rsidRPr="007A6290" w14:paraId="63CB2AC7" w14:textId="77777777" w:rsidTr="007F584C">
        <w:tc>
          <w:tcPr>
            <w:tcW w:w="421" w:type="dxa"/>
          </w:tcPr>
          <w:p w14:paraId="50364294"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4CA50593" w14:textId="2CA3A7FB" w:rsidR="002342CA" w:rsidRPr="00D764D9" w:rsidRDefault="00D764D9" w:rsidP="002342CA">
            <w:pPr>
              <w:spacing w:after="0" w:line="240" w:lineRule="auto"/>
              <w:ind w:firstLine="240"/>
              <w:jc w:val="both"/>
              <w:rPr>
                <w:rFonts w:ascii="Times New Roman" w:hAnsi="Times New Roman" w:cs="Times New Roman"/>
                <w:b/>
                <w:sz w:val="24"/>
                <w:szCs w:val="24"/>
                <w:lang w:val="uk-UA"/>
              </w:rPr>
            </w:pPr>
            <w:r w:rsidRPr="00D764D9">
              <w:rPr>
                <w:rFonts w:ascii="Times New Roman" w:hAnsi="Times New Roman" w:cs="Times New Roman"/>
                <w:b/>
                <w:color w:val="000000"/>
                <w:sz w:val="24"/>
                <w:szCs w:val="24"/>
                <w:lang w:val="uk-UA"/>
              </w:rPr>
              <w:t>…</w:t>
            </w:r>
          </w:p>
        </w:tc>
        <w:tc>
          <w:tcPr>
            <w:tcW w:w="7371" w:type="dxa"/>
          </w:tcPr>
          <w:p w14:paraId="71D3C220" w14:textId="77777777" w:rsidR="002342CA" w:rsidRPr="00DD57E1" w:rsidRDefault="002342CA" w:rsidP="002342CA">
            <w:pPr>
              <w:spacing w:after="0" w:line="240" w:lineRule="auto"/>
              <w:rPr>
                <w:rFonts w:ascii="Times New Roman" w:hAnsi="Times New Roman" w:cs="Times New Roman"/>
                <w:lang w:val="uk-UA"/>
              </w:rPr>
            </w:pPr>
          </w:p>
        </w:tc>
      </w:tr>
      <w:tr w:rsidR="002342CA" w:rsidRPr="008D43C5" w14:paraId="4A28AF93" w14:textId="77777777" w:rsidTr="007F584C">
        <w:tc>
          <w:tcPr>
            <w:tcW w:w="421" w:type="dxa"/>
          </w:tcPr>
          <w:p w14:paraId="21684662"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3860E23D" w14:textId="77777777" w:rsidR="002342CA" w:rsidRPr="008D6D01" w:rsidRDefault="002342CA" w:rsidP="002342CA">
            <w:pPr>
              <w:spacing w:after="0" w:line="240" w:lineRule="auto"/>
              <w:ind w:firstLine="240"/>
              <w:jc w:val="both"/>
              <w:rPr>
                <w:rFonts w:ascii="Times New Roman" w:hAnsi="Times New Roman" w:cs="Times New Roman"/>
                <w:color w:val="000000"/>
                <w:sz w:val="24"/>
                <w:szCs w:val="24"/>
                <w:lang w:val="uk-UA"/>
              </w:rPr>
            </w:pPr>
            <w:bookmarkStart w:id="45" w:name="18964"/>
            <w:r w:rsidRPr="00C47D7E">
              <w:rPr>
                <w:rFonts w:ascii="Times New Roman" w:hAnsi="Times New Roman" w:cs="Times New Roman"/>
                <w:color w:val="000000"/>
                <w:sz w:val="24"/>
                <w:szCs w:val="24"/>
                <w:lang w:val="uk-UA"/>
              </w:rPr>
              <w:t>3.4. Подані оператором системи розподілу протягом 10 робочих днів відповідні пропозиції, додаткові пояснення та обґрунтування до ПРСР/ІП, з урахуванням наданих Регулятором зауважень та пропозицій, повторно розглядаються Регулятором.</w:t>
            </w:r>
            <w:bookmarkEnd w:id="45"/>
          </w:p>
        </w:tc>
        <w:tc>
          <w:tcPr>
            <w:tcW w:w="7371" w:type="dxa"/>
          </w:tcPr>
          <w:p w14:paraId="77D40052" w14:textId="77777777" w:rsidR="002342CA" w:rsidRPr="00DD57E1" w:rsidRDefault="002342CA" w:rsidP="002342CA">
            <w:pPr>
              <w:spacing w:after="0" w:line="240" w:lineRule="auto"/>
              <w:ind w:firstLine="317"/>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3.4. Подані оператором системи розподілу протягом 10 робочих днів відповідні пропозиції, додаткові пояснення та обґрунтування до ПРСР/ІП, з урахуванням наданих Регулятором зауважень та пропозицій, повторно розглядаються Регулятором.</w:t>
            </w:r>
          </w:p>
          <w:p w14:paraId="1B1D328B" w14:textId="66FAF4FF" w:rsidR="002342CA" w:rsidRPr="00DD57E1" w:rsidRDefault="00835E45" w:rsidP="002342CA">
            <w:pPr>
              <w:spacing w:after="0" w:line="240" w:lineRule="auto"/>
              <w:ind w:firstLine="317"/>
              <w:jc w:val="both"/>
              <w:rPr>
                <w:rFonts w:ascii="Times New Roman" w:hAnsi="Times New Roman" w:cs="Times New Roman"/>
                <w:b/>
                <w:lang w:val="uk-UA"/>
              </w:rPr>
            </w:pPr>
            <w:r w:rsidRPr="00DD57E1">
              <w:rPr>
                <w:rFonts w:ascii="Times New Roman" w:hAnsi="Times New Roman" w:cs="Times New Roman"/>
                <w:b/>
                <w:sz w:val="24"/>
                <w:szCs w:val="24"/>
                <w:lang w:val="uk-UA"/>
              </w:rPr>
              <w:t>У разі виникнення необхідності внесення змін до переліку заходів ПРСР/ІП за результатом опрацювання оператором системи розподілу зауважень та пропозиці</w:t>
            </w:r>
            <w:r w:rsidR="00B82208" w:rsidRPr="00DD57E1">
              <w:rPr>
                <w:rFonts w:ascii="Times New Roman" w:hAnsi="Times New Roman" w:cs="Times New Roman"/>
                <w:b/>
                <w:sz w:val="24"/>
                <w:szCs w:val="24"/>
                <w:lang w:val="uk-UA"/>
              </w:rPr>
              <w:t>й Регулятора до поданих ПРСР/ІП</w:t>
            </w:r>
            <w:r w:rsidRPr="00DD57E1">
              <w:rPr>
                <w:rFonts w:ascii="Times New Roman" w:hAnsi="Times New Roman" w:cs="Times New Roman"/>
                <w:b/>
                <w:sz w:val="24"/>
                <w:szCs w:val="24"/>
                <w:lang w:val="uk-UA"/>
              </w:rPr>
              <w:t xml:space="preserve"> оператор системи розподілу подає на розгляд </w:t>
            </w:r>
            <w:r w:rsidRPr="00DD57E1">
              <w:rPr>
                <w:rFonts w:ascii="Times New Roman" w:hAnsi="Times New Roman" w:cs="Times New Roman"/>
                <w:b/>
                <w:sz w:val="24"/>
                <w:szCs w:val="24"/>
                <w:lang w:val="uk-UA"/>
              </w:rPr>
              <w:lastRenderedPageBreak/>
              <w:t>Регулятору доопрацьований примірник ПРСР/ІП,</w:t>
            </w:r>
            <w:r w:rsidRPr="00DD57E1">
              <w:rPr>
                <w:b/>
                <w:lang w:val="uk-UA"/>
              </w:rPr>
              <w:t xml:space="preserve"> </w:t>
            </w:r>
            <w:r w:rsidRPr="00DD57E1">
              <w:rPr>
                <w:rFonts w:ascii="Times New Roman" w:hAnsi="Times New Roman" w:cs="Times New Roman"/>
                <w:b/>
                <w:sz w:val="24"/>
                <w:szCs w:val="24"/>
                <w:lang w:val="uk-UA"/>
              </w:rPr>
              <w:t>оформлений, погоджений та обґрунтований з урахуванням вимог КСР та цього Порядку.</w:t>
            </w:r>
          </w:p>
        </w:tc>
      </w:tr>
      <w:tr w:rsidR="002342CA" w:rsidRPr="007A6290" w14:paraId="5DAD568F" w14:textId="77777777" w:rsidTr="007F584C">
        <w:tc>
          <w:tcPr>
            <w:tcW w:w="421" w:type="dxa"/>
          </w:tcPr>
          <w:p w14:paraId="2114F69D"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55E1C24B" w14:textId="1E4A80FB" w:rsidR="002342CA" w:rsidRPr="00D764D9" w:rsidRDefault="00D764D9" w:rsidP="002342CA">
            <w:pPr>
              <w:spacing w:after="0" w:line="240" w:lineRule="auto"/>
              <w:ind w:firstLine="240"/>
              <w:jc w:val="both"/>
              <w:rPr>
                <w:rFonts w:ascii="Times New Roman" w:hAnsi="Times New Roman" w:cs="Times New Roman"/>
                <w:b/>
                <w:sz w:val="24"/>
                <w:szCs w:val="24"/>
                <w:lang w:val="uk-UA"/>
              </w:rPr>
            </w:pPr>
            <w:r w:rsidRPr="00D764D9">
              <w:rPr>
                <w:rFonts w:ascii="Times New Roman" w:hAnsi="Times New Roman" w:cs="Times New Roman"/>
                <w:b/>
                <w:color w:val="000000"/>
                <w:sz w:val="24"/>
                <w:szCs w:val="24"/>
                <w:lang w:val="uk-UA"/>
              </w:rPr>
              <w:t>…</w:t>
            </w:r>
          </w:p>
        </w:tc>
        <w:tc>
          <w:tcPr>
            <w:tcW w:w="7371" w:type="dxa"/>
          </w:tcPr>
          <w:p w14:paraId="50E78A31" w14:textId="77777777" w:rsidR="002342CA" w:rsidRPr="00DD57E1" w:rsidRDefault="002342CA" w:rsidP="002342CA">
            <w:pPr>
              <w:spacing w:after="0" w:line="240" w:lineRule="auto"/>
              <w:rPr>
                <w:rFonts w:ascii="Times New Roman" w:hAnsi="Times New Roman" w:cs="Times New Roman"/>
                <w:lang w:val="uk-UA"/>
              </w:rPr>
            </w:pPr>
          </w:p>
        </w:tc>
      </w:tr>
      <w:tr w:rsidR="002342CA" w:rsidRPr="008D43C5" w14:paraId="3E818CE5" w14:textId="77777777" w:rsidTr="007F584C">
        <w:tc>
          <w:tcPr>
            <w:tcW w:w="421" w:type="dxa"/>
          </w:tcPr>
          <w:p w14:paraId="5DDEA734"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41C16E60"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46" w:name="18974"/>
            <w:r w:rsidRPr="00C47D7E">
              <w:rPr>
                <w:rFonts w:ascii="Times New Roman" w:hAnsi="Times New Roman" w:cs="Times New Roman"/>
                <w:color w:val="000000"/>
                <w:sz w:val="24"/>
                <w:szCs w:val="24"/>
                <w:lang w:val="uk-UA"/>
              </w:rPr>
              <w:t>3.11. При виникненні потреби у виконанні робіт у зв'язку з особливими обставинами, яких оператор системи розподілу не міг передбачити, у тому числі робіт, пов'язаних з ліквідацією наслідків надзвичайних ситуацій, оператор системи розподілу має право за власною ініціативою, як правило, протягом місяця за підсумками першого та другого кварталу та/або не пізніше 30 вересня прогнозного періоду звернутися до Регулятора з пропозицією щодо внесення змін до схвалених ПРСР/ІП, оформлених та обґрунтованих відповідно до вимог цього Порядку.</w:t>
            </w:r>
          </w:p>
          <w:p w14:paraId="53496499" w14:textId="77777777" w:rsidR="0067059E" w:rsidRDefault="0067059E" w:rsidP="002342CA">
            <w:pPr>
              <w:spacing w:after="0" w:line="240" w:lineRule="auto"/>
              <w:ind w:firstLine="240"/>
              <w:jc w:val="both"/>
              <w:rPr>
                <w:rFonts w:ascii="Times New Roman" w:hAnsi="Times New Roman" w:cs="Times New Roman"/>
                <w:color w:val="000000"/>
                <w:sz w:val="24"/>
                <w:szCs w:val="24"/>
                <w:lang w:val="uk-UA"/>
              </w:rPr>
            </w:pPr>
            <w:bookmarkStart w:id="47" w:name="31824"/>
            <w:bookmarkEnd w:id="46"/>
          </w:p>
          <w:p w14:paraId="69C48AFD" w14:textId="77777777" w:rsidR="0067059E" w:rsidRDefault="0067059E" w:rsidP="002342CA">
            <w:pPr>
              <w:spacing w:after="0" w:line="240" w:lineRule="auto"/>
              <w:ind w:firstLine="240"/>
              <w:jc w:val="both"/>
              <w:rPr>
                <w:rFonts w:ascii="Times New Roman" w:hAnsi="Times New Roman" w:cs="Times New Roman"/>
                <w:color w:val="000000"/>
                <w:sz w:val="24"/>
                <w:szCs w:val="24"/>
                <w:lang w:val="uk-UA"/>
              </w:rPr>
            </w:pPr>
          </w:p>
          <w:p w14:paraId="25E82CB6" w14:textId="77777777" w:rsidR="0067059E" w:rsidRDefault="0067059E" w:rsidP="002342CA">
            <w:pPr>
              <w:spacing w:after="0" w:line="240" w:lineRule="auto"/>
              <w:ind w:firstLine="240"/>
              <w:jc w:val="both"/>
              <w:rPr>
                <w:rFonts w:ascii="Times New Roman" w:hAnsi="Times New Roman" w:cs="Times New Roman"/>
                <w:color w:val="000000"/>
                <w:sz w:val="24"/>
                <w:szCs w:val="24"/>
                <w:lang w:val="uk-UA"/>
              </w:rPr>
            </w:pPr>
          </w:p>
          <w:p w14:paraId="12490DC0" w14:textId="77777777" w:rsidR="0067059E" w:rsidRDefault="0067059E" w:rsidP="002342CA">
            <w:pPr>
              <w:spacing w:after="0" w:line="240" w:lineRule="auto"/>
              <w:ind w:firstLine="240"/>
              <w:jc w:val="both"/>
              <w:rPr>
                <w:rFonts w:ascii="Times New Roman" w:hAnsi="Times New Roman" w:cs="Times New Roman"/>
                <w:color w:val="000000"/>
                <w:sz w:val="24"/>
                <w:szCs w:val="24"/>
                <w:lang w:val="uk-UA"/>
              </w:rPr>
            </w:pPr>
          </w:p>
          <w:p w14:paraId="59C3B498" w14:textId="77777777" w:rsidR="0067059E" w:rsidRDefault="0067059E" w:rsidP="002342CA">
            <w:pPr>
              <w:spacing w:after="0" w:line="240" w:lineRule="auto"/>
              <w:ind w:firstLine="240"/>
              <w:jc w:val="both"/>
              <w:rPr>
                <w:rFonts w:ascii="Times New Roman" w:hAnsi="Times New Roman" w:cs="Times New Roman"/>
                <w:color w:val="000000"/>
                <w:sz w:val="24"/>
                <w:szCs w:val="24"/>
                <w:lang w:val="uk-UA"/>
              </w:rPr>
            </w:pPr>
          </w:p>
          <w:p w14:paraId="0411C6BE" w14:textId="77777777" w:rsidR="0067059E" w:rsidRDefault="0067059E" w:rsidP="002342CA">
            <w:pPr>
              <w:spacing w:after="0" w:line="240" w:lineRule="auto"/>
              <w:ind w:firstLine="240"/>
              <w:jc w:val="both"/>
              <w:rPr>
                <w:rFonts w:ascii="Times New Roman" w:hAnsi="Times New Roman" w:cs="Times New Roman"/>
                <w:color w:val="000000"/>
                <w:sz w:val="24"/>
                <w:szCs w:val="24"/>
                <w:lang w:val="uk-UA"/>
              </w:rPr>
            </w:pPr>
          </w:p>
          <w:p w14:paraId="29FAE5A8" w14:textId="77777777" w:rsidR="0067059E" w:rsidRDefault="0067059E" w:rsidP="002342CA">
            <w:pPr>
              <w:spacing w:after="0" w:line="240" w:lineRule="auto"/>
              <w:ind w:firstLine="240"/>
              <w:jc w:val="both"/>
              <w:rPr>
                <w:rFonts w:ascii="Times New Roman" w:hAnsi="Times New Roman" w:cs="Times New Roman"/>
                <w:color w:val="000000"/>
                <w:sz w:val="24"/>
                <w:szCs w:val="24"/>
                <w:lang w:val="uk-UA"/>
              </w:rPr>
            </w:pPr>
          </w:p>
          <w:p w14:paraId="7F908767" w14:textId="77777777" w:rsidR="0067059E" w:rsidRDefault="0067059E" w:rsidP="002342CA">
            <w:pPr>
              <w:spacing w:after="0" w:line="240" w:lineRule="auto"/>
              <w:ind w:firstLine="240"/>
              <w:jc w:val="both"/>
              <w:rPr>
                <w:rFonts w:ascii="Times New Roman" w:hAnsi="Times New Roman" w:cs="Times New Roman"/>
                <w:color w:val="000000"/>
                <w:sz w:val="24"/>
                <w:szCs w:val="24"/>
                <w:lang w:val="uk-UA"/>
              </w:rPr>
            </w:pPr>
          </w:p>
          <w:p w14:paraId="733CEF80" w14:textId="77777777" w:rsidR="0067059E" w:rsidRDefault="0067059E" w:rsidP="002342CA">
            <w:pPr>
              <w:spacing w:after="0" w:line="240" w:lineRule="auto"/>
              <w:ind w:firstLine="240"/>
              <w:jc w:val="both"/>
              <w:rPr>
                <w:rFonts w:ascii="Times New Roman" w:hAnsi="Times New Roman" w:cs="Times New Roman"/>
                <w:color w:val="000000"/>
                <w:sz w:val="24"/>
                <w:szCs w:val="24"/>
                <w:lang w:val="uk-UA"/>
              </w:rPr>
            </w:pPr>
          </w:p>
          <w:p w14:paraId="6BD92D5D" w14:textId="4150AEEB" w:rsidR="0067059E" w:rsidRDefault="0067059E" w:rsidP="00D764D9">
            <w:pPr>
              <w:spacing w:after="0" w:line="240" w:lineRule="auto"/>
              <w:jc w:val="both"/>
              <w:rPr>
                <w:rFonts w:ascii="Times New Roman" w:hAnsi="Times New Roman" w:cs="Times New Roman"/>
                <w:color w:val="000000"/>
                <w:sz w:val="24"/>
                <w:szCs w:val="24"/>
                <w:lang w:val="uk-UA"/>
              </w:rPr>
            </w:pPr>
          </w:p>
          <w:p w14:paraId="007D62FC" w14:textId="0F24C63F" w:rsidR="002342CA" w:rsidRPr="00C47D7E" w:rsidRDefault="002342CA" w:rsidP="0067059E">
            <w:pPr>
              <w:spacing w:after="0" w:line="240" w:lineRule="auto"/>
              <w:ind w:firstLine="240"/>
              <w:jc w:val="both"/>
              <w:rPr>
                <w:rFonts w:ascii="Times New Roman" w:hAnsi="Times New Roman" w:cs="Times New Roman"/>
                <w:sz w:val="24"/>
                <w:szCs w:val="24"/>
                <w:lang w:val="uk-UA"/>
              </w:rPr>
            </w:pPr>
            <w:r w:rsidRPr="00C47D7E">
              <w:rPr>
                <w:rFonts w:ascii="Times New Roman" w:hAnsi="Times New Roman" w:cs="Times New Roman"/>
                <w:color w:val="000000"/>
                <w:sz w:val="24"/>
                <w:szCs w:val="24"/>
                <w:lang w:val="uk-UA"/>
              </w:rPr>
              <w:t>Зміни до ПРСР/ІП оператор системи розподілу подає Регулятору за формами, наведеними у додатках 5 та 6 до цього Порядку відповідно.</w:t>
            </w:r>
            <w:bookmarkStart w:id="48" w:name="49309"/>
            <w:bookmarkEnd w:id="47"/>
          </w:p>
          <w:p w14:paraId="654B052F"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49" w:name="18975"/>
            <w:bookmarkEnd w:id="48"/>
            <w:r w:rsidRPr="00C47D7E">
              <w:rPr>
                <w:rFonts w:ascii="Times New Roman" w:hAnsi="Times New Roman" w:cs="Times New Roman"/>
                <w:color w:val="000000"/>
                <w:sz w:val="24"/>
                <w:szCs w:val="24"/>
                <w:lang w:val="uk-UA"/>
              </w:rPr>
              <w:t>Регулятор розглядає зміни до ПРСР та ІП на загальних підставах відповідно до визначеної цим Порядком процедури розгляду та схвалення ПРСР/ІП. При цьому пояснювальна записка до запропонованих змін, зокрема, повинна містити обґрунтування необхідності коригування заходів, виключення та включення додаткових заходів до схвалених ПРСР/ІП.</w:t>
            </w:r>
          </w:p>
          <w:p w14:paraId="0A12B94A"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50" w:name="18976"/>
            <w:bookmarkEnd w:id="49"/>
            <w:r w:rsidRPr="00C47D7E">
              <w:rPr>
                <w:rFonts w:ascii="Times New Roman" w:hAnsi="Times New Roman" w:cs="Times New Roman"/>
                <w:color w:val="000000"/>
                <w:sz w:val="24"/>
                <w:szCs w:val="24"/>
                <w:lang w:val="uk-UA"/>
              </w:rPr>
              <w:lastRenderedPageBreak/>
              <w:t>Питання про внесення змін до ПРСР/ІП Регулятор розглядає на засіданнях, які проводяться у формі відкритих слухань.</w:t>
            </w:r>
            <w:bookmarkEnd w:id="50"/>
          </w:p>
        </w:tc>
        <w:tc>
          <w:tcPr>
            <w:tcW w:w="7371" w:type="dxa"/>
          </w:tcPr>
          <w:p w14:paraId="117FA20A" w14:textId="7DED98B6" w:rsidR="0067059E" w:rsidRPr="00DD57E1" w:rsidRDefault="009C4FC9" w:rsidP="0067059E">
            <w:pPr>
              <w:spacing w:after="0" w:line="240" w:lineRule="auto"/>
              <w:ind w:firstLine="240"/>
              <w:jc w:val="both"/>
              <w:rPr>
                <w:rFonts w:ascii="Times New Roman" w:hAnsi="Times New Roman" w:cs="Times New Roman"/>
                <w:b/>
                <w:sz w:val="24"/>
                <w:szCs w:val="24"/>
                <w:lang w:val="uk-UA"/>
              </w:rPr>
            </w:pPr>
            <w:r w:rsidRPr="00DD57E1">
              <w:rPr>
                <w:rFonts w:ascii="Times New Roman" w:hAnsi="Times New Roman" w:cs="Times New Roman"/>
                <w:sz w:val="24"/>
                <w:szCs w:val="24"/>
                <w:lang w:val="uk-UA"/>
              </w:rPr>
              <w:lastRenderedPageBreak/>
              <w:t xml:space="preserve">3.11. При виникненні </w:t>
            </w:r>
            <w:r w:rsidRPr="00DD57E1">
              <w:rPr>
                <w:rFonts w:ascii="Times New Roman" w:hAnsi="Times New Roman" w:cs="Times New Roman"/>
                <w:b/>
                <w:sz w:val="24"/>
                <w:szCs w:val="24"/>
                <w:lang w:val="uk-UA"/>
              </w:rPr>
              <w:t>особливих обставин</w:t>
            </w:r>
            <w:r w:rsidRPr="00DD57E1">
              <w:rPr>
                <w:rFonts w:ascii="Times New Roman" w:hAnsi="Times New Roman" w:cs="Times New Roman"/>
                <w:sz w:val="24"/>
                <w:szCs w:val="24"/>
                <w:lang w:val="uk-UA"/>
              </w:rPr>
              <w:t xml:space="preserve">, яких оператор системи розподілу не міг передбачити </w:t>
            </w:r>
            <w:r w:rsidRPr="00DD57E1">
              <w:rPr>
                <w:rFonts w:ascii="Times New Roman" w:hAnsi="Times New Roman" w:cs="Times New Roman"/>
                <w:b/>
                <w:sz w:val="24"/>
                <w:szCs w:val="24"/>
                <w:lang w:val="uk-UA"/>
              </w:rPr>
              <w:t>(</w:t>
            </w:r>
            <w:r w:rsidRPr="00DD57E1">
              <w:rPr>
                <w:rFonts w:ascii="Times New Roman" w:hAnsi="Times New Roman" w:cs="Times New Roman"/>
                <w:sz w:val="24"/>
                <w:szCs w:val="24"/>
                <w:lang w:val="uk-UA"/>
              </w:rPr>
              <w:t>пов'язаних з усуненням наслідків</w:t>
            </w:r>
            <w:r w:rsidRPr="00DD57E1">
              <w:rPr>
                <w:rFonts w:ascii="Times New Roman" w:hAnsi="Times New Roman" w:cs="Times New Roman"/>
                <w:b/>
                <w:sz w:val="24"/>
                <w:szCs w:val="24"/>
                <w:lang w:val="uk-UA"/>
              </w:rPr>
              <w:t>, що виникли в результаті</w:t>
            </w:r>
            <w:r w:rsidRPr="00DD57E1">
              <w:rPr>
                <w:rFonts w:ascii="Times New Roman" w:hAnsi="Times New Roman" w:cs="Times New Roman"/>
                <w:sz w:val="24"/>
                <w:szCs w:val="24"/>
                <w:lang w:val="uk-UA"/>
              </w:rPr>
              <w:t xml:space="preserve"> </w:t>
            </w:r>
            <w:r w:rsidRPr="00DD57E1">
              <w:rPr>
                <w:rFonts w:ascii="Times New Roman" w:hAnsi="Times New Roman" w:cs="Times New Roman"/>
                <w:b/>
                <w:sz w:val="24"/>
                <w:szCs w:val="24"/>
                <w:lang w:val="uk-UA"/>
              </w:rPr>
              <w:t>форс-мажорних обставин, необхідністю виконання робіт для забезпечення стійкості роботи об’єднаної енергетичної системи України, режимними обмеженнями, обґрунтованою зміною технічних рішень, виникненням економії внаслідок виконання заходів та у разі збільшення/доповнення визначених джерел фінансування)</w:t>
            </w:r>
            <w:r w:rsidRPr="00DD57E1">
              <w:rPr>
                <w:rFonts w:ascii="Times New Roman" w:hAnsi="Times New Roman" w:cs="Times New Roman"/>
                <w:sz w:val="24"/>
                <w:szCs w:val="24"/>
                <w:lang w:val="uk-UA"/>
              </w:rPr>
              <w:t xml:space="preserve">, оператор системи розподілу має право за власною ініціативою, як правило, протягом місяця за підсумками першого та другого кварталу та/або не пізніше 30 вересня прогнозного періоду звернутися до Регулятора з пропозицією щодо внесення змін до схвалених ПРСР/ІП, оформлених та обґрунтованих відповідно до вимог цього Порядку, </w:t>
            </w:r>
            <w:r w:rsidRPr="00DD57E1">
              <w:rPr>
                <w:rFonts w:ascii="Times New Roman" w:hAnsi="Times New Roman" w:cs="Times New Roman"/>
                <w:b/>
                <w:sz w:val="24"/>
                <w:szCs w:val="24"/>
                <w:lang w:val="uk-UA"/>
              </w:rPr>
              <w:t>з наданням відповідних висновків, розрахунків та інших документів, що підтверджують факт виникнення таких обставин</w:t>
            </w:r>
            <w:r w:rsidRPr="00DD57E1">
              <w:rPr>
                <w:rFonts w:ascii="Times New Roman" w:hAnsi="Times New Roman" w:cs="Times New Roman"/>
                <w:sz w:val="24"/>
                <w:szCs w:val="24"/>
                <w:lang w:val="uk-UA"/>
              </w:rPr>
              <w:t xml:space="preserve">. </w:t>
            </w:r>
            <w:r w:rsidR="00124744" w:rsidRPr="00DD57E1">
              <w:rPr>
                <w:rFonts w:ascii="Times New Roman" w:hAnsi="Times New Roman" w:cs="Times New Roman"/>
                <w:b/>
                <w:sz w:val="24"/>
                <w:szCs w:val="24"/>
                <w:lang w:val="uk-UA"/>
              </w:rPr>
              <w:t>При цьому</w:t>
            </w:r>
            <w:r w:rsidRPr="00DD57E1">
              <w:rPr>
                <w:rFonts w:ascii="Times New Roman" w:hAnsi="Times New Roman" w:cs="Times New Roman"/>
                <w:b/>
                <w:sz w:val="24"/>
                <w:szCs w:val="24"/>
                <w:lang w:val="uk-UA"/>
              </w:rPr>
              <w:t xml:space="preserve"> у разі необхідності зміни переліку заходів ПРСР/ІП оператор системи розподілу повинен дотримуватись </w:t>
            </w:r>
            <w:proofErr w:type="spellStart"/>
            <w:r w:rsidRPr="00DD57E1">
              <w:rPr>
                <w:rFonts w:ascii="Times New Roman" w:hAnsi="Times New Roman" w:cs="Times New Roman"/>
                <w:b/>
                <w:sz w:val="24"/>
                <w:szCs w:val="24"/>
                <w:lang w:val="uk-UA"/>
              </w:rPr>
              <w:t>пріоритезації</w:t>
            </w:r>
            <w:proofErr w:type="spellEnd"/>
            <w:r w:rsidRPr="00DD57E1">
              <w:rPr>
                <w:rFonts w:ascii="Times New Roman" w:hAnsi="Times New Roman" w:cs="Times New Roman"/>
                <w:b/>
                <w:sz w:val="24"/>
                <w:szCs w:val="24"/>
                <w:lang w:val="uk-UA"/>
              </w:rPr>
              <w:t>, що визначена у схвалених ПРСР/ІП.</w:t>
            </w:r>
          </w:p>
          <w:p w14:paraId="3876D59E" w14:textId="77777777" w:rsidR="002342CA" w:rsidRPr="00DD57E1" w:rsidRDefault="002342CA" w:rsidP="002342CA">
            <w:pPr>
              <w:spacing w:after="0" w:line="240" w:lineRule="auto"/>
              <w:rPr>
                <w:rFonts w:ascii="Times New Roman" w:hAnsi="Times New Roman" w:cs="Times New Roman"/>
                <w:lang w:val="uk-UA"/>
              </w:rPr>
            </w:pPr>
          </w:p>
          <w:p w14:paraId="116AF936" w14:textId="77777777" w:rsidR="007300B4" w:rsidRPr="00DD57E1" w:rsidRDefault="007300B4" w:rsidP="007300B4">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Зміни до ПРСР/ІП оператор системи розподілу подає Регулятору за формами, наведеними у додатках 5 та 6 до цього Порядку відповідно.</w:t>
            </w:r>
          </w:p>
          <w:p w14:paraId="4FE75440" w14:textId="77777777" w:rsidR="007300B4" w:rsidRPr="00DD57E1" w:rsidRDefault="007300B4" w:rsidP="007300B4">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Регулятор розглядає зміни до ПРСР та ІП на загальних підставах відповідно до визначеної цим Порядком процедури розгляду та схвалення ПРСР/ІП. При цьому пояснювальна записка до запропонованих змін, зокрема, повинна містити обґрунтування необхідності коригування заходів, виключення та включення додаткових заходів до схвалених ПРСР/ІП.</w:t>
            </w:r>
          </w:p>
          <w:p w14:paraId="0B5B0954" w14:textId="7897F31A" w:rsidR="007300B4" w:rsidRPr="00DD57E1" w:rsidRDefault="007300B4" w:rsidP="007300B4">
            <w:pPr>
              <w:spacing w:after="0" w:line="240" w:lineRule="auto"/>
              <w:rPr>
                <w:rFonts w:ascii="Times New Roman" w:hAnsi="Times New Roman" w:cs="Times New Roman"/>
                <w:lang w:val="uk-UA"/>
              </w:rPr>
            </w:pPr>
            <w:r w:rsidRPr="00DD57E1">
              <w:rPr>
                <w:rFonts w:ascii="Times New Roman" w:hAnsi="Times New Roman" w:cs="Times New Roman"/>
                <w:sz w:val="24"/>
                <w:szCs w:val="24"/>
                <w:lang w:val="uk-UA"/>
              </w:rPr>
              <w:lastRenderedPageBreak/>
              <w:t>Питання про внесення змін до ПРСР/ІП Регулятор розглядає на засіданнях, які проводяться у формі відкритих слухань.</w:t>
            </w:r>
          </w:p>
        </w:tc>
      </w:tr>
      <w:tr w:rsidR="002342CA" w:rsidRPr="00C47D7E" w14:paraId="2D6CB0E3" w14:textId="77777777" w:rsidTr="007F584C">
        <w:tc>
          <w:tcPr>
            <w:tcW w:w="421" w:type="dxa"/>
          </w:tcPr>
          <w:p w14:paraId="0B06FB92" w14:textId="77777777" w:rsidR="002342CA" w:rsidRPr="00C47D7E" w:rsidRDefault="002342CA" w:rsidP="002342CA">
            <w:pPr>
              <w:spacing w:after="0" w:line="240" w:lineRule="auto"/>
              <w:rPr>
                <w:rFonts w:ascii="Times New Roman" w:hAnsi="Times New Roman" w:cs="Times New Roman"/>
                <w:lang w:val="uk-UA"/>
              </w:rPr>
            </w:pPr>
          </w:p>
        </w:tc>
        <w:tc>
          <w:tcPr>
            <w:tcW w:w="14600" w:type="dxa"/>
            <w:gridSpan w:val="2"/>
          </w:tcPr>
          <w:p w14:paraId="25EDC35E" w14:textId="77777777" w:rsidR="002342CA" w:rsidRPr="00DD57E1" w:rsidRDefault="002342CA" w:rsidP="001B1FF5">
            <w:pPr>
              <w:pStyle w:val="3"/>
              <w:spacing w:before="0" w:after="0" w:line="240" w:lineRule="auto"/>
              <w:jc w:val="center"/>
              <w:outlineLvl w:val="2"/>
              <w:rPr>
                <w:rFonts w:ascii="Times New Roman" w:hAnsi="Times New Roman" w:cs="Times New Roman"/>
                <w:color w:val="auto"/>
                <w:sz w:val="24"/>
                <w:szCs w:val="24"/>
                <w:lang w:val="uk-UA"/>
              </w:rPr>
            </w:pPr>
            <w:r w:rsidRPr="00DD57E1">
              <w:rPr>
                <w:rFonts w:ascii="Times New Roman" w:hAnsi="Times New Roman" w:cs="Times New Roman"/>
                <w:color w:val="auto"/>
                <w:sz w:val="24"/>
                <w:szCs w:val="24"/>
                <w:lang w:val="uk-UA"/>
              </w:rPr>
              <w:t>4. Виконання ІП</w:t>
            </w:r>
          </w:p>
        </w:tc>
      </w:tr>
      <w:tr w:rsidR="002342CA" w:rsidRPr="007A6290" w14:paraId="6CFA6064" w14:textId="77777777" w:rsidTr="007F584C">
        <w:tc>
          <w:tcPr>
            <w:tcW w:w="421" w:type="dxa"/>
          </w:tcPr>
          <w:p w14:paraId="3DCAAFBC"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23C48CC6" w14:textId="7D1C8F85" w:rsidR="002342CA" w:rsidRPr="00D764D9" w:rsidRDefault="00D764D9" w:rsidP="002342CA">
            <w:pPr>
              <w:spacing w:after="0" w:line="240" w:lineRule="auto"/>
              <w:ind w:firstLine="240"/>
              <w:jc w:val="both"/>
              <w:rPr>
                <w:rFonts w:ascii="Times New Roman" w:hAnsi="Times New Roman" w:cs="Times New Roman"/>
                <w:b/>
                <w:sz w:val="24"/>
                <w:szCs w:val="24"/>
                <w:lang w:val="uk-UA"/>
              </w:rPr>
            </w:pPr>
            <w:r w:rsidRPr="00D764D9">
              <w:rPr>
                <w:rFonts w:ascii="Times New Roman" w:hAnsi="Times New Roman" w:cs="Times New Roman"/>
                <w:b/>
                <w:color w:val="000000"/>
                <w:sz w:val="24"/>
                <w:szCs w:val="24"/>
                <w:lang w:val="uk-UA"/>
              </w:rPr>
              <w:t>…</w:t>
            </w:r>
          </w:p>
        </w:tc>
        <w:tc>
          <w:tcPr>
            <w:tcW w:w="7371" w:type="dxa"/>
          </w:tcPr>
          <w:p w14:paraId="46595ABA" w14:textId="77777777" w:rsidR="002342CA" w:rsidRPr="00DD57E1" w:rsidRDefault="002342CA" w:rsidP="002342CA">
            <w:pPr>
              <w:spacing w:after="0" w:line="240" w:lineRule="auto"/>
              <w:rPr>
                <w:rFonts w:ascii="Times New Roman" w:hAnsi="Times New Roman" w:cs="Times New Roman"/>
                <w:lang w:val="uk-UA"/>
              </w:rPr>
            </w:pPr>
          </w:p>
        </w:tc>
      </w:tr>
      <w:tr w:rsidR="002342CA" w:rsidRPr="008D43C5" w14:paraId="5A8C2069" w14:textId="77777777" w:rsidTr="007F584C">
        <w:tc>
          <w:tcPr>
            <w:tcW w:w="421" w:type="dxa"/>
          </w:tcPr>
          <w:p w14:paraId="5C50DFD3"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25A79977"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51" w:name="18979"/>
            <w:r w:rsidRPr="00C47D7E">
              <w:rPr>
                <w:rFonts w:ascii="Times New Roman" w:hAnsi="Times New Roman" w:cs="Times New Roman"/>
                <w:color w:val="000000"/>
                <w:sz w:val="24"/>
                <w:szCs w:val="24"/>
                <w:lang w:val="uk-UA"/>
              </w:rPr>
              <w:t>4.2. Виконаними вважаються заходи ІП, щодо яких здійснено повне фінансування та активи по яких введені в експлуатацію у термін до 31 грудня прогнозного періоду відповідної ІП, що підтверджено такими документами:</w:t>
            </w:r>
          </w:p>
          <w:p w14:paraId="2651D707" w14:textId="77777777" w:rsidR="00D764D9" w:rsidRDefault="00D764D9" w:rsidP="002342CA">
            <w:pPr>
              <w:spacing w:after="0" w:line="240" w:lineRule="auto"/>
              <w:ind w:firstLine="240"/>
              <w:jc w:val="both"/>
              <w:rPr>
                <w:rFonts w:ascii="Times New Roman" w:hAnsi="Times New Roman" w:cs="Times New Roman"/>
                <w:color w:val="000000"/>
                <w:sz w:val="24"/>
                <w:szCs w:val="24"/>
                <w:lang w:val="uk-UA"/>
              </w:rPr>
            </w:pPr>
            <w:bookmarkStart w:id="52" w:name="18980"/>
            <w:bookmarkEnd w:id="51"/>
          </w:p>
          <w:p w14:paraId="18FEE631" w14:textId="77777777" w:rsidR="00BA2DE5" w:rsidRDefault="00BA2DE5" w:rsidP="002342CA">
            <w:pPr>
              <w:spacing w:after="0" w:line="240" w:lineRule="auto"/>
              <w:ind w:firstLine="240"/>
              <w:jc w:val="both"/>
              <w:rPr>
                <w:rFonts w:ascii="Times New Roman" w:hAnsi="Times New Roman" w:cs="Times New Roman"/>
                <w:color w:val="000000"/>
                <w:sz w:val="24"/>
                <w:szCs w:val="24"/>
                <w:lang w:val="uk-UA"/>
              </w:rPr>
            </w:pPr>
          </w:p>
          <w:p w14:paraId="7F0A268A" w14:textId="77777777" w:rsidR="00BA2DE5" w:rsidRDefault="00BA2DE5" w:rsidP="002342CA">
            <w:pPr>
              <w:spacing w:after="0" w:line="240" w:lineRule="auto"/>
              <w:ind w:firstLine="240"/>
              <w:jc w:val="both"/>
              <w:rPr>
                <w:rFonts w:ascii="Times New Roman" w:hAnsi="Times New Roman" w:cs="Times New Roman"/>
                <w:color w:val="000000"/>
                <w:sz w:val="24"/>
                <w:szCs w:val="24"/>
                <w:lang w:val="uk-UA"/>
              </w:rPr>
            </w:pPr>
          </w:p>
          <w:p w14:paraId="29B72EB7" w14:textId="34E98E70" w:rsidR="002342CA" w:rsidRPr="00C47D7E" w:rsidRDefault="002342CA" w:rsidP="002342CA">
            <w:pPr>
              <w:spacing w:after="0" w:line="240" w:lineRule="auto"/>
              <w:ind w:firstLine="240"/>
              <w:jc w:val="both"/>
              <w:rPr>
                <w:rFonts w:ascii="Times New Roman" w:hAnsi="Times New Roman" w:cs="Times New Roman"/>
                <w:sz w:val="24"/>
                <w:szCs w:val="24"/>
                <w:lang w:val="uk-UA"/>
              </w:rPr>
            </w:pPr>
            <w:r w:rsidRPr="00C47D7E">
              <w:rPr>
                <w:rFonts w:ascii="Times New Roman" w:hAnsi="Times New Roman" w:cs="Times New Roman"/>
                <w:color w:val="000000"/>
                <w:sz w:val="24"/>
                <w:szCs w:val="24"/>
                <w:lang w:val="uk-UA"/>
              </w:rPr>
              <w:t>1) для матеріальних активів (у тому числі інших необоротних матеріальних активів):</w:t>
            </w:r>
          </w:p>
          <w:p w14:paraId="7387FD11"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53" w:name="18981"/>
            <w:bookmarkEnd w:id="52"/>
            <w:r w:rsidRPr="00C47D7E">
              <w:rPr>
                <w:rFonts w:ascii="Times New Roman" w:hAnsi="Times New Roman" w:cs="Times New Roman"/>
                <w:color w:val="000000"/>
                <w:sz w:val="24"/>
                <w:szCs w:val="24"/>
                <w:lang w:val="uk-UA"/>
              </w:rPr>
              <w:t>акт введення в експлуатацію основних засобів;</w:t>
            </w:r>
          </w:p>
          <w:p w14:paraId="4304662B"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54" w:name="18982"/>
            <w:bookmarkEnd w:id="53"/>
            <w:r w:rsidRPr="00C47D7E">
              <w:rPr>
                <w:rFonts w:ascii="Times New Roman" w:hAnsi="Times New Roman" w:cs="Times New Roman"/>
                <w:color w:val="000000"/>
                <w:sz w:val="24"/>
                <w:szCs w:val="24"/>
                <w:lang w:val="uk-UA"/>
              </w:rPr>
              <w:t>акт готовності об'єкта електроенергетики до експлуатації технічно переоснащених або замінених складових частин об'єктів електричних мереж;</w:t>
            </w:r>
          </w:p>
          <w:p w14:paraId="1AD0562A"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55" w:name="18983"/>
            <w:bookmarkEnd w:id="54"/>
            <w:r w:rsidRPr="00C47D7E">
              <w:rPr>
                <w:rFonts w:ascii="Times New Roman" w:hAnsi="Times New Roman" w:cs="Times New Roman"/>
                <w:color w:val="000000"/>
                <w:sz w:val="24"/>
                <w:szCs w:val="24"/>
                <w:lang w:val="uk-UA"/>
              </w:rPr>
              <w:t>2) для нематеріальних активів:</w:t>
            </w:r>
          </w:p>
          <w:p w14:paraId="45865B3B"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56" w:name="18984"/>
            <w:bookmarkEnd w:id="55"/>
            <w:r w:rsidRPr="00C47D7E">
              <w:rPr>
                <w:rFonts w:ascii="Times New Roman" w:hAnsi="Times New Roman" w:cs="Times New Roman"/>
                <w:color w:val="000000"/>
                <w:sz w:val="24"/>
                <w:szCs w:val="24"/>
                <w:lang w:val="uk-UA"/>
              </w:rPr>
              <w:t>акт введення в господарський оборот об'єкта права інтелектуальної власності у складі нематеріальних активів.</w:t>
            </w:r>
          </w:p>
          <w:p w14:paraId="4E66B555"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57" w:name="18985"/>
            <w:bookmarkEnd w:id="56"/>
            <w:r w:rsidRPr="00C47D7E">
              <w:rPr>
                <w:rFonts w:ascii="Times New Roman" w:hAnsi="Times New Roman" w:cs="Times New Roman"/>
                <w:color w:val="000000"/>
                <w:sz w:val="24"/>
                <w:szCs w:val="24"/>
                <w:lang w:val="uk-UA"/>
              </w:rPr>
              <w:t xml:space="preserve">Заходи з розробки </w:t>
            </w:r>
            <w:proofErr w:type="spellStart"/>
            <w:r w:rsidRPr="00C47D7E">
              <w:rPr>
                <w:rFonts w:ascii="Times New Roman" w:hAnsi="Times New Roman" w:cs="Times New Roman"/>
                <w:color w:val="000000"/>
                <w:sz w:val="24"/>
                <w:szCs w:val="24"/>
                <w:lang w:val="uk-UA"/>
              </w:rPr>
              <w:t>проєктно</w:t>
            </w:r>
            <w:proofErr w:type="spellEnd"/>
            <w:r w:rsidRPr="00C47D7E">
              <w:rPr>
                <w:rFonts w:ascii="Times New Roman" w:hAnsi="Times New Roman" w:cs="Times New Roman"/>
                <w:color w:val="000000"/>
                <w:sz w:val="24"/>
                <w:szCs w:val="24"/>
                <w:lang w:val="uk-UA"/>
              </w:rPr>
              <w:t xml:space="preserve">-кошторисної документації вважаються виконаними протягом прогнозного періоду, якщо за результатами їх виконання складено акт приймання-передачі виконаної </w:t>
            </w:r>
            <w:proofErr w:type="spellStart"/>
            <w:r w:rsidRPr="00C47D7E">
              <w:rPr>
                <w:rFonts w:ascii="Times New Roman" w:hAnsi="Times New Roman" w:cs="Times New Roman"/>
                <w:color w:val="000000"/>
                <w:sz w:val="24"/>
                <w:szCs w:val="24"/>
                <w:lang w:val="uk-UA"/>
              </w:rPr>
              <w:t>проєктно</w:t>
            </w:r>
            <w:proofErr w:type="spellEnd"/>
            <w:r w:rsidRPr="00C47D7E">
              <w:rPr>
                <w:rFonts w:ascii="Times New Roman" w:hAnsi="Times New Roman" w:cs="Times New Roman"/>
                <w:color w:val="000000"/>
                <w:sz w:val="24"/>
                <w:szCs w:val="24"/>
                <w:lang w:val="uk-UA"/>
              </w:rPr>
              <w:t>-кошторисної документації на об'єкт у термін до 31 грудня цього періоду та щодо яких здійснено повне фінансування.</w:t>
            </w:r>
          </w:p>
          <w:p w14:paraId="554761FB" w14:textId="77777777" w:rsidR="002342CA" w:rsidRPr="00C47D7E" w:rsidRDefault="002342CA" w:rsidP="002342CA">
            <w:pPr>
              <w:spacing w:after="0" w:line="240" w:lineRule="auto"/>
              <w:ind w:firstLine="240"/>
              <w:jc w:val="both"/>
              <w:rPr>
                <w:rFonts w:ascii="Times New Roman" w:hAnsi="Times New Roman" w:cs="Times New Roman"/>
                <w:sz w:val="24"/>
                <w:szCs w:val="24"/>
                <w:lang w:val="uk-UA"/>
              </w:rPr>
            </w:pPr>
            <w:bookmarkStart w:id="58" w:name="18986"/>
            <w:bookmarkEnd w:id="57"/>
            <w:r w:rsidRPr="00C47D7E">
              <w:rPr>
                <w:rFonts w:ascii="Times New Roman" w:hAnsi="Times New Roman" w:cs="Times New Roman"/>
                <w:color w:val="000000"/>
                <w:sz w:val="24"/>
                <w:szCs w:val="24"/>
                <w:lang w:val="uk-UA"/>
              </w:rPr>
              <w:t>Оператори систем розподілу мають виконувати заходи ІП з дотриманням вимог законодавства у сфері регулювання містобудівної діяльності.</w:t>
            </w:r>
          </w:p>
          <w:p w14:paraId="6591D6A6" w14:textId="5D03AEEC" w:rsidR="00CE700E" w:rsidRPr="00735D5E" w:rsidRDefault="002342CA" w:rsidP="00735D5E">
            <w:pPr>
              <w:spacing w:after="0" w:line="240" w:lineRule="auto"/>
              <w:ind w:firstLine="240"/>
              <w:jc w:val="both"/>
              <w:rPr>
                <w:rFonts w:ascii="Times New Roman" w:hAnsi="Times New Roman" w:cs="Times New Roman"/>
                <w:sz w:val="24"/>
                <w:szCs w:val="24"/>
                <w:lang w:val="uk-UA"/>
              </w:rPr>
            </w:pPr>
            <w:bookmarkStart w:id="59" w:name="18987"/>
            <w:bookmarkEnd w:id="58"/>
            <w:r w:rsidRPr="00C47D7E">
              <w:rPr>
                <w:rFonts w:ascii="Times New Roman" w:hAnsi="Times New Roman" w:cs="Times New Roman"/>
                <w:color w:val="000000"/>
                <w:sz w:val="24"/>
                <w:szCs w:val="24"/>
                <w:lang w:val="uk-UA"/>
              </w:rPr>
              <w:t xml:space="preserve">Перехідні заходи ІП вважаються виконаними протягом прогнозного періоду, якщо за результатами їх виконання складено акти виконаних робіт та/або акти приймання-передачі, здійснено </w:t>
            </w:r>
            <w:r w:rsidRPr="00C47D7E">
              <w:rPr>
                <w:rFonts w:ascii="Times New Roman" w:hAnsi="Times New Roman" w:cs="Times New Roman"/>
                <w:color w:val="000000"/>
                <w:sz w:val="24"/>
                <w:szCs w:val="24"/>
                <w:lang w:val="uk-UA"/>
              </w:rPr>
              <w:lastRenderedPageBreak/>
              <w:t>оплату відповідно до цих актів на умовах, передбачених схваленою ІП.</w:t>
            </w:r>
            <w:bookmarkStart w:id="60" w:name="31825"/>
            <w:bookmarkEnd w:id="59"/>
          </w:p>
          <w:p w14:paraId="29546D69" w14:textId="41DC9F06" w:rsidR="002342CA" w:rsidRPr="00A21A82" w:rsidRDefault="002342CA" w:rsidP="00A21A82">
            <w:pPr>
              <w:spacing w:after="0" w:line="240" w:lineRule="auto"/>
              <w:ind w:firstLine="240"/>
              <w:jc w:val="both"/>
              <w:rPr>
                <w:rFonts w:ascii="Times New Roman" w:hAnsi="Times New Roman" w:cs="Times New Roman"/>
                <w:sz w:val="24"/>
                <w:szCs w:val="24"/>
                <w:lang w:val="uk-UA"/>
              </w:rPr>
            </w:pPr>
            <w:r w:rsidRPr="00C47D7E">
              <w:rPr>
                <w:rFonts w:ascii="Times New Roman" w:hAnsi="Times New Roman" w:cs="Times New Roman"/>
                <w:color w:val="000000"/>
                <w:sz w:val="24"/>
                <w:szCs w:val="24"/>
                <w:lang w:val="uk-UA"/>
              </w:rPr>
              <w:t>По заходах ІП, до складу яких входить виконання декількох однакових складових, слід розглядати виконання кожної окремої складової як окремого заходу в межах пункту схваленої ІП, з урахуванням досягнення цілей та показників (індикаторів), що були визначені у відповідній пояснювальній записці при їх схваленні у ІП.</w:t>
            </w:r>
            <w:bookmarkEnd w:id="60"/>
          </w:p>
        </w:tc>
        <w:tc>
          <w:tcPr>
            <w:tcW w:w="7371" w:type="dxa"/>
          </w:tcPr>
          <w:p w14:paraId="26F62F5C" w14:textId="77777777" w:rsidR="00CE700E" w:rsidRPr="00DD57E1" w:rsidRDefault="00CE700E" w:rsidP="00CE700E">
            <w:pPr>
              <w:spacing w:after="0" w:line="240" w:lineRule="auto"/>
              <w:ind w:firstLine="311"/>
              <w:jc w:val="both"/>
              <w:rPr>
                <w:rFonts w:ascii="Times New Roman" w:hAnsi="Times New Roman" w:cs="Times New Roman"/>
                <w:sz w:val="24"/>
                <w:szCs w:val="24"/>
                <w:lang w:val="uk-UA"/>
              </w:rPr>
            </w:pPr>
            <w:r w:rsidRPr="00DD57E1">
              <w:rPr>
                <w:rFonts w:ascii="Times New Roman" w:eastAsia="Times New Roman" w:hAnsi="Times New Roman" w:cs="Times New Roman"/>
                <w:b/>
                <w:sz w:val="24"/>
                <w:szCs w:val="24"/>
                <w:lang w:val="uk-UA" w:eastAsia="ru-RU"/>
              </w:rPr>
              <w:lastRenderedPageBreak/>
              <w:t>4.2. Виконаними вважаються заходи ІП, по яких підтверджено досягнення цілей та показників (індикаторів), що були визначені у відповідній пояснювальній записці при їх схваленні у ІП, щодо яких здійснено повне фінансування та активи по яких введені в експлуатацію у термін до 31 грудня прогнозного періоду відповідної ІП, що підтверджено такими документами:</w:t>
            </w:r>
          </w:p>
          <w:p w14:paraId="61B28D9D" w14:textId="77777777" w:rsidR="00BA2DE5" w:rsidRPr="00DD57E1" w:rsidRDefault="00BA2DE5" w:rsidP="00410BA8">
            <w:pPr>
              <w:spacing w:after="0" w:line="240" w:lineRule="auto"/>
              <w:ind w:firstLine="240"/>
              <w:jc w:val="both"/>
              <w:rPr>
                <w:rFonts w:ascii="Times New Roman" w:hAnsi="Times New Roman" w:cs="Times New Roman"/>
                <w:sz w:val="24"/>
                <w:szCs w:val="24"/>
                <w:lang w:val="uk-UA"/>
              </w:rPr>
            </w:pPr>
          </w:p>
          <w:p w14:paraId="7339713A" w14:textId="0B128CDC" w:rsidR="00410BA8" w:rsidRPr="00DD57E1" w:rsidRDefault="00410BA8" w:rsidP="00410BA8">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1) для матеріальних активів (у тому числі інших необоротних матеріальних активів):</w:t>
            </w:r>
          </w:p>
          <w:p w14:paraId="7DB9B86D" w14:textId="77777777" w:rsidR="00410BA8" w:rsidRPr="00DD57E1" w:rsidRDefault="00410BA8" w:rsidP="00410BA8">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акт введення в експлуатацію основних засобів;</w:t>
            </w:r>
          </w:p>
          <w:p w14:paraId="58E51F43" w14:textId="77777777" w:rsidR="00410BA8" w:rsidRPr="00DD57E1" w:rsidRDefault="00410BA8" w:rsidP="00410BA8">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акт готовності об'єкта електроенергетики до експлуатації технічно переоснащених або замінених складових частин об'єктів електричних мереж;</w:t>
            </w:r>
            <w:bookmarkStart w:id="61" w:name="_GoBack"/>
            <w:bookmarkEnd w:id="61"/>
          </w:p>
          <w:p w14:paraId="68ED3C4E" w14:textId="77777777" w:rsidR="00410BA8" w:rsidRPr="00DD57E1" w:rsidRDefault="00410BA8" w:rsidP="00410BA8">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2) для нематеріальних активів:</w:t>
            </w:r>
          </w:p>
          <w:p w14:paraId="702F7CE9" w14:textId="77777777" w:rsidR="00410BA8" w:rsidRPr="00DD57E1" w:rsidRDefault="00410BA8" w:rsidP="00410BA8">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акт введення в господарський оборот об'єкта права інтелектуальної власності у складі нематеріальних активів.</w:t>
            </w:r>
          </w:p>
          <w:p w14:paraId="68D7EB28" w14:textId="77777777" w:rsidR="00410BA8" w:rsidRPr="00DD57E1" w:rsidRDefault="00410BA8" w:rsidP="00410BA8">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 xml:space="preserve">Заходи з розробки </w:t>
            </w:r>
            <w:proofErr w:type="spellStart"/>
            <w:r w:rsidRPr="00DD57E1">
              <w:rPr>
                <w:rFonts w:ascii="Times New Roman" w:hAnsi="Times New Roman" w:cs="Times New Roman"/>
                <w:sz w:val="24"/>
                <w:szCs w:val="24"/>
                <w:lang w:val="uk-UA"/>
              </w:rPr>
              <w:t>проєктно</w:t>
            </w:r>
            <w:proofErr w:type="spellEnd"/>
            <w:r w:rsidRPr="00DD57E1">
              <w:rPr>
                <w:rFonts w:ascii="Times New Roman" w:hAnsi="Times New Roman" w:cs="Times New Roman"/>
                <w:sz w:val="24"/>
                <w:szCs w:val="24"/>
                <w:lang w:val="uk-UA"/>
              </w:rPr>
              <w:t xml:space="preserve">-кошторисної документації вважаються виконаними протягом прогнозного періоду, якщо за результатами їх виконання складено акт приймання-передачі виконаної </w:t>
            </w:r>
            <w:proofErr w:type="spellStart"/>
            <w:r w:rsidRPr="00DD57E1">
              <w:rPr>
                <w:rFonts w:ascii="Times New Roman" w:hAnsi="Times New Roman" w:cs="Times New Roman"/>
                <w:sz w:val="24"/>
                <w:szCs w:val="24"/>
                <w:lang w:val="uk-UA"/>
              </w:rPr>
              <w:t>проєктно</w:t>
            </w:r>
            <w:proofErr w:type="spellEnd"/>
            <w:r w:rsidRPr="00DD57E1">
              <w:rPr>
                <w:rFonts w:ascii="Times New Roman" w:hAnsi="Times New Roman" w:cs="Times New Roman"/>
                <w:sz w:val="24"/>
                <w:szCs w:val="24"/>
                <w:lang w:val="uk-UA"/>
              </w:rPr>
              <w:t>-кошторисної документації на об'єкт у термін до 31 грудня цього періоду та щодо яких здійснено повне фінансування.</w:t>
            </w:r>
          </w:p>
          <w:p w14:paraId="3E6548C1" w14:textId="77777777" w:rsidR="00410BA8" w:rsidRPr="00DD57E1" w:rsidRDefault="00410BA8" w:rsidP="00410BA8">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Оператори систем розподілу мають виконувати заходи ІП з дотриманням вимог законодавства у сфері регулювання містобудівної діяльності.</w:t>
            </w:r>
          </w:p>
          <w:p w14:paraId="4EA4EB2E" w14:textId="77777777" w:rsidR="00410BA8" w:rsidRPr="00DD57E1" w:rsidRDefault="00410BA8" w:rsidP="00410BA8">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 xml:space="preserve">Перехідні заходи ІП вважаються виконаними протягом прогнозного періоду, якщо за результатами їх виконання складено акти виконаних робіт та/або акти приймання-передачі, здійснено </w:t>
            </w:r>
            <w:r w:rsidRPr="00DD57E1">
              <w:rPr>
                <w:rFonts w:ascii="Times New Roman" w:hAnsi="Times New Roman" w:cs="Times New Roman"/>
                <w:sz w:val="24"/>
                <w:szCs w:val="24"/>
                <w:lang w:val="uk-UA"/>
              </w:rPr>
              <w:lastRenderedPageBreak/>
              <w:t>оплату відповідно до цих актів на умовах, передбачених схваленою ІП.</w:t>
            </w:r>
          </w:p>
          <w:p w14:paraId="672B484D" w14:textId="7F20F435" w:rsidR="00CE700E" w:rsidRPr="00DD57E1" w:rsidRDefault="00410BA8" w:rsidP="00A21A82">
            <w:pPr>
              <w:spacing w:after="0" w:line="240" w:lineRule="auto"/>
              <w:ind w:firstLine="240"/>
              <w:jc w:val="both"/>
              <w:rPr>
                <w:rFonts w:ascii="Times New Roman" w:hAnsi="Times New Roman" w:cs="Times New Roman"/>
                <w:sz w:val="24"/>
                <w:szCs w:val="24"/>
                <w:lang w:val="uk-UA"/>
              </w:rPr>
            </w:pPr>
            <w:r w:rsidRPr="00DD57E1">
              <w:rPr>
                <w:rFonts w:ascii="Times New Roman" w:hAnsi="Times New Roman" w:cs="Times New Roman"/>
                <w:sz w:val="24"/>
                <w:szCs w:val="24"/>
                <w:lang w:val="uk-UA"/>
              </w:rPr>
              <w:t>По заходах ІП, до складу яких входить виконання декількох однакових складових, слід розглядати виконання кожної окремої складової як окремого заходу в межах пункту схваленої ІП, з урахуванням досягнення цілей та показників (індикаторів), що були визначені у відповідній пояснювальні</w:t>
            </w:r>
            <w:r w:rsidR="00A21A82" w:rsidRPr="00DD57E1">
              <w:rPr>
                <w:rFonts w:ascii="Times New Roman" w:hAnsi="Times New Roman" w:cs="Times New Roman"/>
                <w:sz w:val="24"/>
                <w:szCs w:val="24"/>
                <w:lang w:val="uk-UA"/>
              </w:rPr>
              <w:t>й записці при їх схваленні у ІП.</w:t>
            </w:r>
          </w:p>
          <w:p w14:paraId="19E753F2" w14:textId="77777777" w:rsidR="00CE700E" w:rsidRPr="00DD57E1" w:rsidRDefault="00CE700E" w:rsidP="00A21A82">
            <w:pPr>
              <w:jc w:val="both"/>
              <w:rPr>
                <w:rFonts w:ascii="Times New Roman" w:hAnsi="Times New Roman" w:cs="Times New Roman"/>
                <w:lang w:val="uk-UA"/>
              </w:rPr>
            </w:pPr>
          </w:p>
        </w:tc>
      </w:tr>
      <w:tr w:rsidR="002342CA" w:rsidRPr="007A6290" w14:paraId="49807BC9" w14:textId="77777777" w:rsidTr="007F584C">
        <w:tc>
          <w:tcPr>
            <w:tcW w:w="421" w:type="dxa"/>
          </w:tcPr>
          <w:p w14:paraId="637D3430"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55480468" w14:textId="52BD982B" w:rsidR="002342CA" w:rsidRPr="00D764D9" w:rsidRDefault="00D764D9" w:rsidP="002342CA">
            <w:pPr>
              <w:spacing w:after="0" w:line="240" w:lineRule="auto"/>
              <w:ind w:firstLine="240"/>
              <w:jc w:val="both"/>
              <w:rPr>
                <w:rFonts w:ascii="Times New Roman" w:hAnsi="Times New Roman" w:cs="Times New Roman"/>
                <w:b/>
                <w:sz w:val="24"/>
                <w:szCs w:val="24"/>
                <w:lang w:val="uk-UA"/>
              </w:rPr>
            </w:pPr>
            <w:r w:rsidRPr="00D764D9">
              <w:rPr>
                <w:rFonts w:ascii="Times New Roman" w:hAnsi="Times New Roman" w:cs="Times New Roman"/>
                <w:b/>
                <w:color w:val="000000"/>
                <w:sz w:val="24"/>
                <w:szCs w:val="24"/>
                <w:lang w:val="uk-UA"/>
              </w:rPr>
              <w:t>…</w:t>
            </w:r>
          </w:p>
        </w:tc>
        <w:tc>
          <w:tcPr>
            <w:tcW w:w="7371" w:type="dxa"/>
          </w:tcPr>
          <w:p w14:paraId="46DDE3FF" w14:textId="77777777" w:rsidR="002342CA" w:rsidRPr="00DD57E1" w:rsidRDefault="002342CA" w:rsidP="002342CA">
            <w:pPr>
              <w:spacing w:after="0" w:line="240" w:lineRule="auto"/>
              <w:rPr>
                <w:rFonts w:ascii="Times New Roman" w:hAnsi="Times New Roman" w:cs="Times New Roman"/>
                <w:lang w:val="uk-UA"/>
              </w:rPr>
            </w:pPr>
          </w:p>
        </w:tc>
      </w:tr>
      <w:tr w:rsidR="002342CA" w:rsidRPr="008D43C5" w14:paraId="0E94515B" w14:textId="77777777" w:rsidTr="007F584C">
        <w:tc>
          <w:tcPr>
            <w:tcW w:w="421" w:type="dxa"/>
          </w:tcPr>
          <w:p w14:paraId="6119B92A" w14:textId="77777777" w:rsidR="002342CA" w:rsidRPr="00C47D7E" w:rsidRDefault="002342CA" w:rsidP="002342CA">
            <w:pPr>
              <w:spacing w:after="0" w:line="240" w:lineRule="auto"/>
              <w:rPr>
                <w:rFonts w:ascii="Times New Roman" w:hAnsi="Times New Roman" w:cs="Times New Roman"/>
                <w:lang w:val="uk-UA"/>
              </w:rPr>
            </w:pPr>
          </w:p>
        </w:tc>
        <w:tc>
          <w:tcPr>
            <w:tcW w:w="14600" w:type="dxa"/>
            <w:gridSpan w:val="2"/>
          </w:tcPr>
          <w:p w14:paraId="32E176B8" w14:textId="77777777" w:rsidR="002342CA" w:rsidRPr="00DD57E1" w:rsidRDefault="002342CA" w:rsidP="001B1FF5">
            <w:pPr>
              <w:pStyle w:val="3"/>
              <w:spacing w:before="0" w:after="0" w:line="240" w:lineRule="auto"/>
              <w:jc w:val="center"/>
              <w:outlineLvl w:val="2"/>
              <w:rPr>
                <w:rFonts w:ascii="Times New Roman" w:hAnsi="Times New Roman" w:cs="Times New Roman"/>
                <w:color w:val="auto"/>
                <w:sz w:val="24"/>
                <w:szCs w:val="24"/>
                <w:lang w:val="uk-UA"/>
              </w:rPr>
            </w:pPr>
            <w:r w:rsidRPr="00DD57E1">
              <w:rPr>
                <w:rFonts w:ascii="Times New Roman" w:hAnsi="Times New Roman" w:cs="Times New Roman"/>
                <w:color w:val="auto"/>
                <w:sz w:val="24"/>
                <w:szCs w:val="24"/>
                <w:lang w:val="uk-UA"/>
              </w:rPr>
              <w:t>5. Порядок подання звітів щодо виконання ПРСР та ІП</w:t>
            </w:r>
          </w:p>
        </w:tc>
      </w:tr>
      <w:tr w:rsidR="002342CA" w:rsidRPr="007A6290" w14:paraId="60E8EF03" w14:textId="77777777" w:rsidTr="007F584C">
        <w:tc>
          <w:tcPr>
            <w:tcW w:w="421" w:type="dxa"/>
          </w:tcPr>
          <w:p w14:paraId="5B1367A9" w14:textId="77777777" w:rsidR="002342CA" w:rsidRPr="00C47D7E" w:rsidRDefault="002342CA" w:rsidP="002342CA">
            <w:pPr>
              <w:spacing w:after="0" w:line="240" w:lineRule="auto"/>
              <w:rPr>
                <w:rFonts w:ascii="Times New Roman" w:hAnsi="Times New Roman" w:cs="Times New Roman"/>
                <w:lang w:val="uk-UA"/>
              </w:rPr>
            </w:pPr>
          </w:p>
        </w:tc>
        <w:tc>
          <w:tcPr>
            <w:tcW w:w="7229" w:type="dxa"/>
          </w:tcPr>
          <w:p w14:paraId="127CB5AF" w14:textId="390FE55F" w:rsidR="002342CA" w:rsidRPr="00C47D7E" w:rsidRDefault="00D764D9" w:rsidP="002342CA">
            <w:pPr>
              <w:spacing w:after="0" w:line="240" w:lineRule="auto"/>
              <w:ind w:firstLine="240"/>
              <w:jc w:val="both"/>
              <w:rPr>
                <w:rFonts w:ascii="Times New Roman" w:hAnsi="Times New Roman" w:cs="Times New Roman"/>
                <w:sz w:val="24"/>
                <w:szCs w:val="24"/>
                <w:lang w:val="uk-UA"/>
              </w:rPr>
            </w:pPr>
            <w:r>
              <w:rPr>
                <w:rFonts w:ascii="Times New Roman" w:hAnsi="Times New Roman" w:cs="Times New Roman"/>
                <w:color w:val="000000"/>
                <w:sz w:val="24"/>
                <w:szCs w:val="24"/>
                <w:lang w:val="uk-UA"/>
              </w:rPr>
              <w:t>…</w:t>
            </w:r>
          </w:p>
        </w:tc>
        <w:tc>
          <w:tcPr>
            <w:tcW w:w="7371" w:type="dxa"/>
          </w:tcPr>
          <w:p w14:paraId="5552B4A5" w14:textId="77777777" w:rsidR="002342CA" w:rsidRPr="00DD57E1" w:rsidRDefault="002342CA" w:rsidP="002342CA">
            <w:pPr>
              <w:spacing w:after="0" w:line="240" w:lineRule="auto"/>
              <w:rPr>
                <w:rFonts w:ascii="Times New Roman" w:hAnsi="Times New Roman" w:cs="Times New Roman"/>
                <w:lang w:val="uk-UA"/>
              </w:rPr>
            </w:pPr>
          </w:p>
        </w:tc>
      </w:tr>
      <w:tr w:rsidR="00492EEA" w:rsidRPr="002342CA" w14:paraId="0DF59A38" w14:textId="77777777" w:rsidTr="004D5750">
        <w:tc>
          <w:tcPr>
            <w:tcW w:w="15021" w:type="dxa"/>
            <w:gridSpan w:val="3"/>
          </w:tcPr>
          <w:p w14:paraId="34828358" w14:textId="2E5F47AE" w:rsidR="00492EEA" w:rsidRPr="00DD57E1" w:rsidRDefault="00492EEA" w:rsidP="00492EEA">
            <w:pPr>
              <w:spacing w:after="0" w:line="240" w:lineRule="auto"/>
              <w:ind w:hanging="120"/>
              <w:jc w:val="center"/>
              <w:rPr>
                <w:rFonts w:ascii="Times New Roman" w:hAnsi="Times New Roman" w:cs="Times New Roman"/>
                <w:b/>
                <w:sz w:val="24"/>
                <w:szCs w:val="24"/>
                <w:highlight w:val="yellow"/>
                <w:lang w:val="uk-UA"/>
              </w:rPr>
            </w:pPr>
            <w:r w:rsidRPr="00DD57E1">
              <w:rPr>
                <w:rFonts w:ascii="Times New Roman" w:eastAsia="Times New Roman" w:hAnsi="Times New Roman" w:cs="Times New Roman"/>
                <w:b/>
                <w:sz w:val="24"/>
                <w:szCs w:val="24"/>
                <w:lang w:val="uk-UA" w:eastAsia="ru-RU"/>
              </w:rPr>
              <w:t>Додаток 1</w:t>
            </w:r>
          </w:p>
        </w:tc>
      </w:tr>
      <w:tr w:rsidR="00492EEA" w:rsidRPr="002342CA" w14:paraId="765D3CBE" w14:textId="77777777" w:rsidTr="007F584C">
        <w:tc>
          <w:tcPr>
            <w:tcW w:w="421" w:type="dxa"/>
          </w:tcPr>
          <w:p w14:paraId="51750885" w14:textId="77777777" w:rsidR="00492EEA" w:rsidRPr="00C47D7E" w:rsidRDefault="00492EEA" w:rsidP="002342CA">
            <w:pPr>
              <w:spacing w:after="0" w:line="240" w:lineRule="auto"/>
              <w:rPr>
                <w:rFonts w:ascii="Times New Roman" w:hAnsi="Times New Roman" w:cs="Times New Roman"/>
                <w:lang w:val="uk-UA"/>
              </w:rPr>
            </w:pPr>
          </w:p>
        </w:tc>
        <w:tc>
          <w:tcPr>
            <w:tcW w:w="7229" w:type="dxa"/>
          </w:tcPr>
          <w:p w14:paraId="11D4A79E" w14:textId="77777777" w:rsidR="00492EEA" w:rsidRPr="00C47D7E" w:rsidRDefault="00492EEA" w:rsidP="002342CA">
            <w:pPr>
              <w:spacing w:after="0" w:line="240" w:lineRule="auto"/>
              <w:ind w:firstLine="240"/>
              <w:jc w:val="both"/>
              <w:rPr>
                <w:rFonts w:ascii="Times New Roman" w:hAnsi="Times New Roman" w:cs="Times New Roman"/>
                <w:color w:val="000000"/>
                <w:sz w:val="24"/>
                <w:szCs w:val="24"/>
                <w:lang w:val="uk-UA"/>
              </w:rPr>
            </w:pPr>
          </w:p>
        </w:tc>
        <w:tc>
          <w:tcPr>
            <w:tcW w:w="7371" w:type="dxa"/>
          </w:tcPr>
          <w:p w14:paraId="262F0EF3" w14:textId="2E1D1FE7" w:rsidR="00492EEA" w:rsidRPr="00DD57E1" w:rsidRDefault="0095592C" w:rsidP="002342CA">
            <w:pPr>
              <w:spacing w:after="0" w:line="240" w:lineRule="auto"/>
              <w:rPr>
                <w:rFonts w:ascii="Times New Roman" w:hAnsi="Times New Roman" w:cs="Times New Roman"/>
                <w:b/>
                <w:sz w:val="24"/>
                <w:szCs w:val="24"/>
                <w:highlight w:val="yellow"/>
                <w:lang w:val="uk-UA"/>
              </w:rPr>
            </w:pPr>
            <w:r w:rsidRPr="00DD57E1">
              <w:rPr>
                <w:rFonts w:ascii="Times New Roman" w:hAnsi="Times New Roman" w:cs="Times New Roman"/>
                <w:b/>
                <w:sz w:val="24"/>
                <w:szCs w:val="24"/>
                <w:lang w:val="uk-UA"/>
              </w:rPr>
              <w:t>Викласти в новій редакції</w:t>
            </w:r>
          </w:p>
        </w:tc>
      </w:tr>
      <w:tr w:rsidR="0095592C" w:rsidRPr="002342CA" w14:paraId="7036C9C9" w14:textId="77777777" w:rsidTr="002F6100">
        <w:tc>
          <w:tcPr>
            <w:tcW w:w="15021" w:type="dxa"/>
            <w:gridSpan w:val="3"/>
          </w:tcPr>
          <w:p w14:paraId="26A70350" w14:textId="7EFF502D" w:rsidR="0095592C" w:rsidRPr="00DD57E1" w:rsidRDefault="0095592C" w:rsidP="0095592C">
            <w:pPr>
              <w:spacing w:after="0" w:line="240" w:lineRule="auto"/>
              <w:ind w:hanging="120"/>
              <w:jc w:val="center"/>
              <w:rPr>
                <w:rFonts w:ascii="Times New Roman" w:hAnsi="Times New Roman" w:cs="Times New Roman"/>
                <w:b/>
                <w:sz w:val="24"/>
                <w:szCs w:val="24"/>
                <w:highlight w:val="yellow"/>
                <w:lang w:val="uk-UA"/>
              </w:rPr>
            </w:pPr>
            <w:r w:rsidRPr="00DD57E1">
              <w:rPr>
                <w:rFonts w:ascii="Times New Roman" w:eastAsia="Times New Roman" w:hAnsi="Times New Roman" w:cs="Times New Roman"/>
                <w:b/>
                <w:sz w:val="24"/>
                <w:szCs w:val="24"/>
                <w:lang w:val="uk-UA" w:eastAsia="ru-RU"/>
              </w:rPr>
              <w:t>Додаток 2</w:t>
            </w:r>
          </w:p>
        </w:tc>
      </w:tr>
      <w:tr w:rsidR="0095592C" w:rsidRPr="002342CA" w14:paraId="4CBF2F3D" w14:textId="77777777" w:rsidTr="007F584C">
        <w:tc>
          <w:tcPr>
            <w:tcW w:w="421" w:type="dxa"/>
          </w:tcPr>
          <w:p w14:paraId="16E41FB8" w14:textId="77777777" w:rsidR="0095592C" w:rsidRPr="00C47D7E" w:rsidRDefault="0095592C" w:rsidP="002342CA">
            <w:pPr>
              <w:spacing w:after="0" w:line="240" w:lineRule="auto"/>
              <w:rPr>
                <w:rFonts w:ascii="Times New Roman" w:hAnsi="Times New Roman" w:cs="Times New Roman"/>
                <w:lang w:val="uk-UA"/>
              </w:rPr>
            </w:pPr>
          </w:p>
        </w:tc>
        <w:tc>
          <w:tcPr>
            <w:tcW w:w="7229" w:type="dxa"/>
          </w:tcPr>
          <w:p w14:paraId="48A188A5" w14:textId="77777777" w:rsidR="0095592C" w:rsidRPr="00C47D7E" w:rsidRDefault="0095592C" w:rsidP="002342CA">
            <w:pPr>
              <w:spacing w:after="0" w:line="240" w:lineRule="auto"/>
              <w:ind w:firstLine="240"/>
              <w:jc w:val="both"/>
              <w:rPr>
                <w:rFonts w:ascii="Times New Roman" w:hAnsi="Times New Roman" w:cs="Times New Roman"/>
                <w:color w:val="000000"/>
                <w:sz w:val="24"/>
                <w:szCs w:val="24"/>
                <w:lang w:val="uk-UA"/>
              </w:rPr>
            </w:pPr>
          </w:p>
        </w:tc>
        <w:tc>
          <w:tcPr>
            <w:tcW w:w="7371" w:type="dxa"/>
          </w:tcPr>
          <w:p w14:paraId="7804019F" w14:textId="2C7BF539" w:rsidR="0095592C" w:rsidRPr="00DD57E1" w:rsidRDefault="0095592C" w:rsidP="002342CA">
            <w:pPr>
              <w:spacing w:after="0" w:line="240" w:lineRule="auto"/>
              <w:rPr>
                <w:rFonts w:ascii="Times New Roman" w:hAnsi="Times New Roman" w:cs="Times New Roman"/>
                <w:b/>
                <w:sz w:val="24"/>
                <w:szCs w:val="24"/>
                <w:highlight w:val="yellow"/>
                <w:lang w:val="uk-UA"/>
              </w:rPr>
            </w:pPr>
            <w:r w:rsidRPr="00DD57E1">
              <w:rPr>
                <w:rFonts w:ascii="Times New Roman" w:hAnsi="Times New Roman" w:cs="Times New Roman"/>
                <w:b/>
                <w:sz w:val="24"/>
                <w:szCs w:val="24"/>
                <w:lang w:val="uk-UA"/>
              </w:rPr>
              <w:t>Викласти в новій редакції</w:t>
            </w:r>
          </w:p>
        </w:tc>
      </w:tr>
      <w:tr w:rsidR="00DE0B85" w:rsidRPr="002342CA" w14:paraId="1A772945" w14:textId="77777777" w:rsidTr="002F6100">
        <w:tc>
          <w:tcPr>
            <w:tcW w:w="15021" w:type="dxa"/>
            <w:gridSpan w:val="3"/>
          </w:tcPr>
          <w:p w14:paraId="51CF5831" w14:textId="7883AF90" w:rsidR="00DE0B85" w:rsidRPr="00DD57E1" w:rsidRDefault="00DE0B85" w:rsidP="00DE0B85">
            <w:pPr>
              <w:spacing w:after="0" w:line="240" w:lineRule="auto"/>
              <w:ind w:hanging="120"/>
              <w:jc w:val="center"/>
              <w:rPr>
                <w:rFonts w:ascii="Times New Roman" w:hAnsi="Times New Roman" w:cs="Times New Roman"/>
                <w:b/>
                <w:sz w:val="24"/>
                <w:szCs w:val="24"/>
                <w:highlight w:val="yellow"/>
                <w:lang w:val="uk-UA"/>
              </w:rPr>
            </w:pPr>
            <w:r w:rsidRPr="00DD57E1">
              <w:rPr>
                <w:rFonts w:ascii="Times New Roman" w:eastAsia="Times New Roman" w:hAnsi="Times New Roman" w:cs="Times New Roman"/>
                <w:b/>
                <w:sz w:val="24"/>
                <w:szCs w:val="24"/>
                <w:lang w:val="uk-UA" w:eastAsia="ru-RU"/>
              </w:rPr>
              <w:t>Додаток 3</w:t>
            </w:r>
          </w:p>
        </w:tc>
      </w:tr>
      <w:tr w:rsidR="00DE0B85" w:rsidRPr="008D43C5" w14:paraId="72BA14BE" w14:textId="77777777" w:rsidTr="002F6100">
        <w:tc>
          <w:tcPr>
            <w:tcW w:w="421" w:type="dxa"/>
          </w:tcPr>
          <w:p w14:paraId="6876EAE5" w14:textId="77777777" w:rsidR="00DE0B85" w:rsidRPr="00C47D7E" w:rsidRDefault="00DE0B85" w:rsidP="002F6100">
            <w:pPr>
              <w:spacing w:after="0" w:line="240" w:lineRule="auto"/>
              <w:rPr>
                <w:rFonts w:ascii="Times New Roman" w:hAnsi="Times New Roman" w:cs="Times New Roman"/>
                <w:lang w:val="uk-UA"/>
              </w:rPr>
            </w:pPr>
          </w:p>
        </w:tc>
        <w:tc>
          <w:tcPr>
            <w:tcW w:w="7229" w:type="dxa"/>
          </w:tcPr>
          <w:p w14:paraId="351E4130" w14:textId="3D17016F" w:rsidR="00DE0B85" w:rsidRPr="00C47D7E" w:rsidRDefault="00DE0B85" w:rsidP="002F6100">
            <w:pPr>
              <w:spacing w:after="0" w:line="240" w:lineRule="auto"/>
              <w:ind w:firstLine="24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Таблиця «</w:t>
            </w:r>
            <w:r w:rsidRPr="00DE0B85">
              <w:rPr>
                <w:rFonts w:ascii="Times New Roman" w:hAnsi="Times New Roman" w:cs="Times New Roman"/>
                <w:color w:val="000000"/>
                <w:sz w:val="24"/>
                <w:szCs w:val="24"/>
                <w:lang w:val="uk-UA"/>
              </w:rPr>
              <w:t>Загальна інформація</w:t>
            </w:r>
            <w:r>
              <w:rPr>
                <w:rFonts w:ascii="Times New Roman" w:hAnsi="Times New Roman" w:cs="Times New Roman"/>
                <w:color w:val="000000"/>
                <w:sz w:val="24"/>
                <w:szCs w:val="24"/>
                <w:lang w:val="uk-UA"/>
              </w:rPr>
              <w:t>»</w:t>
            </w:r>
          </w:p>
        </w:tc>
        <w:tc>
          <w:tcPr>
            <w:tcW w:w="7371" w:type="dxa"/>
          </w:tcPr>
          <w:p w14:paraId="64B79ACA" w14:textId="04E2335D" w:rsidR="00DE0B85" w:rsidRPr="00DD57E1" w:rsidRDefault="00DE0B85" w:rsidP="00DE0B85">
            <w:pPr>
              <w:spacing w:after="0" w:line="240" w:lineRule="auto"/>
              <w:rPr>
                <w:rFonts w:ascii="Times New Roman" w:hAnsi="Times New Roman" w:cs="Times New Roman"/>
                <w:b/>
                <w:sz w:val="24"/>
                <w:szCs w:val="24"/>
                <w:highlight w:val="yellow"/>
                <w:lang w:val="uk-UA"/>
              </w:rPr>
            </w:pPr>
            <w:r w:rsidRPr="00DD57E1">
              <w:rPr>
                <w:rFonts w:ascii="Times New Roman" w:hAnsi="Times New Roman" w:cs="Times New Roman"/>
                <w:b/>
                <w:sz w:val="24"/>
                <w:szCs w:val="24"/>
                <w:lang w:val="uk-UA"/>
              </w:rPr>
              <w:t xml:space="preserve">У </w:t>
            </w:r>
            <w:r w:rsidR="00E9706E" w:rsidRPr="00DD57E1">
              <w:rPr>
                <w:rFonts w:ascii="Times New Roman" w:hAnsi="Times New Roman" w:cs="Times New Roman"/>
                <w:b/>
                <w:sz w:val="24"/>
                <w:szCs w:val="24"/>
                <w:lang w:val="uk-UA"/>
              </w:rPr>
              <w:t xml:space="preserve">назві </w:t>
            </w:r>
            <w:r w:rsidRPr="00DD57E1">
              <w:rPr>
                <w:rFonts w:ascii="Times New Roman" w:hAnsi="Times New Roman" w:cs="Times New Roman"/>
                <w:b/>
                <w:sz w:val="24"/>
                <w:szCs w:val="24"/>
                <w:lang w:val="uk-UA"/>
              </w:rPr>
              <w:t>таблиці «Загальна інформація» слово «затвердження» замінити словом «схвалення»</w:t>
            </w:r>
          </w:p>
        </w:tc>
      </w:tr>
      <w:tr w:rsidR="00DE0B85" w:rsidRPr="008D43C5" w14:paraId="059C2B66" w14:textId="77777777" w:rsidTr="007F584C">
        <w:tc>
          <w:tcPr>
            <w:tcW w:w="421" w:type="dxa"/>
          </w:tcPr>
          <w:p w14:paraId="081DB26E" w14:textId="77777777" w:rsidR="00DE0B85" w:rsidRPr="00C47D7E" w:rsidRDefault="00DE0B85" w:rsidP="002342CA">
            <w:pPr>
              <w:spacing w:after="0" w:line="240" w:lineRule="auto"/>
              <w:rPr>
                <w:rFonts w:ascii="Times New Roman" w:hAnsi="Times New Roman" w:cs="Times New Roman"/>
                <w:lang w:val="uk-UA"/>
              </w:rPr>
            </w:pPr>
          </w:p>
        </w:tc>
        <w:tc>
          <w:tcPr>
            <w:tcW w:w="7229" w:type="dxa"/>
          </w:tcPr>
          <w:p w14:paraId="7652C7E7" w14:textId="01921260" w:rsidR="00DE0B85" w:rsidRPr="00C47D7E" w:rsidRDefault="00DE0B85" w:rsidP="002342CA">
            <w:pPr>
              <w:spacing w:after="0" w:line="240" w:lineRule="auto"/>
              <w:ind w:firstLine="24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Таблиця 2</w:t>
            </w:r>
          </w:p>
        </w:tc>
        <w:tc>
          <w:tcPr>
            <w:tcW w:w="7371" w:type="dxa"/>
          </w:tcPr>
          <w:p w14:paraId="60CBCD9F" w14:textId="78E8E61F" w:rsidR="00DE0B85" w:rsidRPr="00DD57E1" w:rsidRDefault="00DE0B85" w:rsidP="00DE0B85">
            <w:pPr>
              <w:spacing w:after="0" w:line="240" w:lineRule="auto"/>
              <w:rPr>
                <w:rFonts w:ascii="Times New Roman" w:hAnsi="Times New Roman" w:cs="Times New Roman"/>
                <w:b/>
                <w:sz w:val="24"/>
                <w:szCs w:val="24"/>
                <w:highlight w:val="yellow"/>
                <w:lang w:val="uk-UA"/>
              </w:rPr>
            </w:pPr>
            <w:r w:rsidRPr="00DD57E1">
              <w:rPr>
                <w:rFonts w:ascii="Times New Roman" w:hAnsi="Times New Roman" w:cs="Times New Roman"/>
                <w:b/>
                <w:sz w:val="24"/>
                <w:szCs w:val="24"/>
                <w:lang w:val="uk-UA"/>
              </w:rPr>
              <w:t>Таблицю 2 викласти в новій редакції</w:t>
            </w:r>
          </w:p>
        </w:tc>
      </w:tr>
      <w:tr w:rsidR="00255836" w:rsidRPr="002342CA" w14:paraId="33B59E78" w14:textId="77777777" w:rsidTr="002F6100">
        <w:tc>
          <w:tcPr>
            <w:tcW w:w="15021" w:type="dxa"/>
            <w:gridSpan w:val="3"/>
          </w:tcPr>
          <w:p w14:paraId="1EAED1DC" w14:textId="15175CE1" w:rsidR="00255836" w:rsidRPr="00DD57E1" w:rsidRDefault="00255836" w:rsidP="00255836">
            <w:pPr>
              <w:spacing w:after="0" w:line="240" w:lineRule="auto"/>
              <w:ind w:hanging="120"/>
              <w:jc w:val="center"/>
              <w:rPr>
                <w:rFonts w:ascii="Times New Roman" w:hAnsi="Times New Roman" w:cs="Times New Roman"/>
                <w:b/>
                <w:sz w:val="24"/>
                <w:szCs w:val="24"/>
                <w:highlight w:val="yellow"/>
                <w:lang w:val="uk-UA"/>
              </w:rPr>
            </w:pPr>
            <w:r w:rsidRPr="00DD57E1">
              <w:rPr>
                <w:rFonts w:ascii="Times New Roman" w:eastAsia="Times New Roman" w:hAnsi="Times New Roman" w:cs="Times New Roman"/>
                <w:b/>
                <w:sz w:val="24"/>
                <w:szCs w:val="24"/>
                <w:lang w:val="uk-UA" w:eastAsia="ru-RU"/>
              </w:rPr>
              <w:t>Додаток 4</w:t>
            </w:r>
          </w:p>
        </w:tc>
      </w:tr>
      <w:tr w:rsidR="00255836" w:rsidRPr="008D43C5" w14:paraId="508AE8DC" w14:textId="77777777" w:rsidTr="002F6100">
        <w:tc>
          <w:tcPr>
            <w:tcW w:w="421" w:type="dxa"/>
          </w:tcPr>
          <w:p w14:paraId="598D2840" w14:textId="77777777" w:rsidR="00255836" w:rsidRPr="00C47D7E" w:rsidRDefault="00255836" w:rsidP="002F6100">
            <w:pPr>
              <w:spacing w:after="0" w:line="240" w:lineRule="auto"/>
              <w:rPr>
                <w:rFonts w:ascii="Times New Roman" w:hAnsi="Times New Roman" w:cs="Times New Roman"/>
                <w:lang w:val="uk-UA"/>
              </w:rPr>
            </w:pPr>
          </w:p>
        </w:tc>
        <w:tc>
          <w:tcPr>
            <w:tcW w:w="7229" w:type="dxa"/>
          </w:tcPr>
          <w:p w14:paraId="174E041B" w14:textId="77777777" w:rsidR="00255836" w:rsidRPr="00C47D7E" w:rsidRDefault="00255836" w:rsidP="002F6100">
            <w:pPr>
              <w:spacing w:after="0" w:line="240" w:lineRule="auto"/>
              <w:ind w:firstLine="24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Таблиця «</w:t>
            </w:r>
            <w:r w:rsidRPr="00DE0B85">
              <w:rPr>
                <w:rFonts w:ascii="Times New Roman" w:hAnsi="Times New Roman" w:cs="Times New Roman"/>
                <w:color w:val="000000"/>
                <w:sz w:val="24"/>
                <w:szCs w:val="24"/>
                <w:lang w:val="uk-UA"/>
              </w:rPr>
              <w:t>Загальна інформація</w:t>
            </w:r>
            <w:r>
              <w:rPr>
                <w:rFonts w:ascii="Times New Roman" w:hAnsi="Times New Roman" w:cs="Times New Roman"/>
                <w:color w:val="000000"/>
                <w:sz w:val="24"/>
                <w:szCs w:val="24"/>
                <w:lang w:val="uk-UA"/>
              </w:rPr>
              <w:t>»</w:t>
            </w:r>
          </w:p>
        </w:tc>
        <w:tc>
          <w:tcPr>
            <w:tcW w:w="7371" w:type="dxa"/>
          </w:tcPr>
          <w:p w14:paraId="27004605" w14:textId="77777777" w:rsidR="00255836" w:rsidRPr="00DD57E1" w:rsidRDefault="00255836" w:rsidP="002F6100">
            <w:pPr>
              <w:spacing w:after="0" w:line="240" w:lineRule="auto"/>
              <w:rPr>
                <w:rFonts w:ascii="Times New Roman" w:hAnsi="Times New Roman" w:cs="Times New Roman"/>
                <w:b/>
                <w:sz w:val="24"/>
                <w:szCs w:val="24"/>
                <w:highlight w:val="yellow"/>
                <w:lang w:val="uk-UA"/>
              </w:rPr>
            </w:pPr>
            <w:r w:rsidRPr="00DD57E1">
              <w:rPr>
                <w:rFonts w:ascii="Times New Roman" w:hAnsi="Times New Roman" w:cs="Times New Roman"/>
                <w:b/>
                <w:sz w:val="24"/>
                <w:szCs w:val="24"/>
                <w:lang w:val="uk-UA"/>
              </w:rPr>
              <w:t>У назві таблиці «Загальна інформація» слово «затвердження» замінити словом «схвалення»</w:t>
            </w:r>
          </w:p>
        </w:tc>
      </w:tr>
      <w:tr w:rsidR="00255836" w:rsidRPr="002342CA" w14:paraId="7D0D1DCF" w14:textId="77777777" w:rsidTr="002F6100">
        <w:tc>
          <w:tcPr>
            <w:tcW w:w="15021" w:type="dxa"/>
            <w:gridSpan w:val="3"/>
          </w:tcPr>
          <w:p w14:paraId="048F005A" w14:textId="6E2E8006" w:rsidR="00255836" w:rsidRPr="00DD57E1" w:rsidRDefault="00255836" w:rsidP="00255836">
            <w:pPr>
              <w:spacing w:after="0" w:line="240" w:lineRule="auto"/>
              <w:ind w:hanging="120"/>
              <w:jc w:val="center"/>
              <w:rPr>
                <w:rFonts w:ascii="Times New Roman" w:hAnsi="Times New Roman" w:cs="Times New Roman"/>
                <w:b/>
                <w:sz w:val="24"/>
                <w:szCs w:val="24"/>
                <w:highlight w:val="yellow"/>
                <w:lang w:val="uk-UA"/>
              </w:rPr>
            </w:pPr>
            <w:r w:rsidRPr="00DD57E1">
              <w:rPr>
                <w:rFonts w:ascii="Times New Roman" w:eastAsia="Times New Roman" w:hAnsi="Times New Roman" w:cs="Times New Roman"/>
                <w:b/>
                <w:sz w:val="24"/>
                <w:szCs w:val="24"/>
                <w:lang w:val="uk-UA" w:eastAsia="ru-RU"/>
              </w:rPr>
              <w:t>Додаток 5</w:t>
            </w:r>
          </w:p>
        </w:tc>
      </w:tr>
      <w:tr w:rsidR="00255836" w:rsidRPr="008D43C5" w14:paraId="585582FA" w14:textId="77777777" w:rsidTr="002F6100">
        <w:tc>
          <w:tcPr>
            <w:tcW w:w="421" w:type="dxa"/>
          </w:tcPr>
          <w:p w14:paraId="7B3D9956" w14:textId="77777777" w:rsidR="00255836" w:rsidRPr="00C47D7E" w:rsidRDefault="00255836" w:rsidP="002F6100">
            <w:pPr>
              <w:spacing w:after="0" w:line="240" w:lineRule="auto"/>
              <w:rPr>
                <w:rFonts w:ascii="Times New Roman" w:hAnsi="Times New Roman" w:cs="Times New Roman"/>
                <w:lang w:val="uk-UA"/>
              </w:rPr>
            </w:pPr>
          </w:p>
        </w:tc>
        <w:tc>
          <w:tcPr>
            <w:tcW w:w="7229" w:type="dxa"/>
          </w:tcPr>
          <w:p w14:paraId="05308449" w14:textId="1272071E" w:rsidR="00255836" w:rsidRPr="00C47D7E" w:rsidRDefault="00EE29FC" w:rsidP="002F6100">
            <w:pPr>
              <w:spacing w:after="0" w:line="240" w:lineRule="auto"/>
              <w:ind w:firstLine="24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Таблиця 1</w:t>
            </w:r>
          </w:p>
        </w:tc>
        <w:tc>
          <w:tcPr>
            <w:tcW w:w="7371" w:type="dxa"/>
          </w:tcPr>
          <w:p w14:paraId="5C795019" w14:textId="23ED2D79" w:rsidR="00AF7EBB" w:rsidRPr="00DD57E1" w:rsidRDefault="00AF7EBB" w:rsidP="00AF7EBB">
            <w:pPr>
              <w:spacing w:after="0" w:line="240" w:lineRule="auto"/>
              <w:rPr>
                <w:rFonts w:ascii="Times New Roman" w:hAnsi="Times New Roman" w:cs="Times New Roman"/>
                <w:b/>
                <w:sz w:val="24"/>
                <w:szCs w:val="24"/>
                <w:lang w:val="uk-UA"/>
              </w:rPr>
            </w:pPr>
            <w:r w:rsidRPr="00DD57E1">
              <w:rPr>
                <w:rFonts w:ascii="Times New Roman" w:hAnsi="Times New Roman" w:cs="Times New Roman"/>
                <w:b/>
                <w:sz w:val="24"/>
                <w:szCs w:val="24"/>
                <w:lang w:val="uk-UA"/>
              </w:rPr>
              <w:t>Рядок 9 графи «Статті джерел фінансування*, тис. грн. (без ПДВ)» викласти в такій редакції:</w:t>
            </w:r>
          </w:p>
          <w:p w14:paraId="7DD7D8FF" w14:textId="3502BA15" w:rsidR="00AF7EBB" w:rsidRPr="00DD57E1" w:rsidRDefault="00AF7EBB" w:rsidP="00AF7EBB">
            <w:pPr>
              <w:spacing w:after="0" w:line="240" w:lineRule="auto"/>
              <w:rPr>
                <w:rFonts w:ascii="Times New Roman" w:hAnsi="Times New Roman" w:cs="Times New Roman"/>
                <w:b/>
                <w:sz w:val="24"/>
                <w:szCs w:val="24"/>
                <w:lang w:val="uk-UA"/>
              </w:rPr>
            </w:pPr>
            <w:r w:rsidRPr="00DD57E1">
              <w:rPr>
                <w:rFonts w:ascii="Times New Roman" w:hAnsi="Times New Roman" w:cs="Times New Roman"/>
                <w:b/>
                <w:sz w:val="24"/>
                <w:szCs w:val="24"/>
                <w:lang w:val="uk-UA"/>
              </w:rPr>
              <w:t>«Залучені кошти (розшифрувати)»;</w:t>
            </w:r>
          </w:p>
          <w:p w14:paraId="0C16C769" w14:textId="77777777" w:rsidR="00AF7EBB" w:rsidRPr="00DD57E1" w:rsidRDefault="00AF7EBB" w:rsidP="00EE29FC">
            <w:pPr>
              <w:spacing w:after="0" w:line="240" w:lineRule="auto"/>
              <w:rPr>
                <w:rFonts w:ascii="Times New Roman" w:hAnsi="Times New Roman" w:cs="Times New Roman"/>
                <w:b/>
                <w:sz w:val="24"/>
                <w:szCs w:val="24"/>
                <w:lang w:val="uk-UA"/>
              </w:rPr>
            </w:pPr>
          </w:p>
          <w:p w14:paraId="314FAABB" w14:textId="3161B2D8" w:rsidR="00255836" w:rsidRPr="00DD57E1" w:rsidRDefault="00EE29FC" w:rsidP="00EE29FC">
            <w:pPr>
              <w:spacing w:after="0" w:line="240" w:lineRule="auto"/>
              <w:rPr>
                <w:rFonts w:ascii="Times New Roman" w:hAnsi="Times New Roman" w:cs="Times New Roman"/>
                <w:b/>
                <w:sz w:val="24"/>
                <w:szCs w:val="24"/>
                <w:highlight w:val="yellow"/>
                <w:lang w:val="uk-UA"/>
              </w:rPr>
            </w:pPr>
            <w:r w:rsidRPr="00DD57E1">
              <w:rPr>
                <w:rFonts w:ascii="Times New Roman" w:hAnsi="Times New Roman" w:cs="Times New Roman"/>
                <w:b/>
                <w:sz w:val="24"/>
                <w:szCs w:val="24"/>
                <w:lang w:val="uk-UA"/>
              </w:rPr>
              <w:t>Рядки 9.1 – 9.3 Таблиці 1 виключити</w:t>
            </w:r>
          </w:p>
        </w:tc>
      </w:tr>
      <w:tr w:rsidR="00EE29FC" w:rsidRPr="008D43C5" w14:paraId="7A5D055D" w14:textId="77777777" w:rsidTr="002F6100">
        <w:tc>
          <w:tcPr>
            <w:tcW w:w="421" w:type="dxa"/>
          </w:tcPr>
          <w:p w14:paraId="43CA1E6A" w14:textId="77777777" w:rsidR="00EE29FC" w:rsidRPr="00C47D7E" w:rsidRDefault="00EE29FC" w:rsidP="002F6100">
            <w:pPr>
              <w:spacing w:after="0" w:line="240" w:lineRule="auto"/>
              <w:rPr>
                <w:rFonts w:ascii="Times New Roman" w:hAnsi="Times New Roman" w:cs="Times New Roman"/>
                <w:lang w:val="uk-UA"/>
              </w:rPr>
            </w:pPr>
          </w:p>
        </w:tc>
        <w:tc>
          <w:tcPr>
            <w:tcW w:w="7229" w:type="dxa"/>
          </w:tcPr>
          <w:p w14:paraId="3BFDA977" w14:textId="2A847706" w:rsidR="00EE29FC" w:rsidRDefault="00EE29FC" w:rsidP="00EE29FC">
            <w:pPr>
              <w:spacing w:after="0" w:line="240" w:lineRule="auto"/>
              <w:ind w:firstLine="24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Таблиця 3</w:t>
            </w:r>
          </w:p>
        </w:tc>
        <w:tc>
          <w:tcPr>
            <w:tcW w:w="7371" w:type="dxa"/>
          </w:tcPr>
          <w:p w14:paraId="0D5B15B9" w14:textId="349B55CF" w:rsidR="00EE29FC" w:rsidRPr="00DD57E1" w:rsidRDefault="00EE29FC" w:rsidP="00EE29FC">
            <w:pPr>
              <w:spacing w:after="0" w:line="240" w:lineRule="auto"/>
              <w:rPr>
                <w:rFonts w:ascii="Times New Roman" w:hAnsi="Times New Roman" w:cs="Times New Roman"/>
                <w:b/>
                <w:sz w:val="24"/>
                <w:szCs w:val="24"/>
                <w:lang w:val="uk-UA"/>
              </w:rPr>
            </w:pPr>
            <w:r w:rsidRPr="00DD57E1">
              <w:rPr>
                <w:rFonts w:ascii="Times New Roman" w:hAnsi="Times New Roman" w:cs="Times New Roman"/>
                <w:b/>
                <w:sz w:val="24"/>
                <w:szCs w:val="24"/>
                <w:lang w:val="uk-UA"/>
              </w:rPr>
              <w:t xml:space="preserve">В примітках до Таблиці 3 </w:t>
            </w:r>
            <w:r w:rsidR="003323ED" w:rsidRPr="00DD57E1">
              <w:rPr>
                <w:rFonts w:ascii="Times New Roman" w:hAnsi="Times New Roman" w:cs="Times New Roman"/>
                <w:b/>
                <w:sz w:val="24"/>
                <w:szCs w:val="24"/>
                <w:lang w:val="uk-UA"/>
              </w:rPr>
              <w:t xml:space="preserve">слова та знаки «власні кошти, інші (розшифрувати), залучені кошти (кредити, фінансова допомога, </w:t>
            </w:r>
            <w:r w:rsidR="003323ED" w:rsidRPr="00DD57E1">
              <w:rPr>
                <w:rFonts w:ascii="Times New Roman" w:hAnsi="Times New Roman" w:cs="Times New Roman"/>
                <w:b/>
                <w:sz w:val="24"/>
                <w:szCs w:val="24"/>
                <w:lang w:val="uk-UA"/>
              </w:rPr>
              <w:lastRenderedPageBreak/>
              <w:t>інші (розшифрувати))» замінити словами та знаками «інші (розшифрувати), залучені кошти (розшифрувати)»</w:t>
            </w:r>
          </w:p>
        </w:tc>
      </w:tr>
    </w:tbl>
    <w:p w14:paraId="4BC628AA" w14:textId="77777777" w:rsidR="000C43DD" w:rsidRPr="00C47D7E" w:rsidRDefault="000C43DD" w:rsidP="00155F3A">
      <w:pPr>
        <w:spacing w:after="0" w:line="240" w:lineRule="auto"/>
        <w:rPr>
          <w:lang w:val="uk-UA"/>
        </w:rPr>
      </w:pPr>
    </w:p>
    <w:sectPr w:rsidR="000C43DD" w:rsidRPr="00C47D7E" w:rsidSect="00AF7757">
      <w:headerReference w:type="default" r:id="rId7"/>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63A28" w14:textId="77777777" w:rsidR="006A0952" w:rsidRDefault="006A0952" w:rsidP="00166B2C">
      <w:pPr>
        <w:spacing w:after="0" w:line="240" w:lineRule="auto"/>
      </w:pPr>
      <w:r>
        <w:separator/>
      </w:r>
    </w:p>
  </w:endnote>
  <w:endnote w:type="continuationSeparator" w:id="0">
    <w:p w14:paraId="439E3EBE" w14:textId="77777777" w:rsidR="006A0952" w:rsidRDefault="006A0952" w:rsidP="00166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47425" w14:textId="77777777" w:rsidR="006A0952" w:rsidRDefault="006A0952" w:rsidP="00166B2C">
      <w:pPr>
        <w:spacing w:after="0" w:line="240" w:lineRule="auto"/>
      </w:pPr>
      <w:r>
        <w:separator/>
      </w:r>
    </w:p>
  </w:footnote>
  <w:footnote w:type="continuationSeparator" w:id="0">
    <w:p w14:paraId="2AC0FF5A" w14:textId="77777777" w:rsidR="006A0952" w:rsidRDefault="006A0952" w:rsidP="00166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662162"/>
      <w:docPartObj>
        <w:docPartGallery w:val="Page Numbers (Top of Page)"/>
        <w:docPartUnique/>
      </w:docPartObj>
    </w:sdtPr>
    <w:sdtEndPr/>
    <w:sdtContent>
      <w:p w14:paraId="4672FE33" w14:textId="48E74CDE" w:rsidR="006A0952" w:rsidRDefault="006A0952">
        <w:pPr>
          <w:pStyle w:val="a7"/>
          <w:jc w:val="center"/>
        </w:pPr>
        <w:r>
          <w:fldChar w:fldCharType="begin"/>
        </w:r>
        <w:r>
          <w:instrText>PAGE   \* MERGEFORMAT</w:instrText>
        </w:r>
        <w:r>
          <w:fldChar w:fldCharType="separate"/>
        </w:r>
        <w:r w:rsidR="00DD57E1" w:rsidRPr="00DD57E1">
          <w:rPr>
            <w:noProof/>
            <w:lang w:val="uk-UA"/>
          </w:rPr>
          <w:t>2</w:t>
        </w:r>
        <w:r>
          <w:fldChar w:fldCharType="end"/>
        </w:r>
      </w:p>
    </w:sdtContent>
  </w:sdt>
  <w:p w14:paraId="448ED633" w14:textId="77777777" w:rsidR="006A0952" w:rsidRDefault="006A09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8F1"/>
    <w:rsid w:val="000334D4"/>
    <w:rsid w:val="00036D0C"/>
    <w:rsid w:val="00063877"/>
    <w:rsid w:val="000717C2"/>
    <w:rsid w:val="00084DCB"/>
    <w:rsid w:val="000B1402"/>
    <w:rsid w:val="000C43DD"/>
    <w:rsid w:val="00102D0E"/>
    <w:rsid w:val="00102F17"/>
    <w:rsid w:val="001135C8"/>
    <w:rsid w:val="001179B8"/>
    <w:rsid w:val="00121E3C"/>
    <w:rsid w:val="00124744"/>
    <w:rsid w:val="00133E86"/>
    <w:rsid w:val="00154A92"/>
    <w:rsid w:val="00155F3A"/>
    <w:rsid w:val="00165B1E"/>
    <w:rsid w:val="00166B2C"/>
    <w:rsid w:val="00170097"/>
    <w:rsid w:val="0017025E"/>
    <w:rsid w:val="001832EE"/>
    <w:rsid w:val="00187067"/>
    <w:rsid w:val="001B1FF5"/>
    <w:rsid w:val="001B56AB"/>
    <w:rsid w:val="00225A6B"/>
    <w:rsid w:val="002342CA"/>
    <w:rsid w:val="00255836"/>
    <w:rsid w:val="00283F06"/>
    <w:rsid w:val="002B1091"/>
    <w:rsid w:val="002B7432"/>
    <w:rsid w:val="002C5477"/>
    <w:rsid w:val="002D08AE"/>
    <w:rsid w:val="002D7C7F"/>
    <w:rsid w:val="00303FAD"/>
    <w:rsid w:val="00305F1A"/>
    <w:rsid w:val="003323ED"/>
    <w:rsid w:val="00335D06"/>
    <w:rsid w:val="0033651D"/>
    <w:rsid w:val="00357AF6"/>
    <w:rsid w:val="00366AE1"/>
    <w:rsid w:val="00381A47"/>
    <w:rsid w:val="003E3289"/>
    <w:rsid w:val="003E4459"/>
    <w:rsid w:val="003E6059"/>
    <w:rsid w:val="003F65A5"/>
    <w:rsid w:val="00410BA8"/>
    <w:rsid w:val="0045342B"/>
    <w:rsid w:val="004574D7"/>
    <w:rsid w:val="00462662"/>
    <w:rsid w:val="00465AE2"/>
    <w:rsid w:val="00484A97"/>
    <w:rsid w:val="00492EEA"/>
    <w:rsid w:val="004A1D2F"/>
    <w:rsid w:val="004B7725"/>
    <w:rsid w:val="005114F6"/>
    <w:rsid w:val="00511CF6"/>
    <w:rsid w:val="005412AE"/>
    <w:rsid w:val="005676C9"/>
    <w:rsid w:val="005963DA"/>
    <w:rsid w:val="005A1914"/>
    <w:rsid w:val="005B02B0"/>
    <w:rsid w:val="005B20CC"/>
    <w:rsid w:val="005C00A6"/>
    <w:rsid w:val="005C3A80"/>
    <w:rsid w:val="005E61B4"/>
    <w:rsid w:val="005F3E6D"/>
    <w:rsid w:val="006107C6"/>
    <w:rsid w:val="006124C1"/>
    <w:rsid w:val="0067059E"/>
    <w:rsid w:val="00696F30"/>
    <w:rsid w:val="006A0952"/>
    <w:rsid w:val="006B1FDC"/>
    <w:rsid w:val="006B5315"/>
    <w:rsid w:val="006D3A50"/>
    <w:rsid w:val="006E482D"/>
    <w:rsid w:val="006F094F"/>
    <w:rsid w:val="006F72E2"/>
    <w:rsid w:val="00704DD8"/>
    <w:rsid w:val="00704DDB"/>
    <w:rsid w:val="007101FF"/>
    <w:rsid w:val="0071707F"/>
    <w:rsid w:val="007300B4"/>
    <w:rsid w:val="00735D5E"/>
    <w:rsid w:val="007576F5"/>
    <w:rsid w:val="0077582D"/>
    <w:rsid w:val="007931EA"/>
    <w:rsid w:val="007A4377"/>
    <w:rsid w:val="007A6290"/>
    <w:rsid w:val="007E1754"/>
    <w:rsid w:val="007F584C"/>
    <w:rsid w:val="0080091D"/>
    <w:rsid w:val="00814C13"/>
    <w:rsid w:val="00814E7A"/>
    <w:rsid w:val="00830D06"/>
    <w:rsid w:val="00835E45"/>
    <w:rsid w:val="00843231"/>
    <w:rsid w:val="00856E42"/>
    <w:rsid w:val="0088699F"/>
    <w:rsid w:val="00890E81"/>
    <w:rsid w:val="00891AC7"/>
    <w:rsid w:val="008A5688"/>
    <w:rsid w:val="008B6F55"/>
    <w:rsid w:val="008C603C"/>
    <w:rsid w:val="008D3B21"/>
    <w:rsid w:val="008D43C5"/>
    <w:rsid w:val="008D6D01"/>
    <w:rsid w:val="008F1767"/>
    <w:rsid w:val="008F45DC"/>
    <w:rsid w:val="009013D9"/>
    <w:rsid w:val="0091146D"/>
    <w:rsid w:val="00912411"/>
    <w:rsid w:val="0093303B"/>
    <w:rsid w:val="0095592C"/>
    <w:rsid w:val="00965550"/>
    <w:rsid w:val="009848B9"/>
    <w:rsid w:val="0099006C"/>
    <w:rsid w:val="009A64B7"/>
    <w:rsid w:val="009B7EB8"/>
    <w:rsid w:val="009C4FC9"/>
    <w:rsid w:val="009F660E"/>
    <w:rsid w:val="00A00082"/>
    <w:rsid w:val="00A10681"/>
    <w:rsid w:val="00A13030"/>
    <w:rsid w:val="00A21A82"/>
    <w:rsid w:val="00A25E8D"/>
    <w:rsid w:val="00A328C9"/>
    <w:rsid w:val="00A605C5"/>
    <w:rsid w:val="00AB6E9F"/>
    <w:rsid w:val="00AF7757"/>
    <w:rsid w:val="00AF7EBB"/>
    <w:rsid w:val="00B018E9"/>
    <w:rsid w:val="00B11AD7"/>
    <w:rsid w:val="00B161FF"/>
    <w:rsid w:val="00B27614"/>
    <w:rsid w:val="00B27F16"/>
    <w:rsid w:val="00B343CC"/>
    <w:rsid w:val="00B6220F"/>
    <w:rsid w:val="00B82208"/>
    <w:rsid w:val="00B840D2"/>
    <w:rsid w:val="00BA2DE5"/>
    <w:rsid w:val="00BA3EE0"/>
    <w:rsid w:val="00BA684D"/>
    <w:rsid w:val="00BE5401"/>
    <w:rsid w:val="00C47D7E"/>
    <w:rsid w:val="00C61D13"/>
    <w:rsid w:val="00C862A3"/>
    <w:rsid w:val="00C914EE"/>
    <w:rsid w:val="00CA094A"/>
    <w:rsid w:val="00CA4EF5"/>
    <w:rsid w:val="00CC456D"/>
    <w:rsid w:val="00CD067D"/>
    <w:rsid w:val="00CD68F1"/>
    <w:rsid w:val="00CE700E"/>
    <w:rsid w:val="00CF246F"/>
    <w:rsid w:val="00D34373"/>
    <w:rsid w:val="00D73B6D"/>
    <w:rsid w:val="00D764D9"/>
    <w:rsid w:val="00D872CA"/>
    <w:rsid w:val="00D9063C"/>
    <w:rsid w:val="00DD57E1"/>
    <w:rsid w:val="00DE0B85"/>
    <w:rsid w:val="00DE185B"/>
    <w:rsid w:val="00E02EB6"/>
    <w:rsid w:val="00E1247C"/>
    <w:rsid w:val="00E26FD6"/>
    <w:rsid w:val="00E422FF"/>
    <w:rsid w:val="00E55FAE"/>
    <w:rsid w:val="00E9706E"/>
    <w:rsid w:val="00ED4746"/>
    <w:rsid w:val="00EE29FC"/>
    <w:rsid w:val="00F41829"/>
    <w:rsid w:val="00F84D55"/>
    <w:rsid w:val="00FC0AF9"/>
    <w:rsid w:val="00FF6D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CAB69"/>
  <w15:chartTrackingRefBased/>
  <w15:docId w15:val="{FBDBCAA3-0A5F-4B2C-A914-A97ED7FC0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757"/>
    <w:pPr>
      <w:spacing w:after="200" w:line="276" w:lineRule="auto"/>
    </w:pPr>
    <w:rPr>
      <w:lang w:val="en-US"/>
    </w:rPr>
  </w:style>
  <w:style w:type="paragraph" w:styleId="2">
    <w:name w:val="heading 2"/>
    <w:basedOn w:val="a"/>
    <w:next w:val="a"/>
    <w:link w:val="20"/>
    <w:uiPriority w:val="9"/>
    <w:semiHidden/>
    <w:unhideWhenUsed/>
    <w:qFormat/>
    <w:rsid w:val="00C47D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F7757"/>
    <w:pPr>
      <w:keepNext/>
      <w:keepLines/>
      <w:spacing w:before="20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7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F7757"/>
    <w:rPr>
      <w:rFonts w:asciiTheme="majorHAnsi" w:eastAsiaTheme="majorEastAsia" w:hAnsiTheme="majorHAnsi" w:cstheme="majorBidi"/>
      <w:b/>
      <w:bCs/>
      <w:color w:val="4472C4" w:themeColor="accent1"/>
      <w:lang w:val="en-US"/>
    </w:rPr>
  </w:style>
  <w:style w:type="character" w:customStyle="1" w:styleId="20">
    <w:name w:val="Заголовок 2 Знак"/>
    <w:basedOn w:val="a0"/>
    <w:link w:val="2"/>
    <w:uiPriority w:val="9"/>
    <w:semiHidden/>
    <w:rsid w:val="00C47D7E"/>
    <w:rPr>
      <w:rFonts w:asciiTheme="majorHAnsi" w:eastAsiaTheme="majorEastAsia" w:hAnsiTheme="majorHAnsi" w:cstheme="majorBidi"/>
      <w:color w:val="2F5496" w:themeColor="accent1" w:themeShade="BF"/>
      <w:sz w:val="26"/>
      <w:szCs w:val="26"/>
      <w:lang w:val="en-US"/>
    </w:rPr>
  </w:style>
  <w:style w:type="paragraph" w:customStyle="1" w:styleId="rvps2">
    <w:name w:val="rvps2"/>
    <w:basedOn w:val="a"/>
    <w:rsid w:val="00704DD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4">
    <w:name w:val="rvts44"/>
    <w:basedOn w:val="a0"/>
    <w:rsid w:val="00704DD8"/>
  </w:style>
  <w:style w:type="character" w:customStyle="1" w:styleId="rvts46">
    <w:name w:val="rvts46"/>
    <w:basedOn w:val="a0"/>
    <w:rsid w:val="00BA3EE0"/>
  </w:style>
  <w:style w:type="character" w:styleId="a4">
    <w:name w:val="Hyperlink"/>
    <w:basedOn w:val="a0"/>
    <w:uiPriority w:val="99"/>
    <w:semiHidden/>
    <w:unhideWhenUsed/>
    <w:rsid w:val="00BA3EE0"/>
    <w:rPr>
      <w:color w:val="0000FF"/>
      <w:u w:val="single"/>
    </w:rPr>
  </w:style>
  <w:style w:type="paragraph" w:styleId="a5">
    <w:name w:val="Balloon Text"/>
    <w:basedOn w:val="a"/>
    <w:link w:val="a6"/>
    <w:uiPriority w:val="99"/>
    <w:semiHidden/>
    <w:unhideWhenUsed/>
    <w:rsid w:val="00462662"/>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462662"/>
    <w:rPr>
      <w:rFonts w:ascii="Segoe UI" w:hAnsi="Segoe UI" w:cs="Segoe UI"/>
      <w:sz w:val="18"/>
      <w:szCs w:val="18"/>
      <w:lang w:val="en-US"/>
    </w:rPr>
  </w:style>
  <w:style w:type="character" w:customStyle="1" w:styleId="rvts11">
    <w:name w:val="rvts11"/>
    <w:basedOn w:val="a0"/>
    <w:rsid w:val="002342CA"/>
  </w:style>
  <w:style w:type="paragraph" w:styleId="a7">
    <w:name w:val="header"/>
    <w:basedOn w:val="a"/>
    <w:link w:val="a8"/>
    <w:uiPriority w:val="99"/>
    <w:unhideWhenUsed/>
    <w:rsid w:val="00166B2C"/>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166B2C"/>
    <w:rPr>
      <w:lang w:val="en-US"/>
    </w:rPr>
  </w:style>
  <w:style w:type="paragraph" w:styleId="a9">
    <w:name w:val="footer"/>
    <w:basedOn w:val="a"/>
    <w:link w:val="aa"/>
    <w:uiPriority w:val="99"/>
    <w:unhideWhenUsed/>
    <w:rsid w:val="00166B2C"/>
    <w:pPr>
      <w:tabs>
        <w:tab w:val="center" w:pos="4819"/>
        <w:tab w:val="right" w:pos="9639"/>
      </w:tabs>
      <w:spacing w:after="0" w:line="240" w:lineRule="auto"/>
    </w:pPr>
  </w:style>
  <w:style w:type="character" w:customStyle="1" w:styleId="aa">
    <w:name w:val="Нижній колонтитул Знак"/>
    <w:basedOn w:val="a0"/>
    <w:link w:val="a9"/>
    <w:uiPriority w:val="99"/>
    <w:rsid w:val="00166B2C"/>
    <w:rPr>
      <w:lang w:val="en-US"/>
    </w:rPr>
  </w:style>
  <w:style w:type="character" w:styleId="ab">
    <w:name w:val="annotation reference"/>
    <w:basedOn w:val="a0"/>
    <w:uiPriority w:val="99"/>
    <w:semiHidden/>
    <w:unhideWhenUsed/>
    <w:rsid w:val="00B6220F"/>
    <w:rPr>
      <w:sz w:val="16"/>
      <w:szCs w:val="16"/>
    </w:rPr>
  </w:style>
  <w:style w:type="paragraph" w:styleId="ac">
    <w:name w:val="annotation text"/>
    <w:basedOn w:val="a"/>
    <w:link w:val="ad"/>
    <w:uiPriority w:val="99"/>
    <w:semiHidden/>
    <w:unhideWhenUsed/>
    <w:rsid w:val="00B6220F"/>
    <w:pPr>
      <w:spacing w:line="240" w:lineRule="auto"/>
    </w:pPr>
    <w:rPr>
      <w:sz w:val="20"/>
      <w:szCs w:val="20"/>
    </w:rPr>
  </w:style>
  <w:style w:type="character" w:customStyle="1" w:styleId="ad">
    <w:name w:val="Текст примітки Знак"/>
    <w:basedOn w:val="a0"/>
    <w:link w:val="ac"/>
    <w:uiPriority w:val="99"/>
    <w:semiHidden/>
    <w:rsid w:val="00B6220F"/>
    <w:rPr>
      <w:sz w:val="20"/>
      <w:szCs w:val="20"/>
      <w:lang w:val="en-US"/>
    </w:rPr>
  </w:style>
  <w:style w:type="paragraph" w:styleId="ae">
    <w:name w:val="annotation subject"/>
    <w:basedOn w:val="ac"/>
    <w:next w:val="ac"/>
    <w:link w:val="af"/>
    <w:uiPriority w:val="99"/>
    <w:semiHidden/>
    <w:unhideWhenUsed/>
    <w:rsid w:val="00B6220F"/>
    <w:rPr>
      <w:b/>
      <w:bCs/>
    </w:rPr>
  </w:style>
  <w:style w:type="character" w:customStyle="1" w:styleId="af">
    <w:name w:val="Тема примітки Знак"/>
    <w:basedOn w:val="ad"/>
    <w:link w:val="ae"/>
    <w:uiPriority w:val="99"/>
    <w:semiHidden/>
    <w:rsid w:val="00B6220F"/>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843411">
      <w:bodyDiv w:val="1"/>
      <w:marLeft w:val="0"/>
      <w:marRight w:val="0"/>
      <w:marTop w:val="0"/>
      <w:marBottom w:val="0"/>
      <w:divBdr>
        <w:top w:val="none" w:sz="0" w:space="0" w:color="auto"/>
        <w:left w:val="none" w:sz="0" w:space="0" w:color="auto"/>
        <w:bottom w:val="none" w:sz="0" w:space="0" w:color="auto"/>
        <w:right w:val="none" w:sz="0" w:space="0" w:color="auto"/>
      </w:divBdr>
    </w:div>
    <w:div w:id="1163739175">
      <w:bodyDiv w:val="1"/>
      <w:marLeft w:val="0"/>
      <w:marRight w:val="0"/>
      <w:marTop w:val="0"/>
      <w:marBottom w:val="0"/>
      <w:divBdr>
        <w:top w:val="none" w:sz="0" w:space="0" w:color="auto"/>
        <w:left w:val="none" w:sz="0" w:space="0" w:color="auto"/>
        <w:bottom w:val="none" w:sz="0" w:space="0" w:color="auto"/>
        <w:right w:val="none" w:sz="0" w:space="0" w:color="auto"/>
      </w:divBdr>
    </w:div>
    <w:div w:id="1323042218">
      <w:bodyDiv w:val="1"/>
      <w:marLeft w:val="0"/>
      <w:marRight w:val="0"/>
      <w:marTop w:val="0"/>
      <w:marBottom w:val="0"/>
      <w:divBdr>
        <w:top w:val="none" w:sz="0" w:space="0" w:color="auto"/>
        <w:left w:val="none" w:sz="0" w:space="0" w:color="auto"/>
        <w:bottom w:val="none" w:sz="0" w:space="0" w:color="auto"/>
        <w:right w:val="none" w:sz="0" w:space="0" w:color="auto"/>
      </w:divBdr>
    </w:div>
    <w:div w:id="1392651496">
      <w:bodyDiv w:val="1"/>
      <w:marLeft w:val="0"/>
      <w:marRight w:val="0"/>
      <w:marTop w:val="0"/>
      <w:marBottom w:val="0"/>
      <w:divBdr>
        <w:top w:val="none" w:sz="0" w:space="0" w:color="auto"/>
        <w:left w:val="none" w:sz="0" w:space="0" w:color="auto"/>
        <w:bottom w:val="none" w:sz="0" w:space="0" w:color="auto"/>
        <w:right w:val="none" w:sz="0" w:space="0" w:color="auto"/>
      </w:divBdr>
    </w:div>
    <w:div w:id="1559901699">
      <w:bodyDiv w:val="1"/>
      <w:marLeft w:val="0"/>
      <w:marRight w:val="0"/>
      <w:marTop w:val="0"/>
      <w:marBottom w:val="0"/>
      <w:divBdr>
        <w:top w:val="none" w:sz="0" w:space="0" w:color="auto"/>
        <w:left w:val="none" w:sz="0" w:space="0" w:color="auto"/>
        <w:bottom w:val="none" w:sz="0" w:space="0" w:color="auto"/>
        <w:right w:val="none" w:sz="0" w:space="0" w:color="auto"/>
      </w:divBdr>
    </w:div>
    <w:div w:id="1821923422">
      <w:bodyDiv w:val="1"/>
      <w:marLeft w:val="0"/>
      <w:marRight w:val="0"/>
      <w:marTop w:val="0"/>
      <w:marBottom w:val="0"/>
      <w:divBdr>
        <w:top w:val="none" w:sz="0" w:space="0" w:color="auto"/>
        <w:left w:val="none" w:sz="0" w:space="0" w:color="auto"/>
        <w:bottom w:val="none" w:sz="0" w:space="0" w:color="auto"/>
        <w:right w:val="none" w:sz="0" w:space="0" w:color="auto"/>
      </w:divBdr>
    </w:div>
    <w:div w:id="1935481364">
      <w:bodyDiv w:val="1"/>
      <w:marLeft w:val="0"/>
      <w:marRight w:val="0"/>
      <w:marTop w:val="0"/>
      <w:marBottom w:val="0"/>
      <w:divBdr>
        <w:top w:val="none" w:sz="0" w:space="0" w:color="auto"/>
        <w:left w:val="none" w:sz="0" w:space="0" w:color="auto"/>
        <w:bottom w:val="none" w:sz="0" w:space="0" w:color="auto"/>
        <w:right w:val="none" w:sz="0" w:space="0" w:color="auto"/>
      </w:divBdr>
    </w:div>
    <w:div w:id="196996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0FFC3-759D-4D90-9902-7F0C11ED4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2247</TotalTime>
  <Pages>13</Pages>
  <Words>19178</Words>
  <Characters>10933</Characters>
  <Application>Microsoft Office Word</Application>
  <DocSecurity>0</DocSecurity>
  <Lines>91</Lines>
  <Paragraphs>60</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30051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Надія Пустовойтова</dc:creator>
  <cp:keywords/>
  <dc:description/>
  <cp:lastModifiedBy>Мар'яна Харченко</cp:lastModifiedBy>
  <cp:revision>139</cp:revision>
  <cp:lastPrinted>2025-01-27T09:22:00Z</cp:lastPrinted>
  <dcterms:created xsi:type="dcterms:W3CDTF">2025-01-21T15:02:00Z</dcterms:created>
  <dcterms:modified xsi:type="dcterms:W3CDTF">2025-03-11T09:56:00Z</dcterms:modified>
</cp:coreProperties>
</file>