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7226"/>
        <w:gridCol w:w="6908"/>
      </w:tblGrid>
      <w:tr w:rsidR="00887329" w:rsidRPr="007736E9" w14:paraId="2F8BDFB0" w14:textId="77777777" w:rsidTr="00B66EF9">
        <w:tc>
          <w:tcPr>
            <w:tcW w:w="14560" w:type="dxa"/>
            <w:gridSpan w:val="3"/>
          </w:tcPr>
          <w:p w14:paraId="044487A9" w14:textId="020ECCFB" w:rsidR="00887329" w:rsidRPr="007736E9" w:rsidRDefault="00887329" w:rsidP="007736E9">
            <w:pPr>
              <w:pStyle w:val="3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</w:pPr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 xml:space="preserve">Порівняльна таблиця до </w:t>
            </w:r>
            <w:proofErr w:type="spellStart"/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>проєкту</w:t>
            </w:r>
            <w:proofErr w:type="spellEnd"/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 xml:space="preserve"> постанови НКРЕКП «</w:t>
            </w:r>
            <w:r w:rsidR="007736E9"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>Про внесення змін до деяких постанов НКРЕКП</w:t>
            </w:r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>»,</w:t>
            </w:r>
          </w:p>
          <w:p w14:paraId="4D040DA2" w14:textId="541500F0" w:rsidR="00887329" w:rsidRPr="007736E9" w:rsidRDefault="00887329" w:rsidP="007736E9">
            <w:pPr>
              <w:pStyle w:val="3"/>
              <w:tabs>
                <w:tab w:val="left" w:pos="0"/>
              </w:tabs>
              <w:spacing w:before="0" w:after="0" w:line="240" w:lineRule="auto"/>
              <w:jc w:val="center"/>
              <w:outlineLvl w:val="2"/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</w:pPr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 xml:space="preserve">що має ознаки регуляторного </w:t>
            </w:r>
            <w:proofErr w:type="spellStart"/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>акта</w:t>
            </w:r>
            <w:proofErr w:type="spellEnd"/>
          </w:p>
        </w:tc>
      </w:tr>
      <w:tr w:rsidR="007736E9" w:rsidRPr="00C47D7E" w14:paraId="7989CDAD" w14:textId="77777777" w:rsidTr="0084145F">
        <w:tc>
          <w:tcPr>
            <w:tcW w:w="14560" w:type="dxa"/>
            <w:gridSpan w:val="3"/>
          </w:tcPr>
          <w:p w14:paraId="16349020" w14:textId="77777777" w:rsidR="007736E9" w:rsidRPr="007736E9" w:rsidRDefault="007736E9" w:rsidP="00155F3A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36E9">
              <w:rPr>
                <w:rFonts w:ascii="Times New Roman" w:eastAsiaTheme="minorHAnsi" w:hAnsi="Times New Roman" w:cs="Times New Roman"/>
                <w:bCs w:val="0"/>
                <w:color w:val="auto"/>
                <w:sz w:val="24"/>
                <w:szCs w:val="24"/>
                <w:lang w:val="uk-UA"/>
              </w:rPr>
              <w:t>Зміни до Кодексу системи передачі, затвердженого постановою НКРЕКП від 14.03.2018  № 309</w:t>
            </w:r>
          </w:p>
        </w:tc>
      </w:tr>
      <w:tr w:rsidR="00C47D7E" w:rsidRPr="00C47D7E" w14:paraId="1CC046CE" w14:textId="77777777" w:rsidTr="001B56AB">
        <w:tc>
          <w:tcPr>
            <w:tcW w:w="421" w:type="dxa"/>
          </w:tcPr>
          <w:p w14:paraId="36A44C93" w14:textId="0A4481D9" w:rsidR="00C47D7E" w:rsidRPr="00C47D7E" w:rsidRDefault="000A5A0C" w:rsidP="00155F3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7229" w:type="dxa"/>
          </w:tcPr>
          <w:p w14:paraId="581A7E70" w14:textId="77777777" w:rsidR="00C47D7E" w:rsidRPr="007736E9" w:rsidRDefault="00C47D7E" w:rsidP="00155F3A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773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6910" w:type="dxa"/>
          </w:tcPr>
          <w:p w14:paraId="0B718321" w14:textId="77777777" w:rsidR="00C47D7E" w:rsidRPr="007736E9" w:rsidRDefault="00C47D7E" w:rsidP="0015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736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Зі змінами</w:t>
            </w:r>
          </w:p>
        </w:tc>
      </w:tr>
      <w:tr w:rsidR="008F45DC" w:rsidRPr="00C41775" w14:paraId="3D8357B2" w14:textId="77777777" w:rsidTr="001B56AB">
        <w:tc>
          <w:tcPr>
            <w:tcW w:w="421" w:type="dxa"/>
          </w:tcPr>
          <w:p w14:paraId="1769210F" w14:textId="01CFFEEF" w:rsidR="008F45DC" w:rsidRPr="00C47D7E" w:rsidRDefault="007736E9" w:rsidP="00155F3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229" w:type="dxa"/>
          </w:tcPr>
          <w:p w14:paraId="3725F638" w14:textId="77777777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 w:rsidRPr="007736E9">
              <w:rPr>
                <w:color w:val="333333"/>
              </w:rPr>
              <w:t xml:space="preserve">6.4. ОСП повинен здійснити аналіз отриманих від ОСР </w:t>
            </w:r>
            <w:proofErr w:type="spellStart"/>
            <w:r w:rsidRPr="007736E9">
              <w:rPr>
                <w:color w:val="333333"/>
              </w:rPr>
              <w:t>проєктів</w:t>
            </w:r>
            <w:proofErr w:type="spellEnd"/>
            <w:r w:rsidRPr="007736E9">
              <w:rPr>
                <w:color w:val="333333"/>
              </w:rPr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 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ОСР.</w:t>
            </w:r>
          </w:p>
          <w:p w14:paraId="46639DE8" w14:textId="77777777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0" w:name="n4851"/>
            <w:bookmarkEnd w:id="0"/>
            <w:r w:rsidRPr="007736E9">
              <w:rPr>
                <w:color w:val="333333"/>
              </w:rPr>
              <w:t xml:space="preserve">У разі обґрунтованої необхідності виконання заходів з будівництва, реконструкції та/або технічного переоснащення об’єктів ОСП, пов’язаних з виконанням планів розвитку систем розподілу, ОСР погоджує з ОСП технічне завдання на </w:t>
            </w:r>
            <w:proofErr w:type="spellStart"/>
            <w:r w:rsidRPr="007736E9">
              <w:rPr>
                <w:color w:val="333333"/>
              </w:rPr>
              <w:t>проєктування</w:t>
            </w:r>
            <w:proofErr w:type="spellEnd"/>
            <w:r w:rsidRPr="007736E9">
              <w:rPr>
                <w:color w:val="333333"/>
              </w:rPr>
              <w:t xml:space="preserve"> таких заходів.</w:t>
            </w:r>
          </w:p>
          <w:p w14:paraId="76ADA5C5" w14:textId="77777777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1" w:name="n4854"/>
            <w:bookmarkStart w:id="2" w:name="n4852"/>
            <w:bookmarkEnd w:id="1"/>
            <w:bookmarkEnd w:id="2"/>
            <w:r w:rsidRPr="007736E9">
              <w:rPr>
                <w:color w:val="333333"/>
              </w:rPr>
              <w:t>Виконання таких заходів у мережах ОСП має бути передбачено у Плані та відповідній інвестиційній програмі ОСП та корелюватися із термінами виконання відповідних заходів у планах розвитку систем розподілу та інвестиційних програмах ОСР.</w:t>
            </w:r>
          </w:p>
          <w:p w14:paraId="7EBD6442" w14:textId="77777777" w:rsidR="008F45DC" w:rsidRPr="007736E9" w:rsidRDefault="008F45DC" w:rsidP="00155F3A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10" w:type="dxa"/>
          </w:tcPr>
          <w:p w14:paraId="42BC352F" w14:textId="71E85D91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 w:rsidRPr="007736E9">
              <w:rPr>
                <w:color w:val="333333"/>
              </w:rPr>
              <w:t xml:space="preserve">6.4. ОСП повинен здійснити аналіз отриманих від ОСР </w:t>
            </w:r>
            <w:proofErr w:type="spellStart"/>
            <w:r w:rsidRPr="007736E9">
              <w:rPr>
                <w:color w:val="333333"/>
              </w:rPr>
              <w:t>проєктів</w:t>
            </w:r>
            <w:proofErr w:type="spellEnd"/>
            <w:r w:rsidRPr="007736E9">
              <w:rPr>
                <w:color w:val="333333"/>
              </w:rPr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</w:t>
            </w:r>
            <w:r w:rsidR="00912411" w:rsidRPr="007736E9">
              <w:rPr>
                <w:b/>
                <w:color w:val="333333"/>
                <w:highlight w:val="yellow"/>
              </w:rPr>
              <w:t xml:space="preserve">, а також на </w:t>
            </w:r>
            <w:r w:rsidR="00696F30" w:rsidRPr="007736E9">
              <w:rPr>
                <w:b/>
                <w:color w:val="333333"/>
                <w:highlight w:val="yellow"/>
              </w:rPr>
              <w:t xml:space="preserve">їх </w:t>
            </w:r>
            <w:r w:rsidR="00912411" w:rsidRPr="007736E9">
              <w:rPr>
                <w:b/>
                <w:color w:val="333333"/>
                <w:highlight w:val="yellow"/>
              </w:rPr>
              <w:t xml:space="preserve">відповідність схемам перспективного розвитку, </w:t>
            </w:r>
            <w:r w:rsidR="00696F30" w:rsidRPr="007736E9">
              <w:rPr>
                <w:b/>
                <w:color w:val="333333"/>
                <w:highlight w:val="yellow"/>
              </w:rPr>
              <w:t>нормативно</w:t>
            </w:r>
            <w:r w:rsidR="00912411" w:rsidRPr="007736E9">
              <w:rPr>
                <w:b/>
                <w:color w:val="333333"/>
                <w:highlight w:val="yellow"/>
              </w:rPr>
              <w:t>-правовим</w:t>
            </w:r>
            <w:r w:rsidR="00696F30" w:rsidRPr="007736E9">
              <w:rPr>
                <w:b/>
                <w:color w:val="333333"/>
                <w:highlight w:val="yellow"/>
              </w:rPr>
              <w:t>/нормативно-</w:t>
            </w:r>
            <w:r w:rsidR="00912411" w:rsidRPr="007736E9">
              <w:rPr>
                <w:b/>
                <w:color w:val="333333"/>
                <w:highlight w:val="yellow"/>
              </w:rPr>
              <w:t xml:space="preserve">технічним </w:t>
            </w:r>
            <w:r w:rsidR="00696F30" w:rsidRPr="007736E9">
              <w:rPr>
                <w:b/>
                <w:color w:val="333333"/>
                <w:highlight w:val="yellow"/>
              </w:rPr>
              <w:t>документам</w:t>
            </w:r>
            <w:r w:rsidRPr="007736E9">
              <w:rPr>
                <w:b/>
                <w:color w:val="333333"/>
              </w:rPr>
              <w:t xml:space="preserve"> </w:t>
            </w:r>
            <w:r w:rsidRPr="007736E9">
              <w:rPr>
                <w:color w:val="333333"/>
              </w:rPr>
              <w:t>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</w:t>
            </w:r>
            <w:r w:rsidR="00696F30" w:rsidRPr="007736E9">
              <w:rPr>
                <w:color w:val="333333"/>
              </w:rPr>
              <w:t xml:space="preserve"> </w:t>
            </w:r>
            <w:r w:rsidR="00696F30" w:rsidRPr="007736E9">
              <w:rPr>
                <w:b/>
                <w:highlight w:val="yellow"/>
              </w:rPr>
              <w:t xml:space="preserve">за формою згідно </w:t>
            </w:r>
            <w:r w:rsidR="0080091D" w:rsidRPr="007736E9">
              <w:rPr>
                <w:b/>
                <w:highlight w:val="yellow"/>
                <w:shd w:val="clear" w:color="auto" w:fill="FFFFFF"/>
              </w:rPr>
              <w:t>з </w:t>
            </w:r>
            <w:r w:rsidR="006F72E2" w:rsidRPr="007736E9">
              <w:rPr>
                <w:b/>
                <w:highlight w:val="yellow"/>
                <w:shd w:val="clear" w:color="auto" w:fill="FFFFFF"/>
              </w:rPr>
              <w:t xml:space="preserve">додатком </w:t>
            </w:r>
            <w:hyperlink r:id="rId7" w:anchor="n4943" w:history="1">
              <w:r w:rsidR="00EF21AC" w:rsidRPr="007736E9">
                <w:rPr>
                  <w:b/>
                  <w:highlight w:val="yellow"/>
                </w:rPr>
                <w:t>15</w:t>
              </w:r>
            </w:hyperlink>
            <w:r w:rsidR="0080091D" w:rsidRPr="007736E9">
              <w:rPr>
                <w:b/>
                <w:highlight w:val="yellow"/>
                <w:shd w:val="clear" w:color="auto" w:fill="FFFFFF"/>
              </w:rPr>
              <w:t> до цього Кодексу</w:t>
            </w:r>
            <w:r w:rsidRPr="007736E9">
              <w:rPr>
                <w:b/>
                <w:highlight w:val="yellow"/>
              </w:rPr>
              <w:t>.</w:t>
            </w:r>
          </w:p>
          <w:p w14:paraId="495113A1" w14:textId="77777777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 w:rsidRPr="007736E9">
              <w:rPr>
                <w:color w:val="333333"/>
              </w:rPr>
              <w:t xml:space="preserve">У разі обґрунтованої необхідності виконання заходів з будівництва, реконструкції та/або технічного переоснащення об’єктів ОСП, пов’язаних з виконанням планів розвитку систем розподілу, ОСР погоджує з ОСП технічне завдання на </w:t>
            </w:r>
            <w:proofErr w:type="spellStart"/>
            <w:r w:rsidRPr="007736E9">
              <w:rPr>
                <w:color w:val="333333"/>
              </w:rPr>
              <w:t>проєктування</w:t>
            </w:r>
            <w:proofErr w:type="spellEnd"/>
            <w:r w:rsidRPr="007736E9">
              <w:rPr>
                <w:color w:val="333333"/>
              </w:rPr>
              <w:t xml:space="preserve"> таких заходів.</w:t>
            </w:r>
          </w:p>
          <w:p w14:paraId="466AF33C" w14:textId="77777777" w:rsidR="008F45DC" w:rsidRPr="007736E9" w:rsidRDefault="008F45DC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 w:rsidRPr="007736E9">
              <w:rPr>
                <w:color w:val="333333"/>
              </w:rPr>
              <w:t>Виконання таких заходів у мережах ОСП має бути передбачено у Плані та відповідній інвестиційній програмі ОСП та корелюватися із термінами виконання відповідних заходів у планах розвитку систем розподілу та інвестиційних програмах ОСР.</w:t>
            </w:r>
          </w:p>
          <w:p w14:paraId="10022648" w14:textId="77777777" w:rsidR="008F45DC" w:rsidRPr="007736E9" w:rsidRDefault="008F45DC" w:rsidP="0015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12F5" w:rsidRPr="00A616D7" w14:paraId="432B3810" w14:textId="77777777" w:rsidTr="001B56AB">
        <w:tc>
          <w:tcPr>
            <w:tcW w:w="421" w:type="dxa"/>
          </w:tcPr>
          <w:p w14:paraId="2D186E10" w14:textId="3FC0E77A" w:rsidR="00A312F5" w:rsidRDefault="000A5A0C" w:rsidP="00155F3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229" w:type="dxa"/>
          </w:tcPr>
          <w:p w14:paraId="1D43210C" w14:textId="64A29CAF" w:rsidR="00A312F5" w:rsidRPr="00A312F5" w:rsidRDefault="00A312F5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proofErr w:type="spellStart"/>
            <w:r>
              <w:rPr>
                <w:color w:val="333333"/>
                <w:lang w:val="ru-RU"/>
              </w:rPr>
              <w:t>Додаток</w:t>
            </w:r>
            <w:proofErr w:type="spellEnd"/>
            <w:r>
              <w:rPr>
                <w:color w:val="333333"/>
                <w:lang w:val="ru-RU"/>
              </w:rPr>
              <w:t xml:space="preserve"> в</w:t>
            </w:r>
            <w:r>
              <w:rPr>
                <w:color w:val="333333"/>
              </w:rPr>
              <w:t>і</w:t>
            </w:r>
            <w:proofErr w:type="spellStart"/>
            <w:r>
              <w:rPr>
                <w:color w:val="333333"/>
                <w:lang w:val="ru-RU"/>
              </w:rPr>
              <w:t>дсутн</w:t>
            </w:r>
            <w:proofErr w:type="spellEnd"/>
            <w:r>
              <w:rPr>
                <w:color w:val="333333"/>
              </w:rPr>
              <w:t>і</w:t>
            </w:r>
            <w:r>
              <w:rPr>
                <w:color w:val="333333"/>
                <w:lang w:val="ru-RU"/>
              </w:rPr>
              <w:t>й</w:t>
            </w:r>
          </w:p>
        </w:tc>
        <w:tc>
          <w:tcPr>
            <w:tcW w:w="6910" w:type="dxa"/>
          </w:tcPr>
          <w:p w14:paraId="76866A31" w14:textId="77777777" w:rsidR="00A312F5" w:rsidRDefault="00A312F5" w:rsidP="008F45DC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Додаток 15</w:t>
            </w:r>
          </w:p>
          <w:p w14:paraId="33579CE8" w14:textId="74CCB578" w:rsidR="00A312F5" w:rsidRPr="007736E9" w:rsidRDefault="00A616D7" w:rsidP="00A616D7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«</w:t>
            </w:r>
            <w:r w:rsidRPr="00A616D7">
              <w:rPr>
                <w:color w:val="333333"/>
              </w:rPr>
              <w:t>ВИСНОВОК</w:t>
            </w:r>
            <w:r>
              <w:rPr>
                <w:color w:val="333333"/>
              </w:rPr>
              <w:t xml:space="preserve"> </w:t>
            </w:r>
            <w:r w:rsidRPr="00A616D7">
              <w:rPr>
                <w:color w:val="333333"/>
              </w:rPr>
              <w:t>щодо відповідності Плану розвитку системи розподілу_______________</w:t>
            </w:r>
            <w:r>
              <w:rPr>
                <w:color w:val="333333"/>
              </w:rPr>
              <w:t xml:space="preserve"> </w:t>
            </w:r>
            <w:r w:rsidRPr="00A616D7">
              <w:rPr>
                <w:color w:val="333333"/>
              </w:rPr>
              <w:t xml:space="preserve">на ______________ (далі – ПРСР) </w:t>
            </w:r>
            <w:r w:rsidRPr="00A616D7">
              <w:rPr>
                <w:color w:val="333333"/>
              </w:rPr>
              <w:lastRenderedPageBreak/>
              <w:t>роки вимогам нормативно-правових та нормативно-технічних документів</w:t>
            </w:r>
            <w:r>
              <w:rPr>
                <w:color w:val="333333"/>
              </w:rPr>
              <w:t>»</w:t>
            </w:r>
          </w:p>
        </w:tc>
      </w:tr>
      <w:tr w:rsidR="007736E9" w:rsidRPr="008F45DC" w14:paraId="1E58B690" w14:textId="77777777" w:rsidTr="005B4A60">
        <w:tc>
          <w:tcPr>
            <w:tcW w:w="14560" w:type="dxa"/>
            <w:gridSpan w:val="3"/>
          </w:tcPr>
          <w:p w14:paraId="02E82178" w14:textId="77777777" w:rsidR="007736E9" w:rsidRPr="00C47D7E" w:rsidRDefault="007736E9" w:rsidP="0015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F45DC">
              <w:rPr>
                <w:rFonts w:ascii="Times New Roman" w:hAnsi="Times New Roman" w:cs="Times New Roman"/>
                <w:b/>
                <w:lang w:val="uk-UA"/>
              </w:rPr>
              <w:lastRenderedPageBreak/>
              <w:t>Зміни до Кодексу систем розподілу, затвердженого постановою НКРЕКП від 14.03.2018  № 310</w:t>
            </w:r>
          </w:p>
        </w:tc>
      </w:tr>
      <w:tr w:rsidR="008F45DC" w:rsidRPr="008F45DC" w14:paraId="2D9ACB7D" w14:textId="77777777" w:rsidTr="001B56AB">
        <w:tc>
          <w:tcPr>
            <w:tcW w:w="421" w:type="dxa"/>
          </w:tcPr>
          <w:p w14:paraId="4C606E1B" w14:textId="77777777" w:rsidR="008F45DC" w:rsidRPr="00C47D7E" w:rsidRDefault="008F45DC" w:rsidP="008F45D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229" w:type="dxa"/>
          </w:tcPr>
          <w:p w14:paraId="2A6CF0B4" w14:textId="77777777" w:rsidR="008F45DC" w:rsidRPr="00C47D7E" w:rsidRDefault="008F45DC" w:rsidP="008F45DC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C47D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6910" w:type="dxa"/>
          </w:tcPr>
          <w:p w14:paraId="305AFCA3" w14:textId="77777777" w:rsidR="008F45DC" w:rsidRPr="00C47D7E" w:rsidRDefault="008F45DC" w:rsidP="008F4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47D7E">
              <w:rPr>
                <w:rFonts w:ascii="Times New Roman" w:hAnsi="Times New Roman" w:cs="Times New Roman"/>
                <w:b/>
                <w:lang w:val="uk-UA"/>
              </w:rPr>
              <w:t>Зі змінами</w:t>
            </w:r>
          </w:p>
        </w:tc>
      </w:tr>
      <w:tr w:rsidR="004574D7" w:rsidRPr="00C41775" w14:paraId="0FE14A0C" w14:textId="77777777" w:rsidTr="001B56AB">
        <w:tc>
          <w:tcPr>
            <w:tcW w:w="421" w:type="dxa"/>
          </w:tcPr>
          <w:p w14:paraId="267D3ED2" w14:textId="65BC7795" w:rsidR="004574D7" w:rsidRPr="00C47D7E" w:rsidRDefault="000A5A0C" w:rsidP="004574D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229" w:type="dxa"/>
          </w:tcPr>
          <w:p w14:paraId="2DDFD1E9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3.3.1. ПРСР має містити:</w:t>
            </w:r>
          </w:p>
          <w:p w14:paraId="7E84A664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3" w:name="n2047"/>
            <w:bookmarkEnd w:id="3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фактичні та прогнозні обсяги попиту на електричну енергію та потужність у системі розподілу, обсяги розподілу (у т. ч. транзиту) електричної енергії мережами ОСР, з урахуванням приєднаної потужності УЗЕ та відбору УЗЕ, включаючи УЗЕ, які заплановані до будівництва ОСР;</w:t>
            </w:r>
          </w:p>
          <w:p w14:paraId="41F046DC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" w:name="n4260"/>
            <w:bookmarkStart w:id="5" w:name="n2048"/>
            <w:bookmarkEnd w:id="4"/>
            <w:bookmarkEnd w:id="5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фактичні та обґрунтовані прогнозні обсяги відпуску електричної енергії виробників електричної енергії, приєднаних до системи розподілу (визначені, де необхідно, у координації з ОСП), з урахуванням приєднаної потужності УЗЕ та відбору УЗЕ, включаючи УЗЕ, які заплановані до будівництва ОСР;</w:t>
            </w:r>
          </w:p>
          <w:p w14:paraId="39DB3B9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" w:name="n4262"/>
            <w:bookmarkStart w:id="7" w:name="n4098"/>
            <w:bookmarkEnd w:id="6"/>
            <w:bookmarkEnd w:id="7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будівництва, реконструкції та технічного переоснащення елементів системи розподілу, сформований:</w:t>
            </w:r>
          </w:p>
          <w:p w14:paraId="2A88F4C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8" w:name="n4099"/>
            <w:bookmarkEnd w:id="8"/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для рівня напруги 20 кВ та вище;</w:t>
            </w:r>
          </w:p>
          <w:p w14:paraId="63226A1A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9" w:name="n4100"/>
            <w:bookmarkEnd w:id="9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узагальнено із прив’язкою до відповідних районів для рівня напруги нижче 20 кВ на прогнозний п’ятирічний період, а також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для першого року прогнозного періоду;</w:t>
            </w:r>
          </w:p>
          <w:p w14:paraId="3A4D470E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0" w:name="n4101"/>
            <w:bookmarkStart w:id="11" w:name="n2050"/>
            <w:bookmarkEnd w:id="10"/>
            <w:bookmarkEnd w:id="11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заплановані та прогнозні рівні потужності в кожній точці приєднання системи розподілу до системи передачі та до систем розподілу інших ОСР та/або збільшення потужності для існуючих точок приєднання;</w:t>
            </w:r>
          </w:p>
          <w:p w14:paraId="41ABB53C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2" w:name="n2051"/>
            <w:bookmarkEnd w:id="12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5) заходи з будівництва об’єктів системи розподілу, включаючи засоби РЗА, ПА і зв’язку, потреба в яких визначена ОСП відповідно до вимог підтримання належного рівня операційної безпеки;</w:t>
            </w:r>
          </w:p>
          <w:p w14:paraId="73548DC5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3" w:name="n4265"/>
            <w:bookmarkEnd w:id="13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6) інформацію щодо існуючих та нових електроустановок виробництва електричної енергії, УЗЕ, які приєднані та/або мають бути приєднані до системи розподілу (на основі заяв про приєднання та іншої інформації, наявної в ОСР);</w:t>
            </w:r>
          </w:p>
          <w:p w14:paraId="0DCFA9A4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4" w:name="n4270"/>
            <w:bookmarkStart w:id="15" w:name="n4266"/>
            <w:bookmarkEnd w:id="14"/>
            <w:bookmarkEnd w:id="15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7) інформацію щодо УЗЕ (номінальна (встановлена) потужність, яких більше 1 МВт), які приєднуються до внутрішніх мереж Користувача;</w:t>
            </w:r>
          </w:p>
          <w:p w14:paraId="72ABC1C8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6" w:name="n4271"/>
            <w:bookmarkStart w:id="17" w:name="n4267"/>
            <w:bookmarkEnd w:id="16"/>
            <w:bookmarkEnd w:id="17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8) інформацію щодо генеруючих установок (встановленою потужністю більше 1 МВт), які встановлені споживачем;</w:t>
            </w:r>
          </w:p>
          <w:p w14:paraId="4236014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18" w:name="n4272"/>
            <w:bookmarkStart w:id="19" w:name="n2053"/>
            <w:bookmarkEnd w:id="18"/>
            <w:bookmarkEnd w:id="19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9) дані щодо прогнозної потужності приєднання нових електроустановок (на основі заяв про приєднання та доступної потужності в точках забезпечення потужності);</w:t>
            </w:r>
          </w:p>
          <w:p w14:paraId="2CDAEE29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0" w:name="n2054"/>
            <w:bookmarkEnd w:id="20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10) дані щодо потужності в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енерговузлах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системи розподілу, ураховуючи формування переліку елементів мережі, що спричиняють обмеження та/або неналежну якість електропостачання споживачів, які потребують виконання заходів щодо підсилення з метою забезпечення інтеграції нового навантаження та виробництва до системи розподілу;</w:t>
            </w:r>
          </w:p>
          <w:p w14:paraId="65EF62AD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1" w:name="n2055"/>
            <w:bookmarkEnd w:id="21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11) дані щодо завантаження електричних мереж напругою 20 кВ та вище в характерні періоди їх роботи для нормальних та ремонтних режимів;</w:t>
            </w:r>
          </w:p>
          <w:p w14:paraId="2BA96123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2" w:name="n2056"/>
            <w:bookmarkEnd w:id="22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12) інформацію (фактичні та заплановані рівні показників) щодо якості електропостачання (комерційна якість послуг, надійність (безперервність) та якість електроенергії) та заходів, направлених на її підвищення;</w:t>
            </w:r>
          </w:p>
          <w:p w14:paraId="1C0050D6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3" w:name="n2057"/>
            <w:bookmarkEnd w:id="23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13) інформацію щодо розміщення пристроїв фіксації/аналізу показників якості електроенергії та планів щодо їх встановлення;</w:t>
            </w:r>
          </w:p>
          <w:p w14:paraId="5329E268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4" w:name="n2058"/>
            <w:bookmarkEnd w:id="24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14) інформацію щодо запланованого виведення обладнання системи розподілу з експлуатації та оцінку впливу такого виведення;</w:t>
            </w:r>
          </w:p>
          <w:p w14:paraId="08DF8042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5" w:name="n4275"/>
            <w:bookmarkEnd w:id="25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15) інформацію щодо заходів з енергоефективності, управління попитом та можливостей використання розподіленої генерації, необхідності і можливостей використання УЗЕ;</w:t>
            </w:r>
          </w:p>
          <w:p w14:paraId="01481A9A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6" w:name="n4276"/>
            <w:bookmarkStart w:id="27" w:name="n2059"/>
            <w:bookmarkEnd w:id="26"/>
            <w:bookmarkEnd w:id="27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16) плани в частині заходів з компенсації реактивної потужності;</w:t>
            </w:r>
          </w:p>
          <w:p w14:paraId="4631496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8" w:name="n2060"/>
            <w:bookmarkEnd w:id="28"/>
            <w:r w:rsidRPr="003F65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17) плани в частині улаштування «інтелектуального» обліку електричної енергії;</w:t>
            </w:r>
          </w:p>
          <w:p w14:paraId="6BD8FA5C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9" w:name="n2061"/>
            <w:bookmarkEnd w:id="29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18) фактичні та прогнозні витрати електроенергії в системі розподілу та заходи, направлені на їх зниження;</w:t>
            </w:r>
          </w:p>
          <w:p w14:paraId="7E0984D8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30" w:name="n2062"/>
            <w:bookmarkEnd w:id="30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19)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потужності, які створюються при реалізації цих планів для можливості приєднання нових замовників;</w:t>
            </w:r>
          </w:p>
          <w:p w14:paraId="4E3A4230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31" w:name="n2063"/>
            <w:bookmarkEnd w:id="31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20) аналіз витрат та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вигод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(з урахуванням техніко-економічних показників)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з розвитку системи розподілу.</w:t>
            </w:r>
          </w:p>
          <w:p w14:paraId="2C09FEAF" w14:textId="77777777" w:rsidR="004574D7" w:rsidRPr="00C47D7E" w:rsidRDefault="004574D7" w:rsidP="004574D7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10" w:type="dxa"/>
          </w:tcPr>
          <w:p w14:paraId="167C51D9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3.3.1. ПРСР має містити:</w:t>
            </w:r>
          </w:p>
          <w:p w14:paraId="3A5CB63E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фактичні та прогнозні обсяги попиту на електричну енергію та потужність у системі розподілу, обсяги розподілу (у т. ч. транзиту) електричної енергії мережами ОСР, з урахуванням приєднаної потужності УЗЕ та відбору УЗЕ, включаючи УЗЕ, які заплановані до будівництва ОСР;</w:t>
            </w:r>
          </w:p>
          <w:p w14:paraId="11C83C26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фактичні та обґрунтовані прогнозні обсяги відпуску електричної енергії виробників електричної енергії, приєднаних до системи розподілу (визначені, де необхідно, у координації з ОСП), з урахуванням приєднаної потужності УЗЕ та відбору УЗЕ, включаючи УЗЕ, які заплановані до будівництва ОСР;</w:t>
            </w:r>
          </w:p>
          <w:p w14:paraId="49B8263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будівництва, реконструкції та технічного переоснащення елементів системи розподілу, сформований:</w:t>
            </w:r>
          </w:p>
          <w:p w14:paraId="389DFBF8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для рівня напруги 20 кВ та вище;</w:t>
            </w:r>
          </w:p>
          <w:p w14:paraId="1FD82E97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узагальнено із прив’язкою до відповідних районів для рівня напруги нижче 20 кВ на прогнозний п’ятирічний період, а також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для першого року прогнозного періоду;</w:t>
            </w:r>
          </w:p>
          <w:p w14:paraId="438013FF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заплановані та прогнозні рівні потужності в кожній точці приєднання системи розподілу до системи передачі та до систем розподілу інших ОСР та/або збільшення потужності для існуючих точок приєднання;</w:t>
            </w:r>
          </w:p>
          <w:p w14:paraId="238BFFDF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5) заходи з будівництва об’єктів системи розподілу, включаючи засоби РЗА, ПА і зв’язку, потреба в яких визначена ОСП відповідно до вимог підтримання належного рівня операційної безпеки;</w:t>
            </w:r>
          </w:p>
          <w:p w14:paraId="4CE3C682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6) інформацію щодо існуючих та нових електроустановок виробництва електричної енергії, УЗЕ, які приєднані та/або мають бути приєднані до системи розподілу (на основі заяв про приєднання та іншої інформації, наявної в ОСР);</w:t>
            </w:r>
          </w:p>
          <w:p w14:paraId="5943416A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7) інформацію щодо УЗЕ (номінальна (встановлена) потужність, яких більше 1 МВт), які приєднуються до внутрішніх мереж Користувача;</w:t>
            </w:r>
          </w:p>
          <w:p w14:paraId="043177B2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8) інформацію щодо генеруючих установок (встановленою потужністю більше 1 МВт), які встановлені споживачем;</w:t>
            </w:r>
          </w:p>
          <w:p w14:paraId="78C9A8A0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9) дані щодо прогнозної потужності приєднання нових електроустановок (на основі заяв про приєднання та доступної потужності в точках забезпечення потужності);</w:t>
            </w:r>
          </w:p>
          <w:p w14:paraId="6B56EE78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10) дані щодо потужності в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енерговузлах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системи розподілу, ураховуючи формування переліку елементів мережі, що спричиняють обмеження та/або неналежну якість електропостачання споживачів, які потребують виконання заходів щодо підсилення з метою забезпечення інтеграції нового навантаження та виробництва до системи розподілу;</w:t>
            </w:r>
          </w:p>
          <w:p w14:paraId="0107649D" w14:textId="77777777" w:rsidR="004574D7" w:rsidRPr="0017025E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1702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val="uk-UA" w:eastAsia="uk-UA"/>
              </w:rPr>
              <w:t>11) дані щодо завантаження електричних мереж напругою 20 кВ та вище в характерні періоди їх роботи для нормальних та ремонтних режимів</w:t>
            </w:r>
            <w:r w:rsidR="00B11AD7" w:rsidRPr="001702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val="uk-UA" w:eastAsia="uk-UA"/>
              </w:rPr>
              <w:t xml:space="preserve"> </w:t>
            </w:r>
            <w:r w:rsidR="00B11AD7" w:rsidRPr="001702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 xml:space="preserve">для року, що передує першому року </w:t>
            </w:r>
            <w:r w:rsidR="0017025E" w:rsidRPr="001702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 xml:space="preserve">прогнозного </w:t>
            </w:r>
            <w:r w:rsidR="00B11AD7" w:rsidRPr="001702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 xml:space="preserve">періоду, та останнього року </w:t>
            </w:r>
            <w:r w:rsidR="0017025E" w:rsidRPr="001702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прогнозного</w:t>
            </w:r>
            <w:r w:rsidR="00B11AD7" w:rsidRPr="001702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 xml:space="preserve"> періоду</w:t>
            </w:r>
            <w:r w:rsidR="00B11AD7" w:rsidRPr="001702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val="uk-UA" w:eastAsia="uk-UA"/>
              </w:rPr>
              <w:t>;</w:t>
            </w:r>
          </w:p>
          <w:p w14:paraId="13AB879F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12) інформацію (фактичні та заплановані рівні показників) щодо якості електропостачання (комерційна якість послуг, </w:t>
            </w: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надійність (безперервність) та якість електроенергії) та заходів, направлених на її підвищення;</w:t>
            </w:r>
          </w:p>
          <w:p w14:paraId="367E9529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13) інформацію щодо розміщення пристроїв фіксації/аналізу показників якості електроенергії та планів щодо їх встановлення;</w:t>
            </w:r>
          </w:p>
          <w:p w14:paraId="312D264A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14) інформацію щодо запланованого виведення обладнання системи розподілу з експлуатації та оцінку впливу такого виведення;</w:t>
            </w:r>
          </w:p>
          <w:p w14:paraId="2C22C5B1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15) інформацію щодо заходів з енергоефективності, управління попитом та можливостей використання розподіленої генерації, необхідності і можливостей використання УЗЕ;</w:t>
            </w:r>
          </w:p>
          <w:p w14:paraId="4D06E4DA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16) плани в частині заходів з компенсації реактивної потужності;</w:t>
            </w:r>
          </w:p>
          <w:p w14:paraId="1C8658F6" w14:textId="77777777" w:rsidR="004574D7" w:rsidRPr="004574D7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4574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17) плани в частині улаштування «інтелектуального» обліку електричної енергії;</w:t>
            </w:r>
          </w:p>
          <w:p w14:paraId="690FA012" w14:textId="77777777" w:rsidR="004574D7" w:rsidRPr="004574D7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 w:eastAsia="uk-UA"/>
              </w:rPr>
            </w:pPr>
            <w:r w:rsidRPr="0093303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ru-RU" w:eastAsia="uk-UA"/>
              </w:rPr>
              <w:t>18) </w:t>
            </w:r>
            <w:r w:rsidRPr="0093303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інформацію щодо заходів, спрямованих на впровадження та розвиток «розумних мереж»;</w:t>
            </w:r>
          </w:p>
          <w:p w14:paraId="177CB00D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3F65A5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val="uk-UA" w:eastAsia="uk-UA"/>
              </w:rPr>
              <w:t>18)</w:t>
            </w:r>
            <w:r w:rsidRPr="003F65A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="003F65A5" w:rsidRPr="003F65A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>19)</w:t>
            </w:r>
            <w:r w:rsidR="003F65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фактичні та прогнозні витрати електроенергії в системі розподілу та заходи, направлені на їх зниження;</w:t>
            </w:r>
          </w:p>
          <w:p w14:paraId="257AB093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3F65A5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val="uk-UA" w:eastAsia="uk-UA"/>
              </w:rPr>
              <w:t>19)</w:t>
            </w:r>
            <w:r w:rsidRPr="003F65A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="003F65A5" w:rsidRPr="003F65A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>20)</w:t>
            </w:r>
            <w:r w:rsidR="003F65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потужності, які створюються при реалізації цих планів для можливості приєднання нових замовників;</w:t>
            </w:r>
          </w:p>
          <w:p w14:paraId="6ED4C6AD" w14:textId="77777777" w:rsidR="004574D7" w:rsidRPr="00BA3EE0" w:rsidRDefault="004574D7" w:rsidP="004574D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3F65A5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lang w:val="uk-UA" w:eastAsia="uk-UA"/>
              </w:rPr>
              <w:t>20)</w:t>
            </w:r>
            <w:r w:rsidR="003F65A5" w:rsidRPr="003F65A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 xml:space="preserve"> 21)</w:t>
            </w:r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аналіз витрат та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вигод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(з урахуванням техніко-економічних показників) </w:t>
            </w:r>
            <w:proofErr w:type="spellStart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BA3E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з розвитку системи розподілу.</w:t>
            </w:r>
          </w:p>
          <w:p w14:paraId="73D6BB6D" w14:textId="77777777" w:rsidR="004574D7" w:rsidRPr="00C47D7E" w:rsidRDefault="004574D7" w:rsidP="004574D7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2342CA" w:rsidRPr="00C41775" w14:paraId="5A25079D" w14:textId="77777777" w:rsidTr="001B56AB">
        <w:tc>
          <w:tcPr>
            <w:tcW w:w="421" w:type="dxa"/>
          </w:tcPr>
          <w:p w14:paraId="50E2752A" w14:textId="1363634C" w:rsidR="002342CA" w:rsidRPr="00C47D7E" w:rsidRDefault="000A5A0C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7229" w:type="dxa"/>
          </w:tcPr>
          <w:p w14:paraId="1AB5BF0D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3.3.4. До ПРСР також додаються:</w:t>
            </w:r>
          </w:p>
          <w:p w14:paraId="496F13B0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2" w:name="n2067"/>
            <w:bookmarkEnd w:id="32"/>
            <w:r>
              <w:rPr>
                <w:color w:val="333333"/>
              </w:rPr>
              <w:t>1) схема електричних з’єднань мереж напругою 20 кВ та вище, для року, що передує першому року планового періоду, та останнього року планового періоду;</w:t>
            </w:r>
          </w:p>
          <w:p w14:paraId="45532918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3" w:name="n3626"/>
            <w:bookmarkStart w:id="34" w:name="n2068"/>
            <w:bookmarkEnd w:id="33"/>
            <w:bookmarkEnd w:id="34"/>
            <w:r>
              <w:rPr>
                <w:color w:val="333333"/>
              </w:rPr>
              <w:t>2) схема нормального режиму електричної мережі напругою 20 кВ та вище;</w:t>
            </w:r>
          </w:p>
          <w:p w14:paraId="225C559D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5" w:name="n2069"/>
            <w:bookmarkEnd w:id="35"/>
            <w:r>
              <w:rPr>
                <w:color w:val="333333"/>
              </w:rPr>
              <w:t xml:space="preserve">3) схема заміщення для розрахунку струмів короткого замикання та величини струму короткого замикання для кожного </w:t>
            </w:r>
            <w:proofErr w:type="spellStart"/>
            <w:r>
              <w:rPr>
                <w:color w:val="333333"/>
              </w:rPr>
              <w:t>енерговузла</w:t>
            </w:r>
            <w:proofErr w:type="spellEnd"/>
            <w:r>
              <w:rPr>
                <w:color w:val="333333"/>
              </w:rPr>
              <w:t xml:space="preserve"> (елемента) електричних мереж;</w:t>
            </w:r>
          </w:p>
          <w:p w14:paraId="4B4D1DFC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6" w:name="n2070"/>
            <w:bookmarkEnd w:id="36"/>
            <w:r>
              <w:rPr>
                <w:color w:val="333333"/>
              </w:rPr>
              <w:t>4) аналіз досліджених режимів з урахуванням існуючого та прогнозного завантаження системи розподілу;</w:t>
            </w:r>
          </w:p>
          <w:p w14:paraId="68841DFE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7" w:name="n4034"/>
            <w:bookmarkEnd w:id="37"/>
            <w:r>
              <w:rPr>
                <w:color w:val="333333"/>
              </w:rPr>
              <w:t>5) розрахункові схеми нормальних, аварійних, ремонтно-аварійних режимів роботи електричної мережі для таких характерних режимів:</w:t>
            </w:r>
          </w:p>
          <w:p w14:paraId="2F7F841F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8" w:name="n4035"/>
            <w:bookmarkEnd w:id="38"/>
            <w:r>
              <w:rPr>
                <w:color w:val="333333"/>
              </w:rPr>
              <w:t>максимуму навантаження під час зимового періоду;</w:t>
            </w:r>
          </w:p>
          <w:p w14:paraId="49FC73DA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39" w:name="n4036"/>
            <w:bookmarkEnd w:id="39"/>
            <w:r>
              <w:rPr>
                <w:color w:val="333333"/>
              </w:rPr>
              <w:t>мінімуму навантаження під час зимового періоду;</w:t>
            </w:r>
          </w:p>
          <w:p w14:paraId="74F53CD2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40" w:name="n4037"/>
            <w:bookmarkEnd w:id="40"/>
            <w:r>
              <w:rPr>
                <w:color w:val="333333"/>
              </w:rPr>
              <w:t>денного зниження навантаження під час зимового періоду;</w:t>
            </w:r>
          </w:p>
          <w:p w14:paraId="7F2B4131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41" w:name="n4038"/>
            <w:bookmarkEnd w:id="41"/>
            <w:r>
              <w:rPr>
                <w:color w:val="333333"/>
              </w:rPr>
              <w:t>максимуму навантаження під час літнього періоду;</w:t>
            </w:r>
          </w:p>
          <w:p w14:paraId="3970ED36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42" w:name="n4039"/>
            <w:bookmarkEnd w:id="42"/>
            <w:r>
              <w:rPr>
                <w:color w:val="333333"/>
              </w:rPr>
              <w:t>мінімуму навантаження під час літнього періоду;</w:t>
            </w:r>
          </w:p>
          <w:p w14:paraId="3C49068F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43" w:name="n4040"/>
            <w:bookmarkEnd w:id="43"/>
            <w:r>
              <w:rPr>
                <w:color w:val="333333"/>
              </w:rPr>
              <w:t>денного зниження навантаження під час літнього періоду;</w:t>
            </w:r>
          </w:p>
          <w:p w14:paraId="588D82E6" w14:textId="77777777" w:rsidR="002342CA" w:rsidRPr="00BA3EE0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bookmarkStart w:id="44" w:name="n4041"/>
            <w:bookmarkStart w:id="45" w:name="n4279"/>
            <w:bookmarkEnd w:id="44"/>
            <w:bookmarkEnd w:id="45"/>
            <w:r>
              <w:rPr>
                <w:color w:val="333333"/>
              </w:rPr>
              <w:t xml:space="preserve">6) карти-схеми мереж напругою 20 кВ та вище (з урахуванням мереж, що </w:t>
            </w:r>
            <w:proofErr w:type="spellStart"/>
            <w:r>
              <w:rPr>
                <w:color w:val="333333"/>
              </w:rPr>
              <w:t>проєктуються</w:t>
            </w:r>
            <w:proofErr w:type="spellEnd"/>
            <w:r>
              <w:rPr>
                <w:color w:val="333333"/>
              </w:rPr>
              <w:t xml:space="preserve">) у вигляді посилання на актуальний </w:t>
            </w:r>
            <w:proofErr w:type="spellStart"/>
            <w:r>
              <w:rPr>
                <w:color w:val="333333"/>
              </w:rPr>
              <w:t>вебресурс</w:t>
            </w:r>
            <w:proofErr w:type="spellEnd"/>
            <w:r>
              <w:rPr>
                <w:color w:val="333333"/>
              </w:rPr>
              <w:t>, на якому вони містяться (за умови авторизованого доступу).</w:t>
            </w:r>
            <w:bookmarkStart w:id="46" w:name="n4280"/>
            <w:bookmarkEnd w:id="46"/>
          </w:p>
        </w:tc>
        <w:tc>
          <w:tcPr>
            <w:tcW w:w="6910" w:type="dxa"/>
          </w:tcPr>
          <w:p w14:paraId="47E3A16C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3.3.4. До ПРСР також додаються:</w:t>
            </w:r>
          </w:p>
          <w:p w14:paraId="02B48D58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1) схема електричних з’єднань мереж напругою 20 кВ та вище, для року, що передує першому року планового періоду, та останнього року планового періоду;</w:t>
            </w:r>
          </w:p>
          <w:p w14:paraId="639F2C07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2) схема нормального режиму електричної мережі напругою 20 кВ та вище;</w:t>
            </w:r>
          </w:p>
          <w:p w14:paraId="6C68F830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3) схема заміщення для розрахунку струмів короткого замикання та величини струму короткого замикання для кожного </w:t>
            </w:r>
            <w:proofErr w:type="spellStart"/>
            <w:r>
              <w:rPr>
                <w:color w:val="333333"/>
              </w:rPr>
              <w:t>енерговузла</w:t>
            </w:r>
            <w:proofErr w:type="spellEnd"/>
            <w:r>
              <w:rPr>
                <w:color w:val="333333"/>
              </w:rPr>
              <w:t xml:space="preserve"> (елемента) електричних мереж;</w:t>
            </w:r>
          </w:p>
          <w:p w14:paraId="12062CA5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4) аналіз досліджених режимів з урахуванням існуючого та прогнозного завантаження системи розподілу;</w:t>
            </w:r>
          </w:p>
          <w:p w14:paraId="11EB7C4D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5) розрахункові схеми нормальних, аварійних, ремонтно-аварійних режимів роботи електричної мережі для таких характерних режимів:</w:t>
            </w:r>
          </w:p>
          <w:p w14:paraId="120C5EF5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максимуму навантаження під час зимового періоду;</w:t>
            </w:r>
          </w:p>
          <w:p w14:paraId="7FA38D54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мінімуму навантаження під час зимового періоду;</w:t>
            </w:r>
          </w:p>
          <w:p w14:paraId="4071D5CA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денного зниження навантаження під час зимового періоду;</w:t>
            </w:r>
          </w:p>
          <w:p w14:paraId="6A236D0A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максимуму навантаження під час літнього періоду;</w:t>
            </w:r>
          </w:p>
          <w:p w14:paraId="6C1AFD7C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мінімуму навантаження під час літнього періоду;</w:t>
            </w:r>
          </w:p>
          <w:p w14:paraId="627B6A9E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денного зниження навантаження під час літнього періоду;</w:t>
            </w:r>
          </w:p>
          <w:p w14:paraId="33B610E2" w14:textId="77777777" w:rsidR="002342CA" w:rsidRDefault="002342CA" w:rsidP="002342C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6) карти-схеми мереж напругою 20 кВ та вище (з урахуванням мереж, що </w:t>
            </w:r>
            <w:proofErr w:type="spellStart"/>
            <w:r>
              <w:rPr>
                <w:color w:val="333333"/>
              </w:rPr>
              <w:t>проєктуються</w:t>
            </w:r>
            <w:proofErr w:type="spellEnd"/>
            <w:r>
              <w:rPr>
                <w:color w:val="333333"/>
              </w:rPr>
              <w:t xml:space="preserve">) у вигляді посилання на актуальний </w:t>
            </w:r>
            <w:proofErr w:type="spellStart"/>
            <w:r>
              <w:rPr>
                <w:color w:val="333333"/>
              </w:rPr>
              <w:t>вебресурс</w:t>
            </w:r>
            <w:proofErr w:type="spellEnd"/>
            <w:r>
              <w:rPr>
                <w:color w:val="333333"/>
              </w:rPr>
              <w:t>, на якому вони містяться (за умови авторизованого доступу)</w:t>
            </w:r>
            <w:r w:rsidRPr="002342CA">
              <w:rPr>
                <w:b/>
                <w:strike/>
                <w:color w:val="333333"/>
                <w:highlight w:val="yellow"/>
              </w:rPr>
              <w:t>.</w:t>
            </w:r>
            <w:r w:rsidRPr="002342CA">
              <w:rPr>
                <w:b/>
                <w:color w:val="333333"/>
                <w:highlight w:val="yellow"/>
              </w:rPr>
              <w:t>;</w:t>
            </w:r>
          </w:p>
          <w:p w14:paraId="6AB26DA3" w14:textId="77777777" w:rsidR="00FC0AF9" w:rsidRPr="002342CA" w:rsidRDefault="002342CA" w:rsidP="003F65A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color w:val="333333"/>
              </w:rPr>
            </w:pPr>
            <w:r w:rsidRPr="002342CA">
              <w:rPr>
                <w:b/>
                <w:color w:val="333333"/>
                <w:highlight w:val="yellow"/>
              </w:rPr>
              <w:lastRenderedPageBreak/>
              <w:t xml:space="preserve">7) </w:t>
            </w:r>
            <w:r w:rsidR="00FC0AF9" w:rsidRPr="00FC0AF9">
              <w:rPr>
                <w:b/>
                <w:color w:val="333333"/>
                <w:highlight w:val="yellow"/>
              </w:rPr>
              <w:t>Перелік та технічні дані основного обладнання трансформаторних підстанцій 20 кВ та вище</w:t>
            </w:r>
            <w:r w:rsidR="0017025E">
              <w:rPr>
                <w:b/>
                <w:color w:val="333333"/>
                <w:highlight w:val="yellow"/>
              </w:rPr>
              <w:t>.</w:t>
            </w:r>
          </w:p>
        </w:tc>
      </w:tr>
      <w:tr w:rsidR="002342CA" w:rsidRPr="00C41775" w14:paraId="08DFF6F0" w14:textId="77777777" w:rsidTr="009B7EB8">
        <w:tc>
          <w:tcPr>
            <w:tcW w:w="421" w:type="dxa"/>
          </w:tcPr>
          <w:p w14:paraId="59A20679" w14:textId="77777777" w:rsidR="002342CA" w:rsidRPr="00C47D7E" w:rsidRDefault="002342CA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39" w:type="dxa"/>
            <w:gridSpan w:val="2"/>
          </w:tcPr>
          <w:p w14:paraId="37DF3423" w14:textId="77777777" w:rsidR="002342CA" w:rsidRPr="00704DD8" w:rsidRDefault="002342CA" w:rsidP="002342C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rStyle w:val="rvts44"/>
                <w:rFonts w:eastAsiaTheme="majorEastAsia"/>
                <w:b/>
                <w:bCs/>
                <w:color w:val="333333"/>
              </w:rPr>
              <w:t>3.4. Порядок підготовки Плану розвитку системи розподілу</w:t>
            </w:r>
          </w:p>
        </w:tc>
      </w:tr>
      <w:tr w:rsidR="002342CA" w:rsidRPr="00C41775" w14:paraId="3AA80DD2" w14:textId="77777777" w:rsidTr="001B56AB">
        <w:tc>
          <w:tcPr>
            <w:tcW w:w="421" w:type="dxa"/>
          </w:tcPr>
          <w:p w14:paraId="13110EF6" w14:textId="7C01232C" w:rsidR="002342CA" w:rsidRPr="00C47D7E" w:rsidRDefault="000A5A0C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229" w:type="dxa"/>
          </w:tcPr>
          <w:p w14:paraId="1077A892" w14:textId="77777777" w:rsidR="002342CA" w:rsidRPr="00155F3A" w:rsidRDefault="002342CA" w:rsidP="002342C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bookmarkStart w:id="47" w:name="n2072"/>
            <w:bookmarkStart w:id="48" w:name="n2073"/>
            <w:bookmarkEnd w:id="47"/>
            <w:bookmarkEnd w:id="48"/>
            <w:r w:rsidRPr="00155F3A">
              <w:t xml:space="preserve">3.4.2. При розробці заходів та </w:t>
            </w:r>
            <w:proofErr w:type="spellStart"/>
            <w:r w:rsidRPr="00155F3A">
              <w:t>проєктів</w:t>
            </w:r>
            <w:proofErr w:type="spellEnd"/>
            <w:r w:rsidRPr="00155F3A">
              <w:t xml:space="preserve"> Плану розвитку систем розподілу ОСР повинен забезпечити узгодженість із Планом розвитку системи передачі на наступні 10 років і отримати відповідний письмовий висновок від ОСП.</w:t>
            </w:r>
          </w:p>
          <w:p w14:paraId="598A9B2A" w14:textId="77777777" w:rsidR="002342CA" w:rsidRPr="00155F3A" w:rsidRDefault="002342CA" w:rsidP="002342C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155F3A">
              <w:t xml:space="preserve">ОСП повинен здійснити аналіз отриманих від ОСР </w:t>
            </w:r>
            <w:proofErr w:type="spellStart"/>
            <w:r w:rsidRPr="00155F3A">
              <w:t>проєктів</w:t>
            </w:r>
            <w:proofErr w:type="spellEnd"/>
            <w:r w:rsidRPr="00155F3A"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 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ОСР.</w:t>
            </w:r>
          </w:p>
          <w:p w14:paraId="356F87F4" w14:textId="77777777" w:rsidR="002342CA" w:rsidRPr="00155F3A" w:rsidRDefault="002342CA" w:rsidP="002342C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155F3A">
              <w:t xml:space="preserve">У разі обґрунтованої необхідності виконання заходів з будівництва, реконструкції та/або технічного переоснащення об'єктів суміжних ОСР, пов'язаних з виконанням ПРСР, ОСР погоджує з суміжними ОСР технічне завдання на </w:t>
            </w:r>
            <w:proofErr w:type="spellStart"/>
            <w:r w:rsidRPr="00155F3A">
              <w:t>проєктування</w:t>
            </w:r>
            <w:proofErr w:type="spellEnd"/>
            <w:r w:rsidRPr="00155F3A">
              <w:t xml:space="preserve"> таких заходів.</w:t>
            </w:r>
          </w:p>
          <w:p w14:paraId="12BF727C" w14:textId="77777777" w:rsidR="002342CA" w:rsidRPr="00155F3A" w:rsidRDefault="002342CA" w:rsidP="002342CA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155F3A">
              <w:t>Виконання таких заходів у мережах ОСР має бути передбачено у ПРСР та відповідній інвестиційній програмі ОСР та корелюватися із термінами виконання відповідних заходів у ПРСР та інвестиційних програмах суміжних ОСР.</w:t>
            </w:r>
          </w:p>
        </w:tc>
        <w:tc>
          <w:tcPr>
            <w:tcW w:w="6910" w:type="dxa"/>
          </w:tcPr>
          <w:p w14:paraId="5597C687" w14:textId="77777777" w:rsidR="002342CA" w:rsidRPr="00155F3A" w:rsidRDefault="002342CA" w:rsidP="00234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342CA" w:rsidRPr="00C41775" w14:paraId="61A26B14" w14:textId="77777777" w:rsidTr="001B56AB">
        <w:tc>
          <w:tcPr>
            <w:tcW w:w="421" w:type="dxa"/>
          </w:tcPr>
          <w:p w14:paraId="5C2716E4" w14:textId="28C5EA0C" w:rsidR="002342CA" w:rsidRPr="00C47D7E" w:rsidRDefault="000A5A0C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229" w:type="dxa"/>
          </w:tcPr>
          <w:p w14:paraId="62A60E5B" w14:textId="77777777" w:rsidR="002342CA" w:rsidRPr="00155F3A" w:rsidRDefault="002342CA" w:rsidP="002342CA">
            <w:pPr>
              <w:spacing w:after="0" w:line="240" w:lineRule="auto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3.4.4. ОСР повинен не пізніше ніж за 2 місяці до подачі на схвалення Регулятору направити </w:t>
            </w:r>
            <w:proofErr w:type="spellStart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та іншим заінтересованим сторонам для отримання їх коментарів та пропозицій/зауважень і подати його разом з висновком ОСП на схвалення Регулятору не пізніше 01 червня року, </w:t>
            </w: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що передує прогнозному п’ятирічному періоду, в електронній формі (у форматі </w:t>
            </w:r>
            <w:proofErr w:type="spellStart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pdf</w:t>
            </w:r>
            <w:proofErr w:type="spellEnd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6910" w:type="dxa"/>
          </w:tcPr>
          <w:p w14:paraId="1781979F" w14:textId="59E2907A" w:rsidR="002342CA" w:rsidRPr="00155F3A" w:rsidRDefault="002342CA" w:rsidP="002342C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3.4.4. ОСР повинен не пізніше ніж за 2 місяці до подачі</w:t>
            </w:r>
            <w:r w:rsidR="00BD07D8" w:rsidRPr="00BD07D8">
              <w:rPr>
                <w:lang w:val="uk-UA"/>
              </w:rPr>
              <w:t xml:space="preserve"> </w:t>
            </w:r>
            <w:proofErr w:type="spellStart"/>
            <w:r w:rsidR="00BD07D8" w:rsidRPr="00BD07D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проєкту</w:t>
            </w:r>
            <w:proofErr w:type="spellEnd"/>
            <w:r w:rsidR="00BD07D8" w:rsidRPr="00BD07D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 ПРСР</w:t>
            </w:r>
            <w:r w:rsidRPr="00BD0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схвалення Регулятору направити </w:t>
            </w:r>
            <w:proofErr w:type="spellStart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</w:t>
            </w:r>
            <w:r w:rsidRPr="009330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центральному органу виконавчої влади, що реалізує державну політику у сфері нагляду (контролю) в галузі електроенергетики</w:t>
            </w:r>
            <w:r w:rsidRPr="00155F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іншим заінтересованим сторонам для отримання їх коментарів та </w:t>
            </w: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пропозицій/зауважень і подати його разом з висновком ОСП на схвалення Регулятору не пізніше 01 червня року, що передує прогнозному п’ятирічному періоду, в електронній формі (у форматі </w:t>
            </w:r>
            <w:proofErr w:type="spellStart"/>
            <w:r w:rsidRPr="001179B8"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  <w:lang w:val="uk-UA"/>
              </w:rPr>
              <w:t>pdf</w:t>
            </w:r>
            <w:proofErr w:type="spellEnd"/>
            <w:r w:rsidR="001179B8" w:rsidRPr="00C47D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1179B8" w:rsidRPr="001179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uk-UA"/>
              </w:rPr>
              <w:t>Word, Excel</w:t>
            </w:r>
            <w:r w:rsidRPr="00155F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</w:tr>
      <w:tr w:rsidR="002342CA" w:rsidRPr="00C41775" w14:paraId="57B0530A" w14:textId="77777777" w:rsidTr="001B56AB">
        <w:tc>
          <w:tcPr>
            <w:tcW w:w="421" w:type="dxa"/>
          </w:tcPr>
          <w:p w14:paraId="2EF2C093" w14:textId="51F82C4C" w:rsidR="002342CA" w:rsidRPr="00C47D7E" w:rsidRDefault="000A5A0C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7229" w:type="dxa"/>
          </w:tcPr>
          <w:p w14:paraId="31D286DE" w14:textId="77777777" w:rsidR="002342CA" w:rsidRPr="002342CA" w:rsidRDefault="002342CA" w:rsidP="002342CA">
            <w:pPr>
              <w:spacing w:after="0" w:line="240" w:lineRule="auto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30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3.4.8. ОСР розробляє інвестиційну програму на підставі ПРСР та подає її Регулятору разом із розрахунком тарифу на послуги з розподілу на відповідний регуляторний період. Розробка інвестиційної програми здійснюється ОСР згідно з Порядком формування інвестиційних програм ліцензіатів з розподілу електричної енергії, затвердженим Регулятором.</w:t>
            </w:r>
          </w:p>
        </w:tc>
        <w:tc>
          <w:tcPr>
            <w:tcW w:w="6910" w:type="dxa"/>
          </w:tcPr>
          <w:p w14:paraId="748CC6B7" w14:textId="77777777" w:rsidR="002342CA" w:rsidRPr="00155F3A" w:rsidRDefault="002342CA" w:rsidP="001179B8">
            <w:pPr>
              <w:spacing w:after="0"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342CA" w:rsidRPr="00C41775" w14:paraId="0D256A1D" w14:textId="77777777" w:rsidTr="001B56AB">
        <w:tc>
          <w:tcPr>
            <w:tcW w:w="421" w:type="dxa"/>
          </w:tcPr>
          <w:p w14:paraId="226E8A84" w14:textId="7293367E" w:rsidR="002342CA" w:rsidRPr="00C47D7E" w:rsidRDefault="000A5A0C" w:rsidP="002342C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229" w:type="dxa"/>
          </w:tcPr>
          <w:p w14:paraId="05C4A24E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3.4.12. ОСР має забезпечити вільний доступ до інформації щодо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обладнання, матеріалів, робіт та послуг з будівництва, реконструкції та/або технічного переоснащення об'єктів операторів систем розподілу (далі - закупівля). Закупівля має бути здійснена з дотриманням принципів, передбачених </w:t>
            </w:r>
            <w:hyperlink r:id="rId8" w:tgtFrame="_blank" w:history="1">
              <w:r w:rsidRPr="00B343CC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 w:eastAsia="uk-UA"/>
                </w:rPr>
                <w:t>Законом України</w:t>
              </w:r>
            </w:hyperlink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 «Про публічні закупівлі».</w:t>
            </w:r>
          </w:p>
          <w:p w14:paraId="63932E3A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9" w:name="n4291"/>
            <w:bookmarkEnd w:id="49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інформації про закупівлю, здійснену в рамках відповідної виробничої програми (інвестиційної програми, ремонтної програми, заходів з приєднання), повинен розмістити на своєму офіційному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інформацію про закупівлю), яка відповідно до етапу закупівлі повинна містити наступну інформацію:</w:t>
            </w:r>
          </w:p>
          <w:p w14:paraId="20614123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0" w:name="n4292"/>
            <w:bookmarkEnd w:id="50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назва заходу відповідної виробничої програми;</w:t>
            </w:r>
          </w:p>
          <w:p w14:paraId="4E0C9BEE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1" w:name="n4293"/>
            <w:bookmarkEnd w:id="51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найменування предмета закупівлі згідно із відповідною виробничою програмою;</w:t>
            </w:r>
          </w:p>
          <w:p w14:paraId="54C6C67C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2" w:name="n4294"/>
            <w:bookmarkEnd w:id="52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очікувана вартість предмета закупівлі;</w:t>
            </w:r>
          </w:p>
          <w:p w14:paraId="68B978C2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3" w:name="n4295"/>
            <w:bookmarkEnd w:id="53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вимоги до предмета закупівлі та умов, передбачених тендерною документацією закупівлі;</w:t>
            </w:r>
          </w:p>
          <w:p w14:paraId="2E5A9207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4" w:name="n4296"/>
            <w:bookmarkEnd w:id="54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умови оплати;</w:t>
            </w:r>
          </w:p>
          <w:p w14:paraId="63A0F16E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5" w:name="n4297"/>
            <w:bookmarkEnd w:id="55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305AEF77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6" w:name="n4298"/>
            <w:bookmarkEnd w:id="56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оприлюднений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договору про закупівлю із обов'язковим визначенням усіх його умов;</w:t>
            </w:r>
          </w:p>
          <w:p w14:paraId="2BA16E4A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7" w:name="n4299"/>
            <w:bookmarkEnd w:id="57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пропозиції учасників закупівлі;</w:t>
            </w:r>
          </w:p>
          <w:p w14:paraId="6B10E05A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8" w:name="n4300"/>
            <w:bookmarkEnd w:id="58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результат закупівлі;</w:t>
            </w:r>
          </w:p>
          <w:p w14:paraId="017BC3E0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9" w:name="n4301"/>
            <w:bookmarkEnd w:id="59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04162080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0" w:name="n4302"/>
            <w:bookmarkEnd w:id="60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укладення договору про закупівлю з переможцем;</w:t>
            </w:r>
          </w:p>
          <w:p w14:paraId="5FE983D9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1" w:name="n4303"/>
            <w:bookmarkEnd w:id="61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1C740DC2" w14:textId="77777777" w:rsidR="002342CA" w:rsidRPr="00357AF6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2" w:name="n4304"/>
            <w:bookmarkEnd w:id="62"/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оприлюднюється на офіційних </w:t>
            </w:r>
            <w:proofErr w:type="spellStart"/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вебсайтах</w:t>
            </w:r>
            <w:proofErr w:type="spellEnd"/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ОСР у розділі «Закупівлі» згідно з формою, наведеною в </w:t>
            </w:r>
            <w:hyperlink r:id="rId9" w:anchor="n4782" w:history="1">
              <w:r w:rsidRPr="00C41775">
                <w:rPr>
                  <w:rFonts w:ascii="Times New Roman" w:eastAsia="Times New Roman" w:hAnsi="Times New Roman" w:cs="Times New Roman"/>
                  <w:color w:val="006600"/>
                  <w:sz w:val="24"/>
                  <w:szCs w:val="24"/>
                  <w:u w:val="single"/>
                  <w:lang w:val="uk-UA" w:eastAsia="uk-UA"/>
                </w:rPr>
                <w:t>додатку 13</w:t>
              </w:r>
            </w:hyperlink>
            <w:r w:rsidRPr="00C417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 до цього Кодексу, та повинна актуалізуватися щомісячно до 25 числа місяця, наступного за звітним.</w:t>
            </w:r>
          </w:p>
        </w:tc>
        <w:tc>
          <w:tcPr>
            <w:tcW w:w="6910" w:type="dxa"/>
          </w:tcPr>
          <w:p w14:paraId="2B40919C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 xml:space="preserve">3.4.12. ОСР має забезпечити вільний доступ до інформації щодо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обладнання, матеріалів, робіт та послуг з будівництва, реконструкції </w:t>
            </w:r>
            <w:r w:rsidRPr="008A5688">
              <w:rPr>
                <w:rFonts w:ascii="Times New Roman" w:eastAsia="Times New Roman" w:hAnsi="Times New Roman" w:cs="Times New Roman"/>
                <w:b/>
                <w:strike/>
                <w:color w:val="333333"/>
                <w:sz w:val="24"/>
                <w:szCs w:val="24"/>
                <w:highlight w:val="yellow"/>
                <w:lang w:val="uk-UA" w:eastAsia="uk-UA"/>
              </w:rPr>
              <w:t>та/або</w:t>
            </w:r>
            <w:r w:rsidRPr="008A568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,</w:t>
            </w: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технічного переоснащення</w:t>
            </w:r>
            <w:r w:rsidRPr="005E61B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/обслуговування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Pr="005E61B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та/або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експлуатації/ремонту</w:t>
            </w: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об'єктів операторів систем розподілу (далі - закупівля). Закупівля має бути здійснена з дотриманням принципів, передбачених </w:t>
            </w:r>
            <w:hyperlink r:id="rId10" w:tgtFrame="_blank" w:history="1">
              <w:r w:rsidRPr="00B343CC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val="uk-UA" w:eastAsia="uk-UA"/>
                </w:rPr>
                <w:t>Законом України</w:t>
              </w:r>
            </w:hyperlink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 «Про публічні закупівлі».</w:t>
            </w:r>
          </w:p>
          <w:p w14:paraId="671EE81C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інформації про закупівлю, здійснену в рамках відповідної виробничої програми (інвестиційної програми, ремонтної програми, заходів з приєднання)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</w:t>
            </w:r>
            <w:r w:rsidRPr="005E61B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yellow"/>
                <w:lang w:val="uk-UA" w:eastAsia="uk-UA"/>
              </w:rPr>
              <w:t>тощо</w:t>
            </w: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, повинен розмістити на своєму офіційному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інформацію про закупівлю), яка відповідно до етапу закупівлі повинна містити наступну інформацію:</w:t>
            </w:r>
          </w:p>
          <w:p w14:paraId="27BB5D3B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назва заходу відповідної виробничої програми;</w:t>
            </w:r>
          </w:p>
          <w:p w14:paraId="59F458DA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найменування предмета закупівлі згідно із відповідною виробничою програмою;</w:t>
            </w:r>
          </w:p>
          <w:p w14:paraId="0E019AC9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очікувана вартість предмета закупівлі;</w:t>
            </w:r>
          </w:p>
          <w:p w14:paraId="6E9BC099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вимоги до предмета закупівлі та умов, передбачених тендерною документацією закупівлі;</w:t>
            </w:r>
          </w:p>
          <w:p w14:paraId="68389488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умови оплати;</w:t>
            </w:r>
          </w:p>
          <w:p w14:paraId="5DA7156C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6DEDBF47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оприлюднений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договору про закупівлю із обов'язковим визначенням усіх його умов;</w:t>
            </w:r>
          </w:p>
          <w:p w14:paraId="54CFE7F9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пропозиції учасників закупівлі;</w:t>
            </w:r>
          </w:p>
          <w:p w14:paraId="47032BED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результат закупівлі;</w:t>
            </w:r>
          </w:p>
          <w:p w14:paraId="5FB8EF39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54BE4C86" w14:textId="77777777" w:rsidR="002342CA" w:rsidRPr="00B343CC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укладення договору про закупівлю з переможцем;</w:t>
            </w:r>
          </w:p>
          <w:p w14:paraId="238AA352" w14:textId="77777777" w:rsidR="002342CA" w:rsidRDefault="002342CA" w:rsidP="002342C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18A8572F" w14:textId="77777777" w:rsidR="002342CA" w:rsidRPr="0093303B" w:rsidRDefault="002342CA" w:rsidP="00234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оприлюднюється на офіційних </w:t>
            </w:r>
            <w:proofErr w:type="spellStart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вебсайтах</w:t>
            </w:r>
            <w:proofErr w:type="spellEnd"/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ОСР у розділі «Закупівлі» згідно з формою, наведеною в </w:t>
            </w:r>
            <w:hyperlink r:id="rId11" w:anchor="n4782" w:history="1">
              <w:r w:rsidRPr="006124C1">
                <w:rPr>
                  <w:rFonts w:ascii="Times New Roman" w:eastAsia="Times New Roman" w:hAnsi="Times New Roman" w:cs="Times New Roman"/>
                  <w:color w:val="006600"/>
                  <w:sz w:val="24"/>
                  <w:szCs w:val="24"/>
                  <w:u w:val="single"/>
                  <w:lang w:val="uk-UA" w:eastAsia="uk-UA"/>
                </w:rPr>
                <w:t>додатку 13</w:t>
              </w:r>
            </w:hyperlink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 до цього Кодексу, </w:t>
            </w:r>
            <w:r w:rsidRPr="009330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одним загальним файлом </w:t>
            </w:r>
            <w:r w:rsidR="00366AE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у форматі </w:t>
            </w:r>
            <w:proofErr w:type="spellStart"/>
            <w:r w:rsidR="00366AE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Exel</w:t>
            </w:r>
            <w:proofErr w:type="spellEnd"/>
            <w:r w:rsidR="00366AE1" w:rsidRPr="00366AE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  <w:r w:rsidRPr="009330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по усіх </w:t>
            </w:r>
            <w:proofErr w:type="spellStart"/>
            <w:r w:rsidRPr="009330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закупівлях</w:t>
            </w:r>
            <w:proofErr w:type="spellEnd"/>
            <w:r w:rsidRPr="009330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, здійснених в рамках відповідної виробничої програми (інвестиційної програми, ремонтної програми, заходів з приєднання) тощо, із зазначенням періоду її дії</w:t>
            </w:r>
            <w:r w:rsidR="00BA684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,</w:t>
            </w:r>
            <w:r w:rsidRPr="00933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343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та повинна актуалізуватися щомісячно до 25 числа місяця, наступного за звітним.</w:t>
            </w:r>
          </w:p>
        </w:tc>
      </w:tr>
      <w:tr w:rsidR="00A312F5" w:rsidRPr="00A312F5" w14:paraId="07947895" w14:textId="77777777" w:rsidTr="001B56AB">
        <w:tc>
          <w:tcPr>
            <w:tcW w:w="421" w:type="dxa"/>
          </w:tcPr>
          <w:p w14:paraId="3EFBEAFA" w14:textId="1D8CA392" w:rsidR="00A312F5" w:rsidRPr="00A312F5" w:rsidRDefault="000A5A0C" w:rsidP="00A31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  <w:bookmarkStart w:id="63" w:name="_GoBack"/>
            <w:bookmarkEnd w:id="63"/>
          </w:p>
        </w:tc>
        <w:tc>
          <w:tcPr>
            <w:tcW w:w="7229" w:type="dxa"/>
          </w:tcPr>
          <w:p w14:paraId="61724E89" w14:textId="21D56DEE" w:rsidR="00A312F5" w:rsidRPr="001947F5" w:rsidRDefault="00A312F5" w:rsidP="00A312F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proofErr w:type="spellStart"/>
            <w:r w:rsidRPr="00A312F5"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A312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7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910" w:type="dxa"/>
          </w:tcPr>
          <w:p w14:paraId="793BD62D" w14:textId="0A6BBE33" w:rsidR="00A312F5" w:rsidRPr="00A312F5" w:rsidRDefault="001947F5" w:rsidP="00A312F5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</w:t>
            </w:r>
            <w:r w:rsidRPr="001947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одаток 13 викла</w:t>
            </w:r>
            <w:r w:rsidRPr="001947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дено</w:t>
            </w:r>
            <w:r w:rsidRPr="001947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в новій редакції</w:t>
            </w:r>
          </w:p>
        </w:tc>
      </w:tr>
    </w:tbl>
    <w:p w14:paraId="4BC628AA" w14:textId="77777777" w:rsidR="000C43DD" w:rsidRPr="00A312F5" w:rsidRDefault="000C43DD" w:rsidP="00155F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C43DD" w:rsidRPr="00A312F5" w:rsidSect="00AF7757">
      <w:headerReference w:type="defaul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63A28" w14:textId="77777777" w:rsidR="006A0952" w:rsidRDefault="006A0952" w:rsidP="00166B2C">
      <w:pPr>
        <w:spacing w:after="0" w:line="240" w:lineRule="auto"/>
      </w:pPr>
      <w:r>
        <w:separator/>
      </w:r>
    </w:p>
  </w:endnote>
  <w:endnote w:type="continuationSeparator" w:id="0">
    <w:p w14:paraId="439E3EBE" w14:textId="77777777" w:rsidR="006A0952" w:rsidRDefault="006A0952" w:rsidP="0016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47425" w14:textId="77777777" w:rsidR="006A0952" w:rsidRDefault="006A0952" w:rsidP="00166B2C">
      <w:pPr>
        <w:spacing w:after="0" w:line="240" w:lineRule="auto"/>
      </w:pPr>
      <w:r>
        <w:separator/>
      </w:r>
    </w:p>
  </w:footnote>
  <w:footnote w:type="continuationSeparator" w:id="0">
    <w:p w14:paraId="2AC0FF5A" w14:textId="77777777" w:rsidR="006A0952" w:rsidRDefault="006A0952" w:rsidP="0016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62162"/>
      <w:docPartObj>
        <w:docPartGallery w:val="Page Numbers (Top of Page)"/>
        <w:docPartUnique/>
      </w:docPartObj>
    </w:sdtPr>
    <w:sdtEndPr/>
    <w:sdtContent>
      <w:p w14:paraId="4672FE33" w14:textId="575FCF89" w:rsidR="006A0952" w:rsidRDefault="006A09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3B6D">
          <w:rPr>
            <w:noProof/>
            <w:lang w:val="uk-UA"/>
          </w:rPr>
          <w:t>24</w:t>
        </w:r>
        <w:r>
          <w:fldChar w:fldCharType="end"/>
        </w:r>
      </w:p>
    </w:sdtContent>
  </w:sdt>
  <w:p w14:paraId="448ED633" w14:textId="77777777" w:rsidR="006A0952" w:rsidRDefault="006A09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8F1"/>
    <w:rsid w:val="000334D4"/>
    <w:rsid w:val="00036D0C"/>
    <w:rsid w:val="00063877"/>
    <w:rsid w:val="000717C2"/>
    <w:rsid w:val="00084DCB"/>
    <w:rsid w:val="000A5A0C"/>
    <w:rsid w:val="000B1402"/>
    <w:rsid w:val="000C43DD"/>
    <w:rsid w:val="00102D0E"/>
    <w:rsid w:val="00102F17"/>
    <w:rsid w:val="001135C8"/>
    <w:rsid w:val="001179B8"/>
    <w:rsid w:val="00121E3C"/>
    <w:rsid w:val="00133E86"/>
    <w:rsid w:val="00154A92"/>
    <w:rsid w:val="00155F3A"/>
    <w:rsid w:val="00165B1E"/>
    <w:rsid w:val="00166B2C"/>
    <w:rsid w:val="00170097"/>
    <w:rsid w:val="0017025E"/>
    <w:rsid w:val="001832EE"/>
    <w:rsid w:val="00187067"/>
    <w:rsid w:val="001947F5"/>
    <w:rsid w:val="001B56AB"/>
    <w:rsid w:val="00225A6B"/>
    <w:rsid w:val="002342CA"/>
    <w:rsid w:val="00283F06"/>
    <w:rsid w:val="002B1091"/>
    <w:rsid w:val="002B7432"/>
    <w:rsid w:val="002C5477"/>
    <w:rsid w:val="002D08AE"/>
    <w:rsid w:val="002D7C7F"/>
    <w:rsid w:val="00303FAD"/>
    <w:rsid w:val="00305F1A"/>
    <w:rsid w:val="0033651D"/>
    <w:rsid w:val="00357AF6"/>
    <w:rsid w:val="00366AE1"/>
    <w:rsid w:val="00381A47"/>
    <w:rsid w:val="003E3289"/>
    <w:rsid w:val="003E6059"/>
    <w:rsid w:val="003F65A5"/>
    <w:rsid w:val="0045342B"/>
    <w:rsid w:val="004574D7"/>
    <w:rsid w:val="00462662"/>
    <w:rsid w:val="00484A97"/>
    <w:rsid w:val="004A1D2F"/>
    <w:rsid w:val="004B7725"/>
    <w:rsid w:val="005114F6"/>
    <w:rsid w:val="00511CF6"/>
    <w:rsid w:val="005412AE"/>
    <w:rsid w:val="005676C9"/>
    <w:rsid w:val="005963DA"/>
    <w:rsid w:val="005B02B0"/>
    <w:rsid w:val="005C3A80"/>
    <w:rsid w:val="005E61B4"/>
    <w:rsid w:val="005F3E6D"/>
    <w:rsid w:val="006107C6"/>
    <w:rsid w:val="006124C1"/>
    <w:rsid w:val="0067059E"/>
    <w:rsid w:val="00696F30"/>
    <w:rsid w:val="006A0952"/>
    <w:rsid w:val="006B1FDC"/>
    <w:rsid w:val="006B5315"/>
    <w:rsid w:val="006D3A50"/>
    <w:rsid w:val="006E482D"/>
    <w:rsid w:val="006F094F"/>
    <w:rsid w:val="006F72E2"/>
    <w:rsid w:val="00704DD8"/>
    <w:rsid w:val="00704DDB"/>
    <w:rsid w:val="0071707F"/>
    <w:rsid w:val="00735D5E"/>
    <w:rsid w:val="007576F5"/>
    <w:rsid w:val="007736E9"/>
    <w:rsid w:val="007931EA"/>
    <w:rsid w:val="007A4377"/>
    <w:rsid w:val="007E1754"/>
    <w:rsid w:val="0080091D"/>
    <w:rsid w:val="00814C13"/>
    <w:rsid w:val="00814E7A"/>
    <w:rsid w:val="00830D06"/>
    <w:rsid w:val="00835E45"/>
    <w:rsid w:val="00843231"/>
    <w:rsid w:val="00856E42"/>
    <w:rsid w:val="0088699F"/>
    <w:rsid w:val="00887329"/>
    <w:rsid w:val="00890E81"/>
    <w:rsid w:val="00891AC7"/>
    <w:rsid w:val="008A5688"/>
    <w:rsid w:val="008B6F55"/>
    <w:rsid w:val="008C603C"/>
    <w:rsid w:val="008D6D01"/>
    <w:rsid w:val="008F1767"/>
    <w:rsid w:val="008F45DC"/>
    <w:rsid w:val="009013D9"/>
    <w:rsid w:val="00912411"/>
    <w:rsid w:val="0093303B"/>
    <w:rsid w:val="00965550"/>
    <w:rsid w:val="00966B69"/>
    <w:rsid w:val="0099006C"/>
    <w:rsid w:val="009A64B7"/>
    <w:rsid w:val="009B7EB8"/>
    <w:rsid w:val="009C4FC9"/>
    <w:rsid w:val="009F660E"/>
    <w:rsid w:val="00A00082"/>
    <w:rsid w:val="00A10681"/>
    <w:rsid w:val="00A13030"/>
    <w:rsid w:val="00A25E8D"/>
    <w:rsid w:val="00A312F5"/>
    <w:rsid w:val="00A616D7"/>
    <w:rsid w:val="00AB6E9F"/>
    <w:rsid w:val="00AF7757"/>
    <w:rsid w:val="00B018E9"/>
    <w:rsid w:val="00B11AD7"/>
    <w:rsid w:val="00B161FF"/>
    <w:rsid w:val="00B27614"/>
    <w:rsid w:val="00B343CC"/>
    <w:rsid w:val="00B6220F"/>
    <w:rsid w:val="00B840D2"/>
    <w:rsid w:val="00BA3EE0"/>
    <w:rsid w:val="00BA684D"/>
    <w:rsid w:val="00BD07D8"/>
    <w:rsid w:val="00C41775"/>
    <w:rsid w:val="00C47D7E"/>
    <w:rsid w:val="00C61D13"/>
    <w:rsid w:val="00C862A3"/>
    <w:rsid w:val="00CA094A"/>
    <w:rsid w:val="00CD067D"/>
    <w:rsid w:val="00CD68F1"/>
    <w:rsid w:val="00CE700E"/>
    <w:rsid w:val="00CF246F"/>
    <w:rsid w:val="00D35AA9"/>
    <w:rsid w:val="00D40B5B"/>
    <w:rsid w:val="00D73B6D"/>
    <w:rsid w:val="00D872CA"/>
    <w:rsid w:val="00D9063C"/>
    <w:rsid w:val="00DE185B"/>
    <w:rsid w:val="00E02EB6"/>
    <w:rsid w:val="00E1247C"/>
    <w:rsid w:val="00E26FD6"/>
    <w:rsid w:val="00E422FF"/>
    <w:rsid w:val="00E55FAE"/>
    <w:rsid w:val="00ED4746"/>
    <w:rsid w:val="00EF21AC"/>
    <w:rsid w:val="00F41829"/>
    <w:rsid w:val="00F84D55"/>
    <w:rsid w:val="00FC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B69"/>
  <w15:chartTrackingRefBased/>
  <w15:docId w15:val="{FBDBCAA3-0A5F-4B2C-A914-A97ED7F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757"/>
    <w:pPr>
      <w:spacing w:after="200" w:line="276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7D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F77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F7757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47D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rvps2">
    <w:name w:val="rvps2"/>
    <w:basedOn w:val="a"/>
    <w:rsid w:val="00704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704DD8"/>
  </w:style>
  <w:style w:type="character" w:customStyle="1" w:styleId="rvts46">
    <w:name w:val="rvts46"/>
    <w:basedOn w:val="a0"/>
    <w:rsid w:val="00BA3EE0"/>
  </w:style>
  <w:style w:type="character" w:styleId="a4">
    <w:name w:val="Hyperlink"/>
    <w:basedOn w:val="a0"/>
    <w:uiPriority w:val="99"/>
    <w:semiHidden/>
    <w:unhideWhenUsed/>
    <w:rsid w:val="00BA3E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2662"/>
    <w:rPr>
      <w:rFonts w:ascii="Segoe UI" w:hAnsi="Segoe UI" w:cs="Segoe UI"/>
      <w:sz w:val="18"/>
      <w:szCs w:val="18"/>
      <w:lang w:val="en-US"/>
    </w:rPr>
  </w:style>
  <w:style w:type="character" w:customStyle="1" w:styleId="rvts11">
    <w:name w:val="rvts11"/>
    <w:basedOn w:val="a0"/>
    <w:rsid w:val="002342CA"/>
  </w:style>
  <w:style w:type="paragraph" w:styleId="a7">
    <w:name w:val="header"/>
    <w:basedOn w:val="a"/>
    <w:link w:val="a8"/>
    <w:uiPriority w:val="99"/>
    <w:unhideWhenUsed/>
    <w:rsid w:val="00166B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66B2C"/>
    <w:rPr>
      <w:lang w:val="en-US"/>
    </w:rPr>
  </w:style>
  <w:style w:type="paragraph" w:styleId="a9">
    <w:name w:val="footer"/>
    <w:basedOn w:val="a"/>
    <w:link w:val="aa"/>
    <w:uiPriority w:val="99"/>
    <w:unhideWhenUsed/>
    <w:rsid w:val="00166B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66B2C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B62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6220F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B6220F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6220F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B6220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22-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0309874-18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v0310874-1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922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310874-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5BFFE-A369-4776-B893-CDC009F9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12427</Words>
  <Characters>7084</Characters>
  <Application>Microsoft Office Word</Application>
  <DocSecurity>0</DocSecurity>
  <Lines>59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Пустовойтова</dc:creator>
  <cp:keywords/>
  <dc:description/>
  <cp:lastModifiedBy>Надія Пустовойтова</cp:lastModifiedBy>
  <cp:revision>2</cp:revision>
  <cp:lastPrinted>2025-01-27T09:22:00Z</cp:lastPrinted>
  <dcterms:created xsi:type="dcterms:W3CDTF">2025-03-10T16:37:00Z</dcterms:created>
  <dcterms:modified xsi:type="dcterms:W3CDTF">2025-03-10T16:37:00Z</dcterms:modified>
</cp:coreProperties>
</file>