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74B" w:rsidRPr="00BD5C4C" w:rsidRDefault="0049474B" w:rsidP="0049474B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Обґрунтування</w:t>
      </w:r>
    </w:p>
    <w:p w:rsidR="0049474B" w:rsidRPr="0049474B" w:rsidRDefault="0049474B" w:rsidP="0049474B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схвалення проєкту рішення НКРЕКП, що має ознаки регуляторного акта, – постанови НКРЕКП «Про затвердження Змін до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Правил ринку</w:t>
      </w: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CA42DB" w:rsidRPr="00A6501A" w:rsidRDefault="00CA42DB" w:rsidP="0049474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57D5" w:rsidRPr="00BD5C4C" w:rsidRDefault="001145F3" w:rsidP="001657D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 лютого</w:t>
      </w:r>
      <w:r w:rsidR="001657D5" w:rsidRPr="00BD5C4C">
        <w:rPr>
          <w:sz w:val="28"/>
          <w:szCs w:val="28"/>
        </w:rPr>
        <w:t xml:space="preserve"> 202</w:t>
      </w:r>
      <w:r w:rsidR="001657D5">
        <w:rPr>
          <w:sz w:val="28"/>
          <w:szCs w:val="28"/>
        </w:rPr>
        <w:t>5</w:t>
      </w:r>
      <w:r w:rsidR="001657D5" w:rsidRPr="00BD5C4C">
        <w:rPr>
          <w:sz w:val="28"/>
          <w:szCs w:val="28"/>
        </w:rPr>
        <w:t xml:space="preserve"> року </w:t>
      </w:r>
      <w:r>
        <w:rPr>
          <w:sz w:val="28"/>
          <w:szCs w:val="28"/>
        </w:rPr>
        <w:t>набрав чинності</w:t>
      </w:r>
      <w:r w:rsidR="001657D5" w:rsidRPr="00BD5C4C">
        <w:rPr>
          <w:sz w:val="28"/>
          <w:szCs w:val="28"/>
        </w:rPr>
        <w:t xml:space="preserve"> Закон України «Про внесення змін </w:t>
      </w:r>
      <w:r w:rsidR="001657D5" w:rsidRPr="001657D5">
        <w:rPr>
          <w:sz w:val="28"/>
          <w:szCs w:val="28"/>
        </w:rPr>
        <w:t>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</w:t>
      </w:r>
      <w:r w:rsidR="001657D5" w:rsidRPr="00BD5C4C">
        <w:rPr>
          <w:sz w:val="28"/>
          <w:szCs w:val="28"/>
        </w:rPr>
        <w:t>» № </w:t>
      </w:r>
      <w:r w:rsidR="001657D5">
        <w:rPr>
          <w:sz w:val="28"/>
          <w:szCs w:val="28"/>
        </w:rPr>
        <w:t>4213</w:t>
      </w:r>
      <w:r w:rsidR="001657D5" w:rsidRPr="00BD5C4C">
        <w:rPr>
          <w:sz w:val="28"/>
          <w:szCs w:val="28"/>
        </w:rPr>
        <w:t>-IX (далі – Закон № </w:t>
      </w:r>
      <w:r w:rsidR="001657D5">
        <w:rPr>
          <w:sz w:val="28"/>
          <w:szCs w:val="28"/>
        </w:rPr>
        <w:t>4213</w:t>
      </w:r>
      <w:r w:rsidR="001657D5" w:rsidRPr="00BD5C4C">
        <w:rPr>
          <w:sz w:val="28"/>
          <w:szCs w:val="28"/>
        </w:rPr>
        <w:t>-IX), яким передбачається внесення змін до</w:t>
      </w:r>
      <w:r w:rsidR="001657D5">
        <w:rPr>
          <w:sz w:val="28"/>
          <w:szCs w:val="28"/>
        </w:rPr>
        <w:t xml:space="preserve"> деяких</w:t>
      </w:r>
      <w:r w:rsidR="001657D5" w:rsidRPr="00BD5C4C">
        <w:rPr>
          <w:sz w:val="28"/>
          <w:szCs w:val="28"/>
        </w:rPr>
        <w:t xml:space="preserve"> законів України, зокрема</w:t>
      </w:r>
      <w:r w:rsidR="001657D5">
        <w:rPr>
          <w:sz w:val="28"/>
          <w:szCs w:val="28"/>
        </w:rPr>
        <w:t xml:space="preserve"> Закону України </w:t>
      </w:r>
      <w:r w:rsidR="001657D5" w:rsidRPr="00BD5C4C">
        <w:rPr>
          <w:sz w:val="28"/>
          <w:szCs w:val="28"/>
        </w:rPr>
        <w:t>«Про ринок електричної енергії» (далі – Закон про ринок)</w:t>
      </w:r>
      <w:r w:rsidR="001657D5">
        <w:rPr>
          <w:sz w:val="28"/>
          <w:szCs w:val="28"/>
        </w:rPr>
        <w:t xml:space="preserve"> та Закону України</w:t>
      </w:r>
      <w:r w:rsidR="001657D5" w:rsidRPr="00BD5C4C">
        <w:rPr>
          <w:sz w:val="28"/>
          <w:szCs w:val="28"/>
        </w:rPr>
        <w:t xml:space="preserve"> «Про </w:t>
      </w:r>
      <w:r w:rsidR="001657D5">
        <w:rPr>
          <w:sz w:val="28"/>
          <w:szCs w:val="28"/>
        </w:rPr>
        <w:t>альтернативні джерела енергії</w:t>
      </w:r>
      <w:r w:rsidR="001657D5" w:rsidRPr="00BD5C4C">
        <w:rPr>
          <w:sz w:val="28"/>
          <w:szCs w:val="28"/>
        </w:rPr>
        <w:t>»</w:t>
      </w:r>
      <w:r w:rsidR="001657D5">
        <w:rPr>
          <w:sz w:val="28"/>
          <w:szCs w:val="28"/>
        </w:rPr>
        <w:t>.</w:t>
      </w:r>
    </w:p>
    <w:p w:rsidR="001657D5" w:rsidRDefault="001145F3" w:rsidP="001657D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657D5" w:rsidRPr="00BD5C4C">
        <w:rPr>
          <w:sz w:val="28"/>
          <w:szCs w:val="28"/>
        </w:rPr>
        <w:t xml:space="preserve">ідповідно до пункту </w:t>
      </w:r>
      <w:r w:rsidR="001657D5">
        <w:rPr>
          <w:sz w:val="28"/>
          <w:szCs w:val="28"/>
        </w:rPr>
        <w:t>7</w:t>
      </w:r>
      <w:r w:rsidR="001657D5" w:rsidRPr="00BD5C4C">
        <w:rPr>
          <w:sz w:val="28"/>
          <w:szCs w:val="28"/>
        </w:rPr>
        <w:t xml:space="preserve"> розділу ІІ Закону № </w:t>
      </w:r>
      <w:r w:rsidR="001657D5">
        <w:rPr>
          <w:sz w:val="28"/>
          <w:szCs w:val="28"/>
        </w:rPr>
        <w:t>4213</w:t>
      </w:r>
      <w:r w:rsidR="001657D5" w:rsidRPr="00BD5C4C">
        <w:rPr>
          <w:sz w:val="28"/>
          <w:szCs w:val="28"/>
        </w:rPr>
        <w:t>-IX</w:t>
      </w:r>
      <w:r w:rsidR="001657D5">
        <w:rPr>
          <w:sz w:val="28"/>
          <w:szCs w:val="28"/>
        </w:rPr>
        <w:t>,</w:t>
      </w:r>
      <w:r w:rsidR="001657D5" w:rsidRPr="00BD5C4C">
        <w:rPr>
          <w:sz w:val="28"/>
          <w:szCs w:val="28"/>
        </w:rPr>
        <w:t xml:space="preserve"> Національній комісії, що здійснює державне регулювання у сферах енергетики та комунальних послуг (далі – НКРЕКП)</w:t>
      </w:r>
      <w:r w:rsidR="00DF2168" w:rsidRPr="0031191B">
        <w:rPr>
          <w:sz w:val="28"/>
          <w:szCs w:val="28"/>
        </w:rPr>
        <w:t>,</w:t>
      </w:r>
      <w:r w:rsidR="001657D5">
        <w:rPr>
          <w:sz w:val="28"/>
          <w:szCs w:val="28"/>
        </w:rPr>
        <w:t xml:space="preserve"> </w:t>
      </w:r>
      <w:r w:rsidR="001657D5" w:rsidRPr="00BD5C4C">
        <w:rPr>
          <w:sz w:val="28"/>
          <w:szCs w:val="28"/>
        </w:rPr>
        <w:t>необхідно протягом шести міс</w:t>
      </w:r>
      <w:r w:rsidR="00F615AB">
        <w:rPr>
          <w:sz w:val="28"/>
          <w:szCs w:val="28"/>
        </w:rPr>
        <w:t xml:space="preserve">яців з дня набрання чинності </w:t>
      </w:r>
      <w:r w:rsidR="001657D5" w:rsidRPr="00BD5C4C">
        <w:rPr>
          <w:sz w:val="28"/>
          <w:szCs w:val="28"/>
        </w:rPr>
        <w:t>Законом</w:t>
      </w:r>
      <w:r w:rsidR="00F615AB">
        <w:rPr>
          <w:sz w:val="28"/>
          <w:szCs w:val="28"/>
        </w:rPr>
        <w:t xml:space="preserve"> № 4213-ІХ</w:t>
      </w:r>
      <w:r w:rsidR="001657D5" w:rsidRPr="00BD5C4C">
        <w:rPr>
          <w:sz w:val="28"/>
          <w:szCs w:val="28"/>
        </w:rPr>
        <w:t xml:space="preserve"> приве</w:t>
      </w:r>
      <w:r>
        <w:rPr>
          <w:sz w:val="28"/>
          <w:szCs w:val="28"/>
        </w:rPr>
        <w:t>сти</w:t>
      </w:r>
      <w:r w:rsidR="001657D5" w:rsidRPr="00BD5C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свої </w:t>
      </w:r>
      <w:r w:rsidR="001657D5" w:rsidRPr="00BD5C4C">
        <w:rPr>
          <w:sz w:val="28"/>
          <w:szCs w:val="28"/>
        </w:rPr>
        <w:t>нормативно-правов</w:t>
      </w:r>
      <w:r>
        <w:rPr>
          <w:sz w:val="28"/>
          <w:szCs w:val="28"/>
        </w:rPr>
        <w:t>і</w:t>
      </w:r>
      <w:r w:rsidR="001657D5" w:rsidRPr="00BD5C4C">
        <w:rPr>
          <w:sz w:val="28"/>
          <w:szCs w:val="28"/>
        </w:rPr>
        <w:t xml:space="preserve"> акт</w:t>
      </w:r>
      <w:r>
        <w:rPr>
          <w:sz w:val="28"/>
          <w:szCs w:val="28"/>
        </w:rPr>
        <w:t>и</w:t>
      </w:r>
      <w:r w:rsidR="00F615AB">
        <w:rPr>
          <w:sz w:val="28"/>
          <w:szCs w:val="28"/>
        </w:rPr>
        <w:t xml:space="preserve"> у відповідність із</w:t>
      </w:r>
      <w:r w:rsidR="001657D5" w:rsidRPr="00BD5C4C">
        <w:rPr>
          <w:sz w:val="28"/>
          <w:szCs w:val="28"/>
        </w:rPr>
        <w:t xml:space="preserve"> Законом</w:t>
      </w:r>
      <w:r w:rsidR="00F615AB">
        <w:rPr>
          <w:sz w:val="28"/>
          <w:szCs w:val="28"/>
        </w:rPr>
        <w:t xml:space="preserve"> № 4213-ІХ</w:t>
      </w:r>
      <w:r w:rsidR="001657D5" w:rsidRPr="00BD5C4C">
        <w:rPr>
          <w:sz w:val="28"/>
          <w:szCs w:val="28"/>
        </w:rPr>
        <w:t>.</w:t>
      </w:r>
    </w:p>
    <w:p w:rsidR="005777EA" w:rsidRDefault="00873202" w:rsidP="0049474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Так, пунктом 15</w:t>
      </w:r>
      <w:r w:rsidRPr="0049474B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>2</w:t>
      </w: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розділу </w:t>
      </w:r>
      <w:r w:rsidR="005777EA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XVII «Прикінцеві та перехідні положення» Закону про ринок у редакції Закону № 4213-IX, встановлено, що тимчасово, на період дії правового режиму воєнного стану в Україні, введеного Указом Президента України від 24 лютого 2022 року </w:t>
      </w:r>
      <w:hyperlink r:id="rId7" w:tgtFrame="_blank" w:history="1">
        <w:r w:rsidR="005777EA" w:rsidRPr="0049474B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№ 64/2022</w:t>
        </w:r>
      </w:hyperlink>
      <w:r w:rsidR="005777EA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«Про введення воєнного стану в Україні», затвердженим Законом України «Про затвердження Указу Президента України «Про введення воєнного стану в Україні» від 24 лютого 2022 року </w:t>
      </w:r>
      <w:hyperlink r:id="rId8" w:tgtFrame="_blank" w:history="1">
        <w:r w:rsidR="005777EA" w:rsidRPr="0049474B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№ 2102-IX</w:t>
        </w:r>
      </w:hyperlink>
      <w:r w:rsidR="005777EA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 поданням оператора системи передачі або оператора систем розподілу електропостачальники (крім постачальника універсальних послуг та постачальника «останньої надії») набувають статусу «Переддефолтний» та «Дефолтний» у разі несплати за надані у період дії воєнного стану оператором системи передачі або оператором систем розподілу послуги з передачі та/або розподілу електричної енергії до 15 числа місяця, наступного за розрахунковим. Порядок набуття та припинення такими електропостачальниками статусу «Переддефолтний» та «Дефолтний» визначається Регулятором.</w:t>
      </w:r>
    </w:p>
    <w:p w:rsidR="006B0B97" w:rsidRPr="0049474B" w:rsidRDefault="006B0B97" w:rsidP="006B0B97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Разом з цим, а</w:t>
      </w:r>
      <w:r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бзац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ами</w:t>
      </w:r>
      <w:r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F2168" w:rsidRPr="003119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другим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третім</w:t>
      </w:r>
      <w:r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пункту 9 розділу XVII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про ринок у редакції Закону № 4213-IX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передбачено, що г</w:t>
      </w:r>
      <w:r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ранична нижня межа обов’язкового місячного обсягу продажу електричної енергії виробниками (крім виробників, які здійснюють виробництво електричної енергії з альтернативних джерел енергії) та імпортерами на ринку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добу наперед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не може бути меншою 10 відсотків їхнього місячного обсягу продажу електричної енергії відповідно до правил ринку.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Тимчасово, до 1 квітня 2025 року, положення абзацу другого цього пункту щодо обов’язкового місячного обсягу продажу електричної енергії на ринку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добу наперед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не застосовується до імпортерів.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49474B" w:rsidRPr="0049474B" w:rsidRDefault="0049474B" w:rsidP="0049474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Ураховуючи викладене, Департаментом енергоринку розроблено проєкт постанови НКРЕКП «Про затвердження Змін до Правил ринку», яким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визначається порядок </w:t>
      </w: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набуття та припинення електропостачальниками статусу «Переддефолтний»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«Дефолтний» у разі несплати ними за над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ані у період дії воєнного стану </w:t>
      </w: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оператором системи передачі або оператором систем розподілу послуги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передачі та/або розподілу електричної енергії до 15 числа місяця, наступного за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розрахунковим</w:t>
      </w:r>
      <w:r w:rsid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та</w:t>
      </w:r>
      <w:r w:rsidR="00D04E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яким</w:t>
      </w:r>
      <w:r w:rsid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уточняється </w:t>
      </w:r>
      <w:r w:rsidR="006B0B97"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граничн</w:t>
      </w:r>
      <w:r w:rsid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6B0B97"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нижн</w:t>
      </w:r>
      <w:r w:rsid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</w:t>
      </w:r>
      <w:r w:rsidR="006B0B97"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меж</w:t>
      </w:r>
      <w:r w:rsid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6B0B97"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обов’язкового місячного обсягу продажу електричної енергії на ринку </w:t>
      </w:r>
      <w:r w:rsid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6B0B97" w:rsidRP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добу наперед</w:t>
      </w:r>
      <w:r w:rsidR="006B0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», на виконання положень </w:t>
      </w:r>
      <w:r w:rsidR="006B0B97"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№ 4213-IX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49474B" w:rsidRPr="0049474B" w:rsidRDefault="0049474B" w:rsidP="0049474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Ураховуючи зазначене, Департамент енергоринку пропонує: </w:t>
      </w:r>
    </w:p>
    <w:p w:rsidR="0049474B" w:rsidRPr="0049474B" w:rsidRDefault="0049474B" w:rsidP="0049474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Схвалити проєкт постанови НКРЕКП «Про затвердження Змін до Правил ринку», що має ознаки регуляторного акта.</w:t>
      </w:r>
    </w:p>
    <w:p w:rsidR="0049474B" w:rsidRPr="0049474B" w:rsidRDefault="0049474B" w:rsidP="0049474B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Оприлюднити проєкт постанови НКРЕКП «Про затвердження Змін до Правил ринку»,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</w:t>
      </w:r>
      <w:proofErr w:type="spellStart"/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Pr="004947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НКРЕКП (http://nerc.gov.ua) з метою одержання зауважень і пропозицій.</w:t>
      </w:r>
    </w:p>
    <w:p w:rsidR="00210115" w:rsidRPr="00A6501A" w:rsidRDefault="00210115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3869" w:rsidRDefault="00FA3869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B97" w:rsidRDefault="006B0B97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201D" w:rsidRPr="00A6501A" w:rsidRDefault="00D153DB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E3DA3" w:rsidRPr="00A6501A">
        <w:rPr>
          <w:rFonts w:ascii="Times New Roman" w:hAnsi="Times New Roman" w:cs="Times New Roman"/>
          <w:b/>
          <w:sz w:val="28"/>
          <w:szCs w:val="28"/>
          <w:lang w:val="uk-UA"/>
        </w:rPr>
        <w:t>иректор</w:t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153DB" w:rsidRPr="00A6501A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55E" w:rsidRPr="00A6501A">
        <w:rPr>
          <w:rFonts w:ascii="Times New Roman" w:hAnsi="Times New Roman" w:cs="Times New Roman"/>
          <w:b/>
          <w:sz w:val="28"/>
          <w:szCs w:val="28"/>
          <w:lang w:val="uk-UA"/>
        </w:rPr>
        <w:t>енергоринку</w:t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1F201D"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E549C1" w:rsidRPr="00A6501A">
        <w:rPr>
          <w:rFonts w:ascii="Times New Roman" w:hAnsi="Times New Roman" w:cs="Times New Roman"/>
          <w:b/>
          <w:sz w:val="28"/>
          <w:szCs w:val="28"/>
          <w:lang w:val="uk-UA"/>
        </w:rPr>
        <w:t>Ілля СІДОРОВ</w:t>
      </w:r>
    </w:p>
    <w:p w:rsidR="001E3DA3" w:rsidRPr="00A6501A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1E3DA3" w:rsidRPr="00A6501A" w:rsidSect="0085237E">
      <w:headerReference w:type="default" r:id="rId9"/>
      <w:pgSz w:w="11906" w:h="16838"/>
      <w:pgMar w:top="993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48B" w:rsidRDefault="0008648B" w:rsidP="002433DF">
      <w:pPr>
        <w:spacing w:after="0" w:line="240" w:lineRule="auto"/>
      </w:pPr>
      <w:r>
        <w:separator/>
      </w:r>
    </w:p>
  </w:endnote>
  <w:endnote w:type="continuationSeparator" w:id="0">
    <w:p w:rsidR="0008648B" w:rsidRDefault="0008648B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48B" w:rsidRDefault="0008648B" w:rsidP="002433DF">
      <w:pPr>
        <w:spacing w:after="0" w:line="240" w:lineRule="auto"/>
      </w:pPr>
      <w:r>
        <w:separator/>
      </w:r>
    </w:p>
  </w:footnote>
  <w:footnote w:type="continuationSeparator" w:id="0">
    <w:p w:rsidR="0008648B" w:rsidRDefault="0008648B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077230"/>
      <w:docPartObj>
        <w:docPartGallery w:val="Page Numbers (Top of Page)"/>
        <w:docPartUnique/>
      </w:docPartObj>
    </w:sdtPr>
    <w:sdtEndPr/>
    <w:sdtContent>
      <w:p w:rsidR="002433DF" w:rsidRDefault="002433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91B" w:rsidRPr="0031191B">
          <w:rPr>
            <w:noProof/>
            <w:lang w:val="uk-UA"/>
          </w:rPr>
          <w:t>2</w:t>
        </w:r>
        <w:r>
          <w:fldChar w:fldCharType="end"/>
        </w:r>
      </w:p>
    </w:sdtContent>
  </w:sdt>
  <w:p w:rsidR="002433DF" w:rsidRDefault="002433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093"/>
    <w:rsid w:val="0004572A"/>
    <w:rsid w:val="000825A9"/>
    <w:rsid w:val="0008648B"/>
    <w:rsid w:val="000A5593"/>
    <w:rsid w:val="000B348B"/>
    <w:rsid w:val="000D3F0D"/>
    <w:rsid w:val="000E4B5D"/>
    <w:rsid w:val="000F4E55"/>
    <w:rsid w:val="000F63F7"/>
    <w:rsid w:val="001145F3"/>
    <w:rsid w:val="0014613A"/>
    <w:rsid w:val="00152141"/>
    <w:rsid w:val="001657D5"/>
    <w:rsid w:val="00173B82"/>
    <w:rsid w:val="001D7507"/>
    <w:rsid w:val="001E3DA3"/>
    <w:rsid w:val="001F098A"/>
    <w:rsid w:val="001F201D"/>
    <w:rsid w:val="00201619"/>
    <w:rsid w:val="00201D42"/>
    <w:rsid w:val="00210115"/>
    <w:rsid w:val="00211057"/>
    <w:rsid w:val="002278FA"/>
    <w:rsid w:val="002433DF"/>
    <w:rsid w:val="002446AD"/>
    <w:rsid w:val="00295DD1"/>
    <w:rsid w:val="00297850"/>
    <w:rsid w:val="002A1A2B"/>
    <w:rsid w:val="002C063E"/>
    <w:rsid w:val="002C1C3E"/>
    <w:rsid w:val="002C29E7"/>
    <w:rsid w:val="002F25B1"/>
    <w:rsid w:val="00303A2F"/>
    <w:rsid w:val="0031191B"/>
    <w:rsid w:val="003843B6"/>
    <w:rsid w:val="003A5E10"/>
    <w:rsid w:val="003E0798"/>
    <w:rsid w:val="003F3EDF"/>
    <w:rsid w:val="003F4995"/>
    <w:rsid w:val="003F6AA7"/>
    <w:rsid w:val="004477F0"/>
    <w:rsid w:val="00447CD3"/>
    <w:rsid w:val="00485BF6"/>
    <w:rsid w:val="0049474B"/>
    <w:rsid w:val="004949DB"/>
    <w:rsid w:val="004C3D6C"/>
    <w:rsid w:val="004D2098"/>
    <w:rsid w:val="004E4720"/>
    <w:rsid w:val="004E5F96"/>
    <w:rsid w:val="005056DB"/>
    <w:rsid w:val="00507ED4"/>
    <w:rsid w:val="00510572"/>
    <w:rsid w:val="00533F1A"/>
    <w:rsid w:val="00564D6B"/>
    <w:rsid w:val="005777EA"/>
    <w:rsid w:val="0058360C"/>
    <w:rsid w:val="00585186"/>
    <w:rsid w:val="00592255"/>
    <w:rsid w:val="005B50E1"/>
    <w:rsid w:val="005B5A63"/>
    <w:rsid w:val="005E6702"/>
    <w:rsid w:val="00603A23"/>
    <w:rsid w:val="00615705"/>
    <w:rsid w:val="00624FBB"/>
    <w:rsid w:val="0069025D"/>
    <w:rsid w:val="006A6C4B"/>
    <w:rsid w:val="006B0B97"/>
    <w:rsid w:val="006B4833"/>
    <w:rsid w:val="006E4A43"/>
    <w:rsid w:val="006F482C"/>
    <w:rsid w:val="00701E4F"/>
    <w:rsid w:val="00723778"/>
    <w:rsid w:val="007248DB"/>
    <w:rsid w:val="00732FDC"/>
    <w:rsid w:val="00745D76"/>
    <w:rsid w:val="00755FF2"/>
    <w:rsid w:val="00766EC1"/>
    <w:rsid w:val="007A30B6"/>
    <w:rsid w:val="007B5943"/>
    <w:rsid w:val="007C3678"/>
    <w:rsid w:val="007E4019"/>
    <w:rsid w:val="007E7EB6"/>
    <w:rsid w:val="007F5D4B"/>
    <w:rsid w:val="0080055E"/>
    <w:rsid w:val="00826048"/>
    <w:rsid w:val="008447E4"/>
    <w:rsid w:val="0085237E"/>
    <w:rsid w:val="00873202"/>
    <w:rsid w:val="00880540"/>
    <w:rsid w:val="00885996"/>
    <w:rsid w:val="008A2FCC"/>
    <w:rsid w:val="008E711B"/>
    <w:rsid w:val="008F44ED"/>
    <w:rsid w:val="00903013"/>
    <w:rsid w:val="0096475D"/>
    <w:rsid w:val="009B7C4C"/>
    <w:rsid w:val="009C073C"/>
    <w:rsid w:val="009F5D8B"/>
    <w:rsid w:val="00A60DB8"/>
    <w:rsid w:val="00A6501A"/>
    <w:rsid w:val="00A6624A"/>
    <w:rsid w:val="00A94732"/>
    <w:rsid w:val="00AA6AD9"/>
    <w:rsid w:val="00AC0052"/>
    <w:rsid w:val="00AD2093"/>
    <w:rsid w:val="00B01A4E"/>
    <w:rsid w:val="00B13EA1"/>
    <w:rsid w:val="00B23991"/>
    <w:rsid w:val="00B4142D"/>
    <w:rsid w:val="00B449B7"/>
    <w:rsid w:val="00B50454"/>
    <w:rsid w:val="00B549DF"/>
    <w:rsid w:val="00B7008A"/>
    <w:rsid w:val="00B71D70"/>
    <w:rsid w:val="00B75546"/>
    <w:rsid w:val="00B76EAB"/>
    <w:rsid w:val="00B97982"/>
    <w:rsid w:val="00BC1843"/>
    <w:rsid w:val="00BD7E0E"/>
    <w:rsid w:val="00C142B6"/>
    <w:rsid w:val="00C64363"/>
    <w:rsid w:val="00C82A05"/>
    <w:rsid w:val="00CA42DB"/>
    <w:rsid w:val="00CD0231"/>
    <w:rsid w:val="00CD0DC0"/>
    <w:rsid w:val="00CF550C"/>
    <w:rsid w:val="00D04EA2"/>
    <w:rsid w:val="00D05D0F"/>
    <w:rsid w:val="00D153DB"/>
    <w:rsid w:val="00D55312"/>
    <w:rsid w:val="00D649C4"/>
    <w:rsid w:val="00D7301D"/>
    <w:rsid w:val="00DF2168"/>
    <w:rsid w:val="00E01928"/>
    <w:rsid w:val="00E01CE3"/>
    <w:rsid w:val="00E31F86"/>
    <w:rsid w:val="00E45F3E"/>
    <w:rsid w:val="00E466D8"/>
    <w:rsid w:val="00E53CDC"/>
    <w:rsid w:val="00E549C1"/>
    <w:rsid w:val="00E85EB4"/>
    <w:rsid w:val="00E87EED"/>
    <w:rsid w:val="00EB1DFC"/>
    <w:rsid w:val="00F12606"/>
    <w:rsid w:val="00F215C2"/>
    <w:rsid w:val="00F61278"/>
    <w:rsid w:val="00F615AB"/>
    <w:rsid w:val="00F94114"/>
    <w:rsid w:val="00F95603"/>
    <w:rsid w:val="00F96F72"/>
    <w:rsid w:val="00FA3869"/>
    <w:rsid w:val="00FE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6572A-06A9-47C7-8F29-199D7212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33DF"/>
  </w:style>
  <w:style w:type="paragraph" w:styleId="a7">
    <w:name w:val="Body Text Indent"/>
    <w:basedOn w:val="a"/>
    <w:link w:val="a8"/>
    <w:uiPriority w:val="99"/>
    <w:rsid w:val="00B2399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B23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7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07ED4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EB1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Hyperlink"/>
    <w:basedOn w:val="a0"/>
    <w:uiPriority w:val="99"/>
    <w:unhideWhenUsed/>
    <w:rsid w:val="007248DB"/>
    <w:rPr>
      <w:color w:val="0000FF" w:themeColor="hyperlink"/>
      <w:u w:val="single"/>
    </w:rPr>
  </w:style>
  <w:style w:type="paragraph" w:customStyle="1" w:styleId="rvps2">
    <w:name w:val="rvps2"/>
    <w:basedOn w:val="a"/>
    <w:rsid w:val="00577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02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64/202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432BB-0EA8-41FF-BFDE-ED7523DB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2521</Words>
  <Characters>1437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Анжеліка Безкоровайна</cp:lastModifiedBy>
  <cp:revision>14</cp:revision>
  <cp:lastPrinted>2022-02-23T07:20:00Z</cp:lastPrinted>
  <dcterms:created xsi:type="dcterms:W3CDTF">2025-02-10T14:31:00Z</dcterms:created>
  <dcterms:modified xsi:type="dcterms:W3CDTF">2025-02-26T07:10:00Z</dcterms:modified>
</cp:coreProperties>
</file>