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Layout w:type="fixed"/>
        <w:tblLook w:val="00A0" w:firstRow="1" w:lastRow="0" w:firstColumn="1" w:lastColumn="0" w:noHBand="0" w:noVBand="0"/>
      </w:tblPr>
      <w:tblGrid>
        <w:gridCol w:w="7230"/>
        <w:gridCol w:w="2410"/>
      </w:tblGrid>
      <w:tr w:rsidR="00757E64" w:rsidRPr="00757E64" w14:paraId="768EAA3C" w14:textId="77777777" w:rsidTr="00AE42E3">
        <w:trPr>
          <w:trHeight w:val="853"/>
        </w:trPr>
        <w:tc>
          <w:tcPr>
            <w:tcW w:w="7230" w:type="dxa"/>
          </w:tcPr>
          <w:p w14:paraId="0049C13E" w14:textId="77777777" w:rsidR="00757E64" w:rsidRPr="00757E64" w:rsidRDefault="00757E64" w:rsidP="00CA3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8870BF1" w14:textId="77777777" w:rsidR="00757E64" w:rsidRPr="00EA4A5F" w:rsidRDefault="00757E64" w:rsidP="00757E6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4A5F">
              <w:rPr>
                <w:rFonts w:ascii="Times New Roman" w:hAnsi="Times New Roman" w:cs="Times New Roman"/>
                <w:sz w:val="27"/>
                <w:szCs w:val="27"/>
              </w:rPr>
              <w:t>Голові НКРЕКП</w:t>
            </w:r>
          </w:p>
          <w:p w14:paraId="5FE1DAAB" w14:textId="77777777" w:rsidR="00757E64" w:rsidRPr="00757E64" w:rsidRDefault="00757E64" w:rsidP="00757E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4A5F">
              <w:rPr>
                <w:rFonts w:ascii="Times New Roman" w:hAnsi="Times New Roman" w:cs="Times New Roman"/>
                <w:sz w:val="27"/>
                <w:szCs w:val="27"/>
              </w:rPr>
              <w:t>Членам НКРЕКП</w:t>
            </w:r>
          </w:p>
        </w:tc>
      </w:tr>
    </w:tbl>
    <w:p w14:paraId="5A25B103" w14:textId="77777777" w:rsidR="00273D37" w:rsidRPr="00EA4A5F" w:rsidRDefault="00273D37" w:rsidP="00F333FB">
      <w:pPr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Обґрунтування</w:t>
      </w:r>
    </w:p>
    <w:p w14:paraId="7304AB9C" w14:textId="4AE60BC7" w:rsidR="002E5CE7" w:rsidRPr="00EA4A5F" w:rsidRDefault="00273D37" w:rsidP="00FE0386">
      <w:pPr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щодо схвалення </w:t>
      </w:r>
      <w:proofErr w:type="spellStart"/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проєкту</w:t>
      </w:r>
      <w:proofErr w:type="spellEnd"/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рішення, що має ознаки регуляторного </w:t>
      </w:r>
      <w:proofErr w:type="spellStart"/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акта</w:t>
      </w:r>
      <w:proofErr w:type="spellEnd"/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 – постанови Національної комісії, що здійснює державне регулювання у сферах енергетики та комунальних послуг «</w:t>
      </w:r>
      <w:r w:rsidR="00FE0386" w:rsidRPr="00FE03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 визнання такою, що втратила чинність, постанови </w:t>
      </w:r>
      <w:r w:rsidR="00BB047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НКРЕКП</w:t>
      </w:r>
      <w:r w:rsidR="00FE03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FE0386" w:rsidRPr="00FE03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від 10 березня 2021 року № 390</w:t>
      </w:r>
      <w:r w:rsidR="003E2F3F"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14:paraId="1538729D" w14:textId="77777777" w:rsidR="00273D37" w:rsidRPr="00EA4A5F" w:rsidRDefault="00273D37" w:rsidP="00273D37">
      <w:pPr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18BBEF3" w14:textId="510F7A7A" w:rsidR="00BA08E0" w:rsidRDefault="001D3705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Законом України від 14.01.2025 № </w:t>
      </w:r>
      <w:r w:rsidRPr="001D37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4213-IX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1D3705">
        <w:rPr>
          <w:rFonts w:ascii="Times New Roman" w:hAnsi="Times New Roman" w:cs="Times New Roman"/>
          <w:color w:val="000000" w:themeColor="text1"/>
          <w:sz w:val="27"/>
          <w:szCs w:val="27"/>
        </w:rPr>
        <w:t>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», який </w:t>
      </w:r>
      <w:r w:rsidR="00405B2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набрав чинності 09.02.2025, </w:t>
      </w:r>
      <w:proofErr w:type="spellStart"/>
      <w:r w:rsidR="001A46B3">
        <w:rPr>
          <w:rFonts w:ascii="Times New Roman" w:hAnsi="Times New Roman" w:cs="Times New Roman"/>
          <w:color w:val="000000" w:themeColor="text1"/>
          <w:sz w:val="27"/>
          <w:szCs w:val="27"/>
        </w:rPr>
        <w:t>у</w:t>
      </w:r>
      <w:r w:rsidR="00405B2E">
        <w:rPr>
          <w:rFonts w:ascii="Times New Roman" w:hAnsi="Times New Roman" w:cs="Times New Roman"/>
          <w:color w:val="000000" w:themeColor="text1"/>
          <w:sz w:val="27"/>
          <w:szCs w:val="27"/>
        </w:rPr>
        <w:t>несено</w:t>
      </w:r>
      <w:proofErr w:type="spellEnd"/>
      <w:r w:rsidR="00405B2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зокрема зміни до статті 66 </w:t>
      </w:r>
      <w:r w:rsidR="00405B2E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Закону України «Про ринок електричної енергії»</w:t>
      </w:r>
      <w:r w:rsidR="008B71C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CA7833">
        <w:rPr>
          <w:rFonts w:ascii="Times New Roman" w:hAnsi="Times New Roman" w:cs="Times New Roman"/>
          <w:color w:val="000000" w:themeColor="text1"/>
          <w:sz w:val="27"/>
          <w:szCs w:val="27"/>
        </w:rPr>
        <w:t>відповідно до яких с</w:t>
      </w:r>
      <w:r w:rsidR="00CA7833" w:rsidRPr="00CA783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торони двостороннього договору, що входять до складу одного вертикально інтегрованого суб’єкта або є афілійованими між собою, інформують про договірні обсяги купівлі-продажу електричної енергії за укладеними договорами в порядку та строки, визначені Регулятором відповідно до </w:t>
      </w:r>
      <w:r w:rsidR="00C01D94">
        <w:rPr>
          <w:rFonts w:ascii="Times New Roman" w:hAnsi="Times New Roman" w:cs="Times New Roman"/>
          <w:color w:val="000000" w:themeColor="text1"/>
          <w:sz w:val="27"/>
          <w:szCs w:val="27"/>
        </w:rPr>
        <w:t>П</w:t>
      </w:r>
      <w:r w:rsidR="00CA7833" w:rsidRPr="00CA7833">
        <w:rPr>
          <w:rFonts w:ascii="Times New Roman" w:hAnsi="Times New Roman" w:cs="Times New Roman"/>
          <w:color w:val="000000" w:themeColor="text1"/>
          <w:sz w:val="27"/>
          <w:szCs w:val="27"/>
        </w:rPr>
        <w:t>орядку подання інформації про здійснені господарсько-торговельні операції, пов’язані з оптовими енергетичними продуктами</w:t>
      </w:r>
      <w:r w:rsidR="003B1FBB">
        <w:rPr>
          <w:rFonts w:ascii="Times New Roman" w:hAnsi="Times New Roman" w:cs="Times New Roman"/>
          <w:color w:val="000000" w:themeColor="text1"/>
          <w:sz w:val="27"/>
          <w:szCs w:val="27"/>
        </w:rPr>
        <w:t>, затвердженого постановою НКРЕКП від 27.03.2024 № 618.</w:t>
      </w:r>
    </w:p>
    <w:p w14:paraId="0D112F99" w14:textId="59835939" w:rsidR="00F412A3" w:rsidRPr="00EA4A5F" w:rsidRDefault="008D02C6" w:rsidP="00BA08E0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 огляду на зазначене, Департамент розслідувань зловживань на оптових енергетичних ринках та моніторингу звітності 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пропонує схвалити проєкт постанови «</w:t>
      </w:r>
      <w:r w:rsidR="00BA08E0" w:rsidRPr="00BA08E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 визнання такою, що втратила чинність, постанови </w:t>
      </w:r>
      <w:r w:rsidR="00BB0472">
        <w:rPr>
          <w:rFonts w:ascii="Times New Roman" w:hAnsi="Times New Roman" w:cs="Times New Roman"/>
          <w:color w:val="000000" w:themeColor="text1"/>
          <w:sz w:val="27"/>
          <w:szCs w:val="27"/>
        </w:rPr>
        <w:t>НКРЕКП</w:t>
      </w:r>
      <w:r w:rsidR="00BA08E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BA08E0" w:rsidRPr="00BA08E0">
        <w:rPr>
          <w:rFonts w:ascii="Times New Roman" w:hAnsi="Times New Roman" w:cs="Times New Roman"/>
          <w:color w:val="000000" w:themeColor="text1"/>
          <w:sz w:val="27"/>
          <w:szCs w:val="27"/>
        </w:rPr>
        <w:t>від</w:t>
      </w:r>
      <w:r w:rsidR="00DC164F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BA08E0" w:rsidRPr="00BA08E0">
        <w:rPr>
          <w:rFonts w:ascii="Times New Roman" w:hAnsi="Times New Roman" w:cs="Times New Roman"/>
          <w:color w:val="000000" w:themeColor="text1"/>
          <w:sz w:val="27"/>
          <w:szCs w:val="27"/>
        </w:rPr>
        <w:t>10</w:t>
      </w:r>
      <w:r w:rsidR="00DC164F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BA08E0" w:rsidRPr="00BA08E0">
        <w:rPr>
          <w:rFonts w:ascii="Times New Roman" w:hAnsi="Times New Roman" w:cs="Times New Roman"/>
          <w:color w:val="000000" w:themeColor="text1"/>
          <w:sz w:val="27"/>
          <w:szCs w:val="27"/>
        </w:rPr>
        <w:t>березня 2021 року № 390</w:t>
      </w:r>
      <w:r w:rsidR="003E2F3F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, що має ознаки регуляторного акта</w:t>
      </w:r>
      <w:r w:rsidR="00A16E83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та розмістити його на офіційному вебсайті HKPEKП www.nerc.</w:t>
      </w:r>
      <w:r w:rsidR="0084633F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g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ov.ua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  <w:bookmarkStart w:id="0" w:name="_GoBack"/>
      <w:bookmarkEnd w:id="0"/>
    </w:p>
    <w:p w14:paraId="675BBBB3" w14:textId="77777777" w:rsidR="007C0237" w:rsidRDefault="007C0237" w:rsidP="00A155BC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453CA7EE" w14:textId="77777777" w:rsidR="00A16E83" w:rsidRPr="00EA4A5F" w:rsidRDefault="00A16E83" w:rsidP="00A155BC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43033080" w14:textId="77777777" w:rsidR="00A155BC" w:rsidRPr="00AE42E3" w:rsidRDefault="00A155BC" w:rsidP="00A155BC">
      <w:pPr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Директор Департаменту розслідувань </w:t>
      </w:r>
    </w:p>
    <w:p w14:paraId="6C686C93" w14:textId="77777777" w:rsidR="00A155BC" w:rsidRPr="00AE42E3" w:rsidRDefault="00A155BC" w:rsidP="00A155BC">
      <w:pPr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зловживань на оптових енергетичних </w:t>
      </w:r>
    </w:p>
    <w:p w14:paraId="7D1A2794" w14:textId="77777777" w:rsidR="00E04223" w:rsidRPr="00AE42E3" w:rsidRDefault="00A155BC">
      <w:pPr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ринках та моніторингу звітності</w:t>
      </w: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  <w:t xml:space="preserve">        </w:t>
      </w:r>
      <w:r w:rsidR="001E0F54"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</w:t>
      </w: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Тетяна МІЩЕНЕНКО</w:t>
      </w:r>
    </w:p>
    <w:sectPr w:rsidR="00E04223" w:rsidRPr="00AE42E3" w:rsidSect="00AE42E3">
      <w:pgSz w:w="11906" w:h="16838"/>
      <w:pgMar w:top="851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02024"/>
    <w:multiLevelType w:val="hybridMultilevel"/>
    <w:tmpl w:val="72C44474"/>
    <w:lvl w:ilvl="0" w:tplc="361A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95F57"/>
    <w:multiLevelType w:val="hybridMultilevel"/>
    <w:tmpl w:val="2362C436"/>
    <w:lvl w:ilvl="0" w:tplc="03449CD6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B911DA"/>
    <w:multiLevelType w:val="hybridMultilevel"/>
    <w:tmpl w:val="F8A447C4"/>
    <w:lvl w:ilvl="0" w:tplc="2F067F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CE7"/>
    <w:rsid w:val="00011C98"/>
    <w:rsid w:val="00012E17"/>
    <w:rsid w:val="00030E56"/>
    <w:rsid w:val="000A7EA6"/>
    <w:rsid w:val="000B3C23"/>
    <w:rsid w:val="000D7C5F"/>
    <w:rsid w:val="000E31F7"/>
    <w:rsid w:val="000E6A40"/>
    <w:rsid w:val="00120AB7"/>
    <w:rsid w:val="00161768"/>
    <w:rsid w:val="001A46B3"/>
    <w:rsid w:val="001B6C0A"/>
    <w:rsid w:val="001D3705"/>
    <w:rsid w:val="001E0F54"/>
    <w:rsid w:val="00214FDA"/>
    <w:rsid w:val="0024483C"/>
    <w:rsid w:val="0024509F"/>
    <w:rsid w:val="00273D37"/>
    <w:rsid w:val="002767BB"/>
    <w:rsid w:val="00284BA6"/>
    <w:rsid w:val="002C6E88"/>
    <w:rsid w:val="002D33C0"/>
    <w:rsid w:val="002E1498"/>
    <w:rsid w:val="002E40DE"/>
    <w:rsid w:val="002E5CE7"/>
    <w:rsid w:val="003127BE"/>
    <w:rsid w:val="0032284B"/>
    <w:rsid w:val="00346DBC"/>
    <w:rsid w:val="003A5A79"/>
    <w:rsid w:val="003B1FBB"/>
    <w:rsid w:val="003E2F3F"/>
    <w:rsid w:val="00402FFA"/>
    <w:rsid w:val="00405B2E"/>
    <w:rsid w:val="00426647"/>
    <w:rsid w:val="004269E7"/>
    <w:rsid w:val="00432E10"/>
    <w:rsid w:val="00452AD8"/>
    <w:rsid w:val="00461101"/>
    <w:rsid w:val="004612E3"/>
    <w:rsid w:val="004A45E8"/>
    <w:rsid w:val="004D11F1"/>
    <w:rsid w:val="004F0BDE"/>
    <w:rsid w:val="00512B18"/>
    <w:rsid w:val="00517734"/>
    <w:rsid w:val="00534D11"/>
    <w:rsid w:val="00561E68"/>
    <w:rsid w:val="005E36CE"/>
    <w:rsid w:val="005E54B9"/>
    <w:rsid w:val="005E6AA0"/>
    <w:rsid w:val="006027B6"/>
    <w:rsid w:val="00616523"/>
    <w:rsid w:val="006310A9"/>
    <w:rsid w:val="0063523E"/>
    <w:rsid w:val="00693168"/>
    <w:rsid w:val="00695E80"/>
    <w:rsid w:val="006B0D30"/>
    <w:rsid w:val="006B6F44"/>
    <w:rsid w:val="006C6654"/>
    <w:rsid w:val="006D411F"/>
    <w:rsid w:val="00720FE9"/>
    <w:rsid w:val="00757E64"/>
    <w:rsid w:val="0076302A"/>
    <w:rsid w:val="007807FA"/>
    <w:rsid w:val="00782C7A"/>
    <w:rsid w:val="007C0237"/>
    <w:rsid w:val="00823108"/>
    <w:rsid w:val="0084633F"/>
    <w:rsid w:val="00895794"/>
    <w:rsid w:val="008B71C5"/>
    <w:rsid w:val="008D02C6"/>
    <w:rsid w:val="008E6B46"/>
    <w:rsid w:val="0091509F"/>
    <w:rsid w:val="00931F3C"/>
    <w:rsid w:val="00972D56"/>
    <w:rsid w:val="009B617C"/>
    <w:rsid w:val="009C514E"/>
    <w:rsid w:val="009C72F0"/>
    <w:rsid w:val="009F7AA3"/>
    <w:rsid w:val="00A04059"/>
    <w:rsid w:val="00A063FC"/>
    <w:rsid w:val="00A155BC"/>
    <w:rsid w:val="00A16E83"/>
    <w:rsid w:val="00A509D7"/>
    <w:rsid w:val="00A81242"/>
    <w:rsid w:val="00AC377A"/>
    <w:rsid w:val="00AE42E3"/>
    <w:rsid w:val="00AF675B"/>
    <w:rsid w:val="00B12AE5"/>
    <w:rsid w:val="00B57A6F"/>
    <w:rsid w:val="00B853E2"/>
    <w:rsid w:val="00BA08E0"/>
    <w:rsid w:val="00BA684C"/>
    <w:rsid w:val="00BB0472"/>
    <w:rsid w:val="00BB5592"/>
    <w:rsid w:val="00BC6510"/>
    <w:rsid w:val="00C01D94"/>
    <w:rsid w:val="00C060D5"/>
    <w:rsid w:val="00C12636"/>
    <w:rsid w:val="00C50667"/>
    <w:rsid w:val="00C80967"/>
    <w:rsid w:val="00C82036"/>
    <w:rsid w:val="00CA33AC"/>
    <w:rsid w:val="00CA7833"/>
    <w:rsid w:val="00CC744C"/>
    <w:rsid w:val="00CE57C9"/>
    <w:rsid w:val="00D05151"/>
    <w:rsid w:val="00D15A0F"/>
    <w:rsid w:val="00D23B73"/>
    <w:rsid w:val="00D32087"/>
    <w:rsid w:val="00D52BF9"/>
    <w:rsid w:val="00D76224"/>
    <w:rsid w:val="00D762C3"/>
    <w:rsid w:val="00D86D30"/>
    <w:rsid w:val="00D95CA9"/>
    <w:rsid w:val="00DA2363"/>
    <w:rsid w:val="00DB4156"/>
    <w:rsid w:val="00DC164F"/>
    <w:rsid w:val="00DC3136"/>
    <w:rsid w:val="00DE74C0"/>
    <w:rsid w:val="00E04223"/>
    <w:rsid w:val="00E641AF"/>
    <w:rsid w:val="00E9536D"/>
    <w:rsid w:val="00EA4A5F"/>
    <w:rsid w:val="00EC64BF"/>
    <w:rsid w:val="00EC6D64"/>
    <w:rsid w:val="00F333FB"/>
    <w:rsid w:val="00F412A3"/>
    <w:rsid w:val="00F95936"/>
    <w:rsid w:val="00F95B4F"/>
    <w:rsid w:val="00FB4063"/>
    <w:rsid w:val="00FE0386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EC3A1"/>
  <w15:docId w15:val="{1F45F1A2-6A35-4F11-8B34-69252791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F7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a4">
    <w:name w:val="Revision"/>
    <w:hidden/>
    <w:uiPriority w:val="99"/>
    <w:semiHidden/>
    <w:rsid w:val="000A7EA6"/>
  </w:style>
  <w:style w:type="paragraph" w:styleId="a5">
    <w:name w:val="Balloon Text"/>
    <w:basedOn w:val="a"/>
    <w:link w:val="a6"/>
    <w:uiPriority w:val="99"/>
    <w:semiHidden/>
    <w:unhideWhenUsed/>
    <w:rsid w:val="00CA33A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A33AC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155B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CC744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C744C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CC744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C744C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CC74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7BA06-3038-4641-95F1-6CFAC9BDB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user04</cp:lastModifiedBy>
  <cp:revision>9</cp:revision>
  <cp:lastPrinted>2023-08-16T08:50:00Z</cp:lastPrinted>
  <dcterms:created xsi:type="dcterms:W3CDTF">2025-01-22T07:44:00Z</dcterms:created>
  <dcterms:modified xsi:type="dcterms:W3CDTF">2025-02-25T14:59:00Z</dcterms:modified>
</cp:coreProperties>
</file>