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89ED79" w14:textId="77777777" w:rsidR="00CC0D36" w:rsidRPr="00F364A9" w:rsidRDefault="00CC0D36" w:rsidP="00CC0D36">
      <w:pPr>
        <w:jc w:val="center"/>
        <w:rPr>
          <w:b/>
          <w:sz w:val="28"/>
          <w:szCs w:val="28"/>
        </w:rPr>
      </w:pPr>
      <w:r w:rsidRPr="00F364A9">
        <w:rPr>
          <w:sz w:val="28"/>
          <w:szCs w:val="28"/>
        </w:rPr>
        <w:t>НАЦІОНАЛЬНА КОМІСІЯ, ЩО ЗДІЙСНЮЄ ДЕРЖАВНЕ РЕГУЛЮВАННЯ У СФЕРАХ ЕНЕРГЕТИКИ ТА КОМУНАЛЬНИХ ПОСЛУГ</w:t>
      </w:r>
    </w:p>
    <w:p w14:paraId="6E682607" w14:textId="77777777" w:rsidR="00CC0D36" w:rsidRPr="00F364A9" w:rsidRDefault="00CC0D36" w:rsidP="00CC0D36">
      <w:pPr>
        <w:jc w:val="center"/>
        <w:rPr>
          <w:b/>
          <w:sz w:val="28"/>
          <w:szCs w:val="28"/>
        </w:rPr>
      </w:pPr>
    </w:p>
    <w:p w14:paraId="2C87CA0A" w14:textId="77777777" w:rsidR="00CC0D36" w:rsidRPr="00F364A9" w:rsidRDefault="00CC0D36" w:rsidP="00CC0D36">
      <w:pPr>
        <w:jc w:val="center"/>
        <w:rPr>
          <w:b/>
          <w:sz w:val="28"/>
          <w:szCs w:val="28"/>
        </w:rPr>
      </w:pPr>
      <w:r w:rsidRPr="00F364A9">
        <w:rPr>
          <w:b/>
          <w:sz w:val="28"/>
          <w:szCs w:val="28"/>
          <w:lang w:val="uk-UA"/>
        </w:rPr>
        <w:t>Аналіз впливу проєкту постанови Національної комісії, що здійснює державне регулювання у сферах енергетики та комунальних послуг «Про визнання такою, що втратила чинність, постанови НКРЕКП від 10 березня 2021 року № 390», що має ознаки регуляторного акта</w:t>
      </w:r>
    </w:p>
    <w:p w14:paraId="23E7D4F0" w14:textId="77777777" w:rsidR="00143180" w:rsidRPr="00F364A9" w:rsidRDefault="00143180">
      <w:pPr>
        <w:rPr>
          <w:sz w:val="28"/>
          <w:szCs w:val="28"/>
          <w:lang w:val="uk-UA"/>
        </w:rPr>
      </w:pPr>
    </w:p>
    <w:p w14:paraId="67AE76AF" w14:textId="77777777" w:rsidR="00CC0D36" w:rsidRPr="00F364A9" w:rsidRDefault="00CC0D36" w:rsidP="00CA1137">
      <w:pPr>
        <w:ind w:left="709"/>
        <w:jc w:val="center"/>
        <w:rPr>
          <w:b/>
          <w:sz w:val="28"/>
          <w:szCs w:val="28"/>
          <w:lang w:val="uk-UA"/>
        </w:rPr>
      </w:pPr>
      <w:r w:rsidRPr="00F364A9">
        <w:rPr>
          <w:b/>
          <w:sz w:val="28"/>
          <w:szCs w:val="28"/>
          <w:lang w:val="en-US"/>
        </w:rPr>
        <w:t>I</w:t>
      </w:r>
      <w:r w:rsidRPr="00F364A9">
        <w:rPr>
          <w:b/>
          <w:sz w:val="28"/>
          <w:szCs w:val="28"/>
        </w:rPr>
        <w:t>.</w:t>
      </w:r>
      <w:r w:rsidRPr="00F364A9">
        <w:rPr>
          <w:b/>
          <w:sz w:val="28"/>
          <w:szCs w:val="28"/>
          <w:lang w:val="en-US"/>
        </w:rPr>
        <w:t> </w:t>
      </w:r>
      <w:r w:rsidRPr="00F364A9">
        <w:rPr>
          <w:b/>
          <w:sz w:val="28"/>
          <w:szCs w:val="28"/>
          <w:lang w:val="uk-UA"/>
        </w:rPr>
        <w:t>Визначення проблеми</w:t>
      </w:r>
    </w:p>
    <w:p w14:paraId="2B0BF3AA" w14:textId="50CD16C7" w:rsidR="00CC0D36" w:rsidRPr="00F364A9" w:rsidRDefault="00CC0D36" w:rsidP="00CC0D36">
      <w:pPr>
        <w:ind w:firstLine="709"/>
        <w:jc w:val="both"/>
        <w:rPr>
          <w:rFonts w:eastAsia="Calibri"/>
          <w:sz w:val="28"/>
          <w:szCs w:val="28"/>
          <w:lang w:val="uk-UA"/>
        </w:rPr>
      </w:pPr>
      <w:bookmarkStart w:id="0" w:name="_Hlk154559075"/>
      <w:bookmarkStart w:id="1" w:name="_Hlk154581824"/>
      <w:r w:rsidRPr="00F364A9">
        <w:rPr>
          <w:rFonts w:eastAsia="Calibri"/>
          <w:sz w:val="28"/>
          <w:szCs w:val="28"/>
          <w:lang w:val="uk-UA"/>
        </w:rPr>
        <w:t>Статтями 17 та 20 Закону України «Про Національну комісію, що здійснює державне регулювання у сферах енергетики та комунальних послуг» та статтею</w:t>
      </w:r>
      <w:r w:rsidR="00CF52E4" w:rsidRPr="00F364A9">
        <w:rPr>
          <w:rFonts w:eastAsia="Calibri"/>
          <w:sz w:val="28"/>
          <w:szCs w:val="28"/>
          <w:lang w:val="en-US"/>
        </w:rPr>
        <w:t> </w:t>
      </w:r>
      <w:r w:rsidRPr="00F364A9">
        <w:rPr>
          <w:rFonts w:eastAsia="Calibri"/>
          <w:sz w:val="28"/>
          <w:szCs w:val="28"/>
          <w:lang w:val="uk-UA"/>
        </w:rPr>
        <w:t xml:space="preserve">6 </w:t>
      </w:r>
      <w:bookmarkStart w:id="2" w:name="_Hlk190704713"/>
      <w:r w:rsidRPr="00F364A9">
        <w:rPr>
          <w:rFonts w:eastAsia="Calibri"/>
          <w:sz w:val="28"/>
          <w:szCs w:val="28"/>
          <w:lang w:val="uk-UA"/>
        </w:rPr>
        <w:t xml:space="preserve">Закону України «Про ринок електричної енергії» </w:t>
      </w:r>
      <w:bookmarkEnd w:id="2"/>
      <w:r w:rsidRPr="00F364A9">
        <w:rPr>
          <w:rFonts w:eastAsia="Calibri"/>
          <w:sz w:val="28"/>
          <w:szCs w:val="28"/>
          <w:lang w:val="uk-UA"/>
        </w:rPr>
        <w:t>передбачено, що до повноважень Національної комісії, що здійснює державне регулювання у сферах енергетики та комунальних послуг (далі – НКРЕКП), зокрема належить здійснення моніторингу ринку електричної енергії та затвердження форм звітності для суб'єктів господарювання, що провадять діяльність на ринку електричної енергії.</w:t>
      </w:r>
    </w:p>
    <w:p w14:paraId="048F7D4E" w14:textId="269029CE" w:rsidR="00CC0D36" w:rsidRPr="00F364A9" w:rsidRDefault="00CC0D36" w:rsidP="00CC0D36">
      <w:pPr>
        <w:ind w:firstLine="709"/>
        <w:jc w:val="both"/>
        <w:rPr>
          <w:rFonts w:eastAsia="Calibri"/>
          <w:sz w:val="28"/>
          <w:szCs w:val="28"/>
          <w:lang w:val="uk-UA"/>
        </w:rPr>
      </w:pPr>
      <w:r w:rsidRPr="00F364A9">
        <w:rPr>
          <w:rFonts w:eastAsia="Calibri"/>
          <w:sz w:val="28"/>
          <w:szCs w:val="28"/>
          <w:lang w:val="uk-UA"/>
        </w:rPr>
        <w:t>Законом України від 14.01.2025 № 4213-IX «Про внесення змін до деяких законів України у сферах енергетики і теплопостачання щодо удосконалення окремих положень, пов’язаних із веденням господарської діяльності та дією воєнного стану в Україні», який набрав чинності 09.02.2025, унесено, зокрема зміни до статті 66 Закону України «Про ринок електричної енергії», відповідно до яких сторони двостороннього договору, що входять до складу одного вертикально інтегрованого суб’єкта або є афілійованими між собою, інформують про договірні обсяги купівлі-продажу електричної енергії за укладеними договорами в порядку та строки, визначені Регулятором відповідно до Порядку подання інформації про здійснені господарсько-торговельні операції, пов’язані з оптовими енергетичними продуктами, затвердженого постановою НКРЕКП від</w:t>
      </w:r>
      <w:r w:rsidR="007401BE" w:rsidRPr="00F364A9">
        <w:rPr>
          <w:rFonts w:eastAsia="Calibri"/>
          <w:sz w:val="28"/>
          <w:szCs w:val="28"/>
          <w:lang w:val="en-US"/>
        </w:rPr>
        <w:t> </w:t>
      </w:r>
      <w:r w:rsidRPr="00F364A9">
        <w:rPr>
          <w:rFonts w:eastAsia="Calibri"/>
          <w:sz w:val="28"/>
          <w:szCs w:val="28"/>
          <w:lang w:val="uk-UA"/>
        </w:rPr>
        <w:t>27.03.2024 № 618.</w:t>
      </w:r>
    </w:p>
    <w:p w14:paraId="0FC6C3D3" w14:textId="3B13F94E" w:rsidR="00CC0D36" w:rsidRPr="00F364A9" w:rsidRDefault="00354CBB" w:rsidP="00CC0D36">
      <w:pPr>
        <w:ind w:firstLine="709"/>
        <w:jc w:val="both"/>
        <w:rPr>
          <w:rFonts w:eastAsia="Calibri"/>
          <w:sz w:val="28"/>
          <w:szCs w:val="28"/>
          <w:lang w:val="uk-UA"/>
        </w:rPr>
      </w:pPr>
      <w:r w:rsidRPr="00F364A9">
        <w:rPr>
          <w:rFonts w:eastAsia="Calibri"/>
          <w:sz w:val="28"/>
          <w:szCs w:val="28"/>
          <w:lang w:val="uk-UA"/>
        </w:rPr>
        <w:t>У зв’язку з цим, п</w:t>
      </w:r>
      <w:r w:rsidR="00CC0D36" w:rsidRPr="00F364A9">
        <w:rPr>
          <w:rFonts w:eastAsia="Calibri"/>
          <w:sz w:val="28"/>
          <w:szCs w:val="28"/>
          <w:lang w:val="uk-UA"/>
        </w:rPr>
        <w:t xml:space="preserve">ропонується визнати </w:t>
      </w:r>
      <w:r w:rsidR="00CC0D36" w:rsidRPr="00F364A9">
        <w:rPr>
          <w:color w:val="000000"/>
          <w:sz w:val="28"/>
          <w:szCs w:val="28"/>
          <w:lang w:val="uk-UA"/>
        </w:rPr>
        <w:t>постанову Національної комісії, що здійснює державне регулювання у сферах енергетики та комунальних послуг, від 10 березня 2021 року № 390 такою, що втратила чинність.</w:t>
      </w:r>
    </w:p>
    <w:bookmarkEnd w:id="0"/>
    <w:bookmarkEnd w:id="1"/>
    <w:p w14:paraId="575328C1" w14:textId="2EB33BC2" w:rsidR="00CC0D36" w:rsidRDefault="00CC0D36" w:rsidP="00CC0D36">
      <w:pPr>
        <w:ind w:firstLine="709"/>
        <w:jc w:val="both"/>
        <w:rPr>
          <w:sz w:val="28"/>
          <w:szCs w:val="28"/>
          <w:lang w:val="uk-UA"/>
        </w:rPr>
      </w:pPr>
      <w:r w:rsidRPr="00F364A9">
        <w:rPr>
          <w:sz w:val="28"/>
          <w:szCs w:val="28"/>
          <w:lang w:val="uk-UA"/>
        </w:rPr>
        <w:t>Проблема справляє вплив на ліцензіатів НКРЕКП, які є суб’єктами господарювання, що входять до складу одного вертикально інтегрованого суб’єкта або є афілійованими між собою</w:t>
      </w:r>
      <w:r w:rsidR="00C0007F" w:rsidRPr="00F364A9">
        <w:rPr>
          <w:sz w:val="28"/>
          <w:szCs w:val="28"/>
          <w:lang w:val="uk-UA"/>
        </w:rPr>
        <w:t>:</w:t>
      </w:r>
    </w:p>
    <w:p w14:paraId="2D08533A" w14:textId="77777777" w:rsidR="00003FFE" w:rsidRPr="00003FFE" w:rsidRDefault="00003FFE" w:rsidP="00CC0D36">
      <w:pPr>
        <w:ind w:firstLine="709"/>
        <w:jc w:val="both"/>
        <w:rPr>
          <w:sz w:val="18"/>
          <w:szCs w:val="28"/>
          <w:lang w:val="uk-UA"/>
        </w:rPr>
      </w:pPr>
    </w:p>
    <w:tbl>
      <w:tblPr>
        <w:tblW w:w="9639"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3678"/>
        <w:gridCol w:w="2598"/>
        <w:gridCol w:w="3363"/>
      </w:tblGrid>
      <w:tr w:rsidR="00CC0D36" w:rsidRPr="00F364A9" w14:paraId="0515B950" w14:textId="77777777" w:rsidTr="002236A0">
        <w:tc>
          <w:tcPr>
            <w:tcW w:w="0" w:type="auto"/>
            <w:shd w:val="clear" w:color="auto" w:fill="FFFFFF"/>
            <w:tcMar>
              <w:top w:w="225" w:type="dxa"/>
              <w:left w:w="75" w:type="dxa"/>
              <w:bottom w:w="225" w:type="dxa"/>
              <w:right w:w="75" w:type="dxa"/>
            </w:tcMar>
            <w:vAlign w:val="bottom"/>
            <w:hideMark/>
          </w:tcPr>
          <w:p w14:paraId="63345178" w14:textId="77777777" w:rsidR="00CC0D36" w:rsidRPr="00F364A9" w:rsidRDefault="00CC0D36" w:rsidP="00CC0D36">
            <w:pPr>
              <w:rPr>
                <w:b/>
                <w:bCs/>
                <w:lang w:val="uk-UA"/>
              </w:rPr>
            </w:pPr>
            <w:r w:rsidRPr="00F364A9">
              <w:rPr>
                <w:b/>
                <w:bCs/>
                <w:lang w:val="uk-UA"/>
              </w:rPr>
              <w:t>Групи (підгрупи)</w:t>
            </w:r>
          </w:p>
        </w:tc>
        <w:tc>
          <w:tcPr>
            <w:tcW w:w="3172" w:type="dxa"/>
            <w:shd w:val="clear" w:color="auto" w:fill="FFFFFF"/>
            <w:tcMar>
              <w:top w:w="225" w:type="dxa"/>
              <w:left w:w="75" w:type="dxa"/>
              <w:bottom w:w="225" w:type="dxa"/>
              <w:right w:w="75" w:type="dxa"/>
            </w:tcMar>
            <w:vAlign w:val="bottom"/>
            <w:hideMark/>
          </w:tcPr>
          <w:p w14:paraId="692644FA" w14:textId="77777777" w:rsidR="00CC0D36" w:rsidRPr="00F364A9" w:rsidRDefault="00CC0D36" w:rsidP="00CC0D36">
            <w:pPr>
              <w:rPr>
                <w:b/>
                <w:bCs/>
                <w:lang w:val="uk-UA"/>
              </w:rPr>
            </w:pPr>
            <w:r w:rsidRPr="00F364A9">
              <w:rPr>
                <w:b/>
                <w:bCs/>
                <w:lang w:val="uk-UA"/>
              </w:rPr>
              <w:t>Так</w:t>
            </w:r>
          </w:p>
        </w:tc>
        <w:tc>
          <w:tcPr>
            <w:tcW w:w="0" w:type="auto"/>
            <w:shd w:val="clear" w:color="auto" w:fill="FFFFFF"/>
            <w:tcMar>
              <w:top w:w="225" w:type="dxa"/>
              <w:left w:w="75" w:type="dxa"/>
              <w:bottom w:w="225" w:type="dxa"/>
              <w:right w:w="75" w:type="dxa"/>
            </w:tcMar>
            <w:vAlign w:val="bottom"/>
            <w:hideMark/>
          </w:tcPr>
          <w:p w14:paraId="7C312998" w14:textId="77777777" w:rsidR="00CC0D36" w:rsidRPr="00F364A9" w:rsidRDefault="00CC0D36" w:rsidP="00CC0D36">
            <w:pPr>
              <w:rPr>
                <w:b/>
                <w:bCs/>
                <w:lang w:val="uk-UA"/>
              </w:rPr>
            </w:pPr>
            <w:r w:rsidRPr="00F364A9">
              <w:rPr>
                <w:b/>
                <w:bCs/>
                <w:lang w:val="uk-UA"/>
              </w:rPr>
              <w:t>Ні</w:t>
            </w:r>
          </w:p>
        </w:tc>
      </w:tr>
      <w:tr w:rsidR="00CC0D36" w:rsidRPr="00F364A9" w14:paraId="5A428A8A" w14:textId="77777777" w:rsidTr="002236A0">
        <w:tc>
          <w:tcPr>
            <w:tcW w:w="4199" w:type="dxa"/>
            <w:shd w:val="clear" w:color="auto" w:fill="FFFFFF"/>
            <w:tcMar>
              <w:top w:w="225" w:type="dxa"/>
              <w:left w:w="75" w:type="dxa"/>
              <w:bottom w:w="225" w:type="dxa"/>
              <w:right w:w="75" w:type="dxa"/>
            </w:tcMar>
            <w:hideMark/>
          </w:tcPr>
          <w:p w14:paraId="2D72E6BD" w14:textId="77777777" w:rsidR="00CC0D36" w:rsidRPr="00F364A9" w:rsidRDefault="00CC0D36" w:rsidP="00CC0D36">
            <w:pPr>
              <w:rPr>
                <w:lang w:val="uk-UA"/>
              </w:rPr>
            </w:pPr>
            <w:r w:rsidRPr="00F364A9">
              <w:rPr>
                <w:lang w:val="uk-UA"/>
              </w:rPr>
              <w:t>Громадяни</w:t>
            </w:r>
          </w:p>
        </w:tc>
        <w:tc>
          <w:tcPr>
            <w:tcW w:w="3172" w:type="dxa"/>
            <w:shd w:val="clear" w:color="auto" w:fill="FFFFFF"/>
            <w:tcMar>
              <w:top w:w="225" w:type="dxa"/>
              <w:left w:w="75" w:type="dxa"/>
              <w:bottom w:w="225" w:type="dxa"/>
              <w:right w:w="75" w:type="dxa"/>
            </w:tcMar>
            <w:hideMark/>
          </w:tcPr>
          <w:p w14:paraId="2C0AAEBD" w14:textId="77777777" w:rsidR="00CC0D36" w:rsidRPr="00F364A9" w:rsidRDefault="00CC0D36" w:rsidP="00CC0D36">
            <w:pPr>
              <w:rPr>
                <w:lang w:val="uk-UA"/>
              </w:rPr>
            </w:pPr>
          </w:p>
        </w:tc>
        <w:tc>
          <w:tcPr>
            <w:tcW w:w="4201" w:type="dxa"/>
            <w:shd w:val="clear" w:color="auto" w:fill="FFFFFF"/>
            <w:tcMar>
              <w:top w:w="225" w:type="dxa"/>
              <w:left w:w="75" w:type="dxa"/>
              <w:bottom w:w="225" w:type="dxa"/>
              <w:right w:w="75" w:type="dxa"/>
            </w:tcMar>
            <w:hideMark/>
          </w:tcPr>
          <w:p w14:paraId="30DE467A" w14:textId="3B72B9C5" w:rsidR="00CC0D36" w:rsidRPr="00F364A9" w:rsidRDefault="00C0007F" w:rsidP="00CC0D36">
            <w:pPr>
              <w:rPr>
                <w:lang w:val="uk-UA"/>
              </w:rPr>
            </w:pPr>
            <w:r w:rsidRPr="00F364A9">
              <w:rPr>
                <w:b/>
                <w:bCs/>
                <w:lang w:val="uk-UA"/>
              </w:rPr>
              <w:t>Ні</w:t>
            </w:r>
          </w:p>
        </w:tc>
      </w:tr>
      <w:tr w:rsidR="00CC0D36" w:rsidRPr="00F364A9" w14:paraId="192D6680" w14:textId="77777777" w:rsidTr="002236A0">
        <w:tc>
          <w:tcPr>
            <w:tcW w:w="4199" w:type="dxa"/>
            <w:shd w:val="clear" w:color="auto" w:fill="FFFFFF"/>
            <w:tcMar>
              <w:top w:w="225" w:type="dxa"/>
              <w:left w:w="75" w:type="dxa"/>
              <w:bottom w:w="225" w:type="dxa"/>
              <w:right w:w="75" w:type="dxa"/>
            </w:tcMar>
            <w:hideMark/>
          </w:tcPr>
          <w:p w14:paraId="45C9B044" w14:textId="77777777" w:rsidR="00CC0D36" w:rsidRPr="00F364A9" w:rsidRDefault="00CC0D36" w:rsidP="00CC0D36">
            <w:pPr>
              <w:rPr>
                <w:lang w:val="uk-UA"/>
              </w:rPr>
            </w:pPr>
            <w:r w:rsidRPr="00F364A9">
              <w:rPr>
                <w:lang w:val="uk-UA"/>
              </w:rPr>
              <w:t>Держава</w:t>
            </w:r>
          </w:p>
        </w:tc>
        <w:tc>
          <w:tcPr>
            <w:tcW w:w="3172" w:type="dxa"/>
            <w:shd w:val="clear" w:color="auto" w:fill="FFFFFF"/>
            <w:tcMar>
              <w:top w:w="225" w:type="dxa"/>
              <w:left w:w="75" w:type="dxa"/>
              <w:bottom w:w="225" w:type="dxa"/>
              <w:right w:w="75" w:type="dxa"/>
            </w:tcMar>
            <w:hideMark/>
          </w:tcPr>
          <w:p w14:paraId="657BFC43" w14:textId="77777777" w:rsidR="00CC0D36" w:rsidRPr="00F364A9" w:rsidRDefault="00CC0D36" w:rsidP="00CC0D36">
            <w:pPr>
              <w:rPr>
                <w:lang w:val="uk-UA"/>
              </w:rPr>
            </w:pPr>
          </w:p>
        </w:tc>
        <w:tc>
          <w:tcPr>
            <w:tcW w:w="4201" w:type="dxa"/>
            <w:shd w:val="clear" w:color="auto" w:fill="FFFFFF"/>
            <w:tcMar>
              <w:top w:w="225" w:type="dxa"/>
              <w:left w:w="75" w:type="dxa"/>
              <w:bottom w:w="225" w:type="dxa"/>
              <w:right w:w="75" w:type="dxa"/>
            </w:tcMar>
            <w:hideMark/>
          </w:tcPr>
          <w:p w14:paraId="60899531" w14:textId="291838E8" w:rsidR="00CC0D36" w:rsidRPr="00F364A9" w:rsidRDefault="00C0007F" w:rsidP="00CC0D36">
            <w:pPr>
              <w:rPr>
                <w:lang w:val="uk-UA"/>
              </w:rPr>
            </w:pPr>
            <w:r w:rsidRPr="00F364A9">
              <w:rPr>
                <w:b/>
                <w:bCs/>
                <w:lang w:val="uk-UA"/>
              </w:rPr>
              <w:t>Ні</w:t>
            </w:r>
          </w:p>
        </w:tc>
      </w:tr>
      <w:tr w:rsidR="00CC0D36" w:rsidRPr="00F364A9" w14:paraId="4D99731D" w14:textId="77777777" w:rsidTr="002236A0">
        <w:tc>
          <w:tcPr>
            <w:tcW w:w="4199" w:type="dxa"/>
            <w:shd w:val="clear" w:color="auto" w:fill="FFFFFF"/>
            <w:tcMar>
              <w:top w:w="225" w:type="dxa"/>
              <w:left w:w="75" w:type="dxa"/>
              <w:bottom w:w="225" w:type="dxa"/>
              <w:right w:w="75" w:type="dxa"/>
            </w:tcMar>
            <w:hideMark/>
          </w:tcPr>
          <w:p w14:paraId="7DC1ECFA" w14:textId="77777777" w:rsidR="00CC0D36" w:rsidRPr="00F364A9" w:rsidRDefault="00CC0D36" w:rsidP="00CC0D36">
            <w:pPr>
              <w:rPr>
                <w:lang w:val="uk-UA"/>
              </w:rPr>
            </w:pPr>
            <w:r w:rsidRPr="00F364A9">
              <w:rPr>
                <w:lang w:val="uk-UA"/>
              </w:rPr>
              <w:t>Суб'єкти господарювання</w:t>
            </w:r>
          </w:p>
        </w:tc>
        <w:tc>
          <w:tcPr>
            <w:tcW w:w="3172" w:type="dxa"/>
            <w:shd w:val="clear" w:color="auto" w:fill="FFFFFF"/>
            <w:tcMar>
              <w:top w:w="225" w:type="dxa"/>
              <w:left w:w="75" w:type="dxa"/>
              <w:bottom w:w="225" w:type="dxa"/>
              <w:right w:w="75" w:type="dxa"/>
            </w:tcMar>
            <w:hideMark/>
          </w:tcPr>
          <w:p w14:paraId="13AD20AB" w14:textId="1A4F8B18" w:rsidR="00CC0D36" w:rsidRPr="00F364A9" w:rsidRDefault="00C0007F" w:rsidP="00CC0D36">
            <w:pPr>
              <w:rPr>
                <w:lang w:val="uk-UA"/>
              </w:rPr>
            </w:pPr>
            <w:r w:rsidRPr="00F364A9">
              <w:rPr>
                <w:b/>
                <w:bCs/>
                <w:lang w:val="uk-UA"/>
              </w:rPr>
              <w:t>Так</w:t>
            </w:r>
          </w:p>
        </w:tc>
        <w:tc>
          <w:tcPr>
            <w:tcW w:w="0" w:type="auto"/>
            <w:shd w:val="clear" w:color="auto" w:fill="FFFFFF"/>
            <w:vAlign w:val="center"/>
            <w:hideMark/>
          </w:tcPr>
          <w:p w14:paraId="73CAFEAF" w14:textId="77777777" w:rsidR="00CC0D36" w:rsidRPr="00F364A9" w:rsidRDefault="00CC0D36" w:rsidP="00CC0D36">
            <w:pPr>
              <w:rPr>
                <w:lang w:val="uk-UA"/>
              </w:rPr>
            </w:pPr>
          </w:p>
        </w:tc>
      </w:tr>
    </w:tbl>
    <w:p w14:paraId="54AF647A" w14:textId="77777777" w:rsidR="00CC0D36" w:rsidRPr="00F364A9" w:rsidRDefault="00CC0D36">
      <w:pPr>
        <w:rPr>
          <w:sz w:val="28"/>
          <w:szCs w:val="28"/>
          <w:lang w:val="uk-UA"/>
        </w:rPr>
      </w:pPr>
    </w:p>
    <w:p w14:paraId="09DA8D6B" w14:textId="77777777" w:rsidR="00C0007F" w:rsidRPr="00F364A9" w:rsidRDefault="00C0007F">
      <w:pPr>
        <w:rPr>
          <w:sz w:val="28"/>
          <w:szCs w:val="28"/>
          <w:lang w:val="uk-UA"/>
        </w:rPr>
      </w:pPr>
    </w:p>
    <w:p w14:paraId="55D9482A" w14:textId="77777777" w:rsidR="00C0007F" w:rsidRPr="00F364A9" w:rsidRDefault="00C0007F" w:rsidP="00CA1137">
      <w:pPr>
        <w:ind w:left="709"/>
        <w:jc w:val="center"/>
        <w:rPr>
          <w:b/>
          <w:sz w:val="28"/>
          <w:szCs w:val="28"/>
          <w:lang w:val="uk-UA"/>
        </w:rPr>
      </w:pPr>
      <w:r w:rsidRPr="00F364A9">
        <w:rPr>
          <w:b/>
          <w:sz w:val="28"/>
          <w:szCs w:val="28"/>
          <w:lang w:val="en-US"/>
        </w:rPr>
        <w:lastRenderedPageBreak/>
        <w:t>II</w:t>
      </w:r>
      <w:r w:rsidRPr="00F364A9">
        <w:rPr>
          <w:b/>
          <w:sz w:val="28"/>
          <w:szCs w:val="28"/>
        </w:rPr>
        <w:t>.</w:t>
      </w:r>
      <w:r w:rsidRPr="00F364A9">
        <w:rPr>
          <w:b/>
          <w:sz w:val="28"/>
          <w:szCs w:val="28"/>
          <w:lang w:val="en-US"/>
        </w:rPr>
        <w:t> </w:t>
      </w:r>
      <w:r w:rsidRPr="00F364A9">
        <w:rPr>
          <w:b/>
          <w:sz w:val="28"/>
          <w:szCs w:val="28"/>
          <w:lang w:val="uk-UA"/>
        </w:rPr>
        <w:t>Цілі державного регулювання</w:t>
      </w:r>
    </w:p>
    <w:p w14:paraId="0BB26693" w14:textId="77777777" w:rsidR="00C0007F" w:rsidRPr="00F364A9" w:rsidRDefault="00C0007F" w:rsidP="00C0007F">
      <w:pPr>
        <w:ind w:left="1077"/>
        <w:jc w:val="both"/>
        <w:rPr>
          <w:b/>
          <w:sz w:val="28"/>
          <w:szCs w:val="28"/>
          <w:lang w:val="uk-UA"/>
        </w:rPr>
      </w:pPr>
    </w:p>
    <w:p w14:paraId="5615DDC8" w14:textId="77777777" w:rsidR="00C0007F" w:rsidRPr="00F364A9" w:rsidRDefault="00C0007F" w:rsidP="00C0007F">
      <w:pPr>
        <w:ind w:firstLine="709"/>
        <w:jc w:val="both"/>
        <w:rPr>
          <w:bCs/>
          <w:sz w:val="28"/>
          <w:szCs w:val="28"/>
          <w:lang w:val="uk-UA"/>
        </w:rPr>
      </w:pPr>
      <w:r w:rsidRPr="00F364A9">
        <w:rPr>
          <w:bCs/>
          <w:sz w:val="28"/>
          <w:szCs w:val="28"/>
          <w:lang w:val="uk-UA"/>
        </w:rPr>
        <w:t xml:space="preserve">Метою прийняття постанови є забезпечення відповідності регуляторного поля у сфері електроенергетики Закону України «Про ринок електричної енергії». </w:t>
      </w:r>
    </w:p>
    <w:p w14:paraId="4D65CF94" w14:textId="77777777" w:rsidR="00C0007F" w:rsidRPr="00F364A9" w:rsidRDefault="00C0007F">
      <w:pPr>
        <w:rPr>
          <w:sz w:val="28"/>
          <w:szCs w:val="28"/>
          <w:lang w:val="uk-UA"/>
        </w:rPr>
      </w:pPr>
    </w:p>
    <w:p w14:paraId="1C543AE5" w14:textId="77777777" w:rsidR="00C0007F" w:rsidRPr="00F364A9" w:rsidRDefault="00C0007F" w:rsidP="00CA1137">
      <w:pPr>
        <w:ind w:firstLine="709"/>
        <w:jc w:val="center"/>
        <w:rPr>
          <w:b/>
          <w:sz w:val="28"/>
          <w:szCs w:val="28"/>
          <w:lang w:val="uk-UA"/>
        </w:rPr>
      </w:pPr>
      <w:r w:rsidRPr="00F364A9">
        <w:rPr>
          <w:b/>
          <w:sz w:val="28"/>
          <w:szCs w:val="28"/>
          <w:lang w:val="en-US"/>
        </w:rPr>
        <w:t>III</w:t>
      </w:r>
      <w:r w:rsidRPr="00F364A9">
        <w:rPr>
          <w:b/>
          <w:sz w:val="28"/>
          <w:szCs w:val="28"/>
        </w:rPr>
        <w:t>.</w:t>
      </w:r>
      <w:r w:rsidRPr="00F364A9">
        <w:rPr>
          <w:b/>
          <w:sz w:val="28"/>
          <w:szCs w:val="28"/>
          <w:lang w:val="en-US"/>
        </w:rPr>
        <w:t> </w:t>
      </w:r>
      <w:r w:rsidRPr="00F364A9">
        <w:rPr>
          <w:b/>
          <w:sz w:val="28"/>
          <w:szCs w:val="28"/>
          <w:lang w:val="uk-UA"/>
        </w:rPr>
        <w:t>Визначення та оцінка альтернативних способів досягнення визначених цілей</w:t>
      </w:r>
    </w:p>
    <w:p w14:paraId="2AE82D18" w14:textId="77777777" w:rsidR="00F4609A" w:rsidRPr="00F364A9" w:rsidRDefault="00F4609A" w:rsidP="00C0007F">
      <w:pPr>
        <w:ind w:firstLine="709"/>
        <w:jc w:val="both"/>
        <w:rPr>
          <w:b/>
          <w:sz w:val="28"/>
          <w:szCs w:val="28"/>
          <w:lang w:val="uk-UA"/>
        </w:rPr>
      </w:pPr>
    </w:p>
    <w:p w14:paraId="7C03B215" w14:textId="77777777" w:rsidR="00F4609A" w:rsidRPr="00F364A9" w:rsidRDefault="00F4609A" w:rsidP="00F4609A">
      <w:pPr>
        <w:pStyle w:val="21"/>
        <w:numPr>
          <w:ilvl w:val="0"/>
          <w:numId w:val="1"/>
        </w:numPr>
        <w:spacing w:after="0" w:line="240" w:lineRule="auto"/>
        <w:jc w:val="both"/>
        <w:rPr>
          <w:sz w:val="28"/>
          <w:szCs w:val="28"/>
          <w:lang w:val="uk-UA"/>
        </w:rPr>
      </w:pPr>
      <w:r w:rsidRPr="00F364A9">
        <w:rPr>
          <w:sz w:val="28"/>
          <w:szCs w:val="28"/>
          <w:lang w:val="uk-UA"/>
        </w:rPr>
        <w:t>Визначення альтернативних способів:</w:t>
      </w:r>
    </w:p>
    <w:p w14:paraId="6D98DC9C" w14:textId="77777777" w:rsidR="00C0007F" w:rsidRPr="00F364A9" w:rsidRDefault="00C0007F">
      <w:pPr>
        <w:rPr>
          <w:sz w:val="28"/>
          <w:szCs w:val="28"/>
          <w:lang w:val="uk-UA"/>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4673"/>
        <w:gridCol w:w="4966"/>
      </w:tblGrid>
      <w:tr w:rsidR="00CE331E" w:rsidRPr="00456EB5" w14:paraId="4C4F970A" w14:textId="77777777" w:rsidTr="00003FFE">
        <w:tc>
          <w:tcPr>
            <w:tcW w:w="4673" w:type="dxa"/>
            <w:shd w:val="clear" w:color="auto" w:fill="auto"/>
            <w:tcMar>
              <w:top w:w="225" w:type="dxa"/>
              <w:left w:w="75" w:type="dxa"/>
              <w:bottom w:w="225" w:type="dxa"/>
              <w:right w:w="75" w:type="dxa"/>
            </w:tcMar>
            <w:hideMark/>
          </w:tcPr>
          <w:p w14:paraId="7A4A9FE8" w14:textId="77777777" w:rsidR="00CE331E" w:rsidRPr="00456EB5" w:rsidRDefault="00CE331E" w:rsidP="00CE331E">
            <w:pPr>
              <w:rPr>
                <w:lang w:val="uk-UA"/>
              </w:rPr>
            </w:pPr>
            <w:r w:rsidRPr="00456EB5">
              <w:rPr>
                <w:lang w:val="uk-UA"/>
              </w:rPr>
              <w:t>Вид альтернативи</w:t>
            </w:r>
          </w:p>
        </w:tc>
        <w:tc>
          <w:tcPr>
            <w:tcW w:w="4966" w:type="dxa"/>
            <w:shd w:val="clear" w:color="auto" w:fill="auto"/>
            <w:tcMar>
              <w:top w:w="225" w:type="dxa"/>
              <w:left w:w="75" w:type="dxa"/>
              <w:bottom w:w="225" w:type="dxa"/>
              <w:right w:w="75" w:type="dxa"/>
            </w:tcMar>
            <w:hideMark/>
          </w:tcPr>
          <w:p w14:paraId="1BE571E8" w14:textId="77777777" w:rsidR="00CE331E" w:rsidRPr="00456EB5" w:rsidRDefault="00CE331E" w:rsidP="00CE331E">
            <w:pPr>
              <w:rPr>
                <w:lang w:val="uk-UA"/>
              </w:rPr>
            </w:pPr>
            <w:r w:rsidRPr="00456EB5">
              <w:rPr>
                <w:lang w:val="uk-UA"/>
              </w:rPr>
              <w:t>Опис альтернативи</w:t>
            </w:r>
          </w:p>
        </w:tc>
      </w:tr>
      <w:tr w:rsidR="00CE331E" w:rsidRPr="00456EB5" w14:paraId="1C14D4DE" w14:textId="77777777" w:rsidTr="00003FFE">
        <w:tc>
          <w:tcPr>
            <w:tcW w:w="4673" w:type="dxa"/>
            <w:shd w:val="clear" w:color="auto" w:fill="FFFFFF"/>
            <w:tcMar>
              <w:top w:w="225" w:type="dxa"/>
              <w:left w:w="75" w:type="dxa"/>
              <w:bottom w:w="225" w:type="dxa"/>
              <w:right w:w="75" w:type="dxa"/>
            </w:tcMar>
            <w:hideMark/>
          </w:tcPr>
          <w:p w14:paraId="3F9C6B90" w14:textId="77777777" w:rsidR="00CE331E" w:rsidRPr="00456EB5" w:rsidRDefault="00CE331E" w:rsidP="00CE331E">
            <w:pPr>
              <w:rPr>
                <w:b/>
                <w:bCs/>
                <w:lang w:val="uk-UA"/>
              </w:rPr>
            </w:pPr>
            <w:r w:rsidRPr="00456EB5">
              <w:rPr>
                <w:b/>
                <w:bCs/>
                <w:lang w:val="uk-UA"/>
              </w:rPr>
              <w:t>Альтернатива 1</w:t>
            </w:r>
          </w:p>
          <w:p w14:paraId="24623898" w14:textId="3EB2342E" w:rsidR="007653AC" w:rsidRPr="00456EB5" w:rsidRDefault="007653AC" w:rsidP="00CE331E">
            <w:pPr>
              <w:rPr>
                <w:lang w:val="uk-UA"/>
              </w:rPr>
            </w:pPr>
            <w:r w:rsidRPr="00456EB5">
              <w:rPr>
                <w:lang w:val="uk-UA"/>
              </w:rPr>
              <w:t>Прийняти проєкт постанови</w:t>
            </w:r>
          </w:p>
        </w:tc>
        <w:tc>
          <w:tcPr>
            <w:tcW w:w="4966" w:type="dxa"/>
            <w:shd w:val="clear" w:color="auto" w:fill="FFFFFF"/>
            <w:tcMar>
              <w:top w:w="225" w:type="dxa"/>
              <w:left w:w="75" w:type="dxa"/>
              <w:bottom w:w="225" w:type="dxa"/>
              <w:right w:w="75" w:type="dxa"/>
            </w:tcMar>
            <w:hideMark/>
          </w:tcPr>
          <w:p w14:paraId="6721F084" w14:textId="1A5F3185" w:rsidR="00CE331E" w:rsidRPr="00456EB5" w:rsidRDefault="00CE331E" w:rsidP="00CE331E">
            <w:pPr>
              <w:rPr>
                <w:lang w:val="uk-UA"/>
              </w:rPr>
            </w:pPr>
            <w:r w:rsidRPr="00456EB5">
              <w:rPr>
                <w:lang w:val="uk-UA"/>
              </w:rPr>
              <w:t xml:space="preserve">Прийняти проект постанови Національної комісії, що здійснює державне регулювання у сферах енергетики та комунальних послуг «Про визнання такою, що втратила чинність, постанови НКРЕКП, від 10 березня 2021 року № 390».  </w:t>
            </w:r>
          </w:p>
        </w:tc>
      </w:tr>
      <w:tr w:rsidR="00CE331E" w:rsidRPr="00456EB5" w14:paraId="1C05C4E2" w14:textId="77777777" w:rsidTr="00003FFE">
        <w:tc>
          <w:tcPr>
            <w:tcW w:w="4673" w:type="dxa"/>
            <w:shd w:val="clear" w:color="auto" w:fill="FFFFFF"/>
            <w:tcMar>
              <w:top w:w="225" w:type="dxa"/>
              <w:left w:w="75" w:type="dxa"/>
              <w:bottom w:w="225" w:type="dxa"/>
              <w:right w:w="75" w:type="dxa"/>
            </w:tcMar>
            <w:hideMark/>
          </w:tcPr>
          <w:p w14:paraId="739A865E" w14:textId="77777777" w:rsidR="00CE331E" w:rsidRPr="00456EB5" w:rsidRDefault="00CE331E" w:rsidP="00CE331E">
            <w:pPr>
              <w:rPr>
                <w:b/>
                <w:bCs/>
                <w:lang w:val="uk-UA"/>
              </w:rPr>
            </w:pPr>
            <w:r w:rsidRPr="00456EB5">
              <w:rPr>
                <w:b/>
                <w:bCs/>
                <w:lang w:val="uk-UA"/>
              </w:rPr>
              <w:t>Альтернатива 2</w:t>
            </w:r>
          </w:p>
          <w:p w14:paraId="6637051D" w14:textId="6FB0A6EC" w:rsidR="007653AC" w:rsidRPr="00456EB5" w:rsidRDefault="007653AC" w:rsidP="00CE331E">
            <w:pPr>
              <w:rPr>
                <w:lang w:val="uk-UA"/>
              </w:rPr>
            </w:pPr>
            <w:r w:rsidRPr="00456EB5">
              <w:rPr>
                <w:lang w:val="uk-UA"/>
              </w:rPr>
              <w:t>За</w:t>
            </w:r>
            <w:r w:rsidR="00AA47BF" w:rsidRPr="00456EB5">
              <w:rPr>
                <w:lang w:val="uk-UA"/>
              </w:rPr>
              <w:t xml:space="preserve">лишити без змін </w:t>
            </w:r>
          </w:p>
        </w:tc>
        <w:tc>
          <w:tcPr>
            <w:tcW w:w="4966" w:type="dxa"/>
            <w:shd w:val="clear" w:color="auto" w:fill="FFFFFF"/>
            <w:tcMar>
              <w:top w:w="225" w:type="dxa"/>
              <w:left w:w="75" w:type="dxa"/>
              <w:bottom w:w="225" w:type="dxa"/>
              <w:right w:w="75" w:type="dxa"/>
            </w:tcMar>
            <w:hideMark/>
          </w:tcPr>
          <w:p w14:paraId="67CC19C7" w14:textId="7ECE570C" w:rsidR="00CE331E" w:rsidRPr="00456EB5" w:rsidRDefault="00CE331E" w:rsidP="00CE331E">
            <w:pPr>
              <w:rPr>
                <w:lang w:val="uk-UA"/>
              </w:rPr>
            </w:pPr>
            <w:r w:rsidRPr="00456EB5">
              <w:rPr>
                <w:lang w:val="uk-UA"/>
              </w:rPr>
              <w:t>Залишити без змін постанову Національної комісії, що здійснює державне регулювання у сферах енергетики та комунальних послуг, яку пропонується визнати такою, що втратила чинність.</w:t>
            </w:r>
          </w:p>
        </w:tc>
      </w:tr>
    </w:tbl>
    <w:p w14:paraId="3BB58B54" w14:textId="77777777" w:rsidR="00590BC2" w:rsidRPr="00F364A9" w:rsidRDefault="00590BC2" w:rsidP="00590BC2">
      <w:pPr>
        <w:pStyle w:val="21"/>
        <w:numPr>
          <w:ilvl w:val="0"/>
          <w:numId w:val="1"/>
        </w:numPr>
        <w:spacing w:after="0" w:line="240" w:lineRule="auto"/>
        <w:jc w:val="both"/>
        <w:rPr>
          <w:sz w:val="28"/>
          <w:szCs w:val="28"/>
          <w:lang w:val="uk-UA"/>
        </w:rPr>
      </w:pPr>
      <w:r w:rsidRPr="00F364A9">
        <w:rPr>
          <w:sz w:val="28"/>
          <w:szCs w:val="28"/>
          <w:lang w:val="uk-UA"/>
        </w:rPr>
        <w:t>Оцінка вибраних альтернативних способів досягнення цілей</w:t>
      </w:r>
    </w:p>
    <w:p w14:paraId="3EAEF473" w14:textId="77777777" w:rsidR="00590BC2" w:rsidRPr="00F364A9" w:rsidRDefault="00590BC2" w:rsidP="00590BC2">
      <w:pPr>
        <w:pStyle w:val="21"/>
        <w:spacing w:after="0" w:line="240" w:lineRule="auto"/>
        <w:ind w:left="720"/>
        <w:jc w:val="both"/>
        <w:rPr>
          <w:i/>
          <w:sz w:val="28"/>
          <w:szCs w:val="28"/>
          <w:lang w:val="uk-UA"/>
        </w:rPr>
      </w:pPr>
    </w:p>
    <w:p w14:paraId="528194AB" w14:textId="7B88D847" w:rsidR="00590BC2" w:rsidRPr="00F364A9" w:rsidRDefault="00590BC2" w:rsidP="00590BC2">
      <w:pPr>
        <w:pStyle w:val="21"/>
        <w:spacing w:after="0" w:line="240" w:lineRule="auto"/>
        <w:ind w:firstLine="720"/>
        <w:jc w:val="both"/>
        <w:rPr>
          <w:color w:val="000000"/>
          <w:sz w:val="28"/>
          <w:szCs w:val="28"/>
          <w:lang w:val="uk-UA"/>
        </w:rPr>
      </w:pPr>
      <w:r w:rsidRPr="00F364A9">
        <w:rPr>
          <w:color w:val="000000"/>
          <w:sz w:val="28"/>
          <w:szCs w:val="28"/>
          <w:lang w:val="uk-UA"/>
        </w:rPr>
        <w:t>Оцінка впливу на сферу інтересів суб’єктів господарювання</w:t>
      </w:r>
    </w:p>
    <w:p w14:paraId="50314F31" w14:textId="77777777" w:rsidR="00590BC2" w:rsidRPr="00F364A9" w:rsidRDefault="00590BC2" w:rsidP="00590BC2">
      <w:pPr>
        <w:pStyle w:val="21"/>
        <w:spacing w:after="0" w:line="240" w:lineRule="auto"/>
        <w:jc w:val="both"/>
        <w:rPr>
          <w:color w:val="000000"/>
          <w:sz w:val="28"/>
          <w:szCs w:val="28"/>
          <w:lang w:val="uk-UA"/>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3118"/>
        <w:gridCol w:w="3402"/>
      </w:tblGrid>
      <w:tr w:rsidR="00590BC2" w:rsidRPr="00456EB5" w14:paraId="26B75D68" w14:textId="77777777" w:rsidTr="00003FFE">
        <w:tc>
          <w:tcPr>
            <w:tcW w:w="3114" w:type="dxa"/>
            <w:shd w:val="clear" w:color="auto" w:fill="auto"/>
          </w:tcPr>
          <w:p w14:paraId="0EB7FA4C" w14:textId="77777777" w:rsidR="00590BC2" w:rsidRPr="00456EB5" w:rsidRDefault="00590BC2" w:rsidP="00B475CF">
            <w:pPr>
              <w:pStyle w:val="21"/>
              <w:spacing w:after="0" w:line="240" w:lineRule="auto"/>
              <w:jc w:val="center"/>
              <w:rPr>
                <w:color w:val="000000"/>
                <w:lang w:val="uk-UA"/>
              </w:rPr>
            </w:pPr>
            <w:r w:rsidRPr="00456EB5">
              <w:rPr>
                <w:color w:val="000000"/>
                <w:lang w:val="uk-UA"/>
              </w:rPr>
              <w:t>Вид альтернативи</w:t>
            </w:r>
          </w:p>
        </w:tc>
        <w:tc>
          <w:tcPr>
            <w:tcW w:w="3118" w:type="dxa"/>
            <w:shd w:val="clear" w:color="auto" w:fill="auto"/>
          </w:tcPr>
          <w:p w14:paraId="4309F3E0" w14:textId="77777777" w:rsidR="00590BC2" w:rsidRPr="00456EB5" w:rsidRDefault="00590BC2" w:rsidP="00B475CF">
            <w:pPr>
              <w:pStyle w:val="21"/>
              <w:spacing w:after="0" w:line="240" w:lineRule="auto"/>
              <w:jc w:val="center"/>
              <w:rPr>
                <w:color w:val="000000"/>
                <w:lang w:val="uk-UA"/>
              </w:rPr>
            </w:pPr>
            <w:r w:rsidRPr="00456EB5">
              <w:rPr>
                <w:color w:val="000000"/>
                <w:lang w:val="uk-UA"/>
              </w:rPr>
              <w:t>Вигоди</w:t>
            </w:r>
          </w:p>
        </w:tc>
        <w:tc>
          <w:tcPr>
            <w:tcW w:w="3402" w:type="dxa"/>
            <w:shd w:val="clear" w:color="auto" w:fill="auto"/>
          </w:tcPr>
          <w:p w14:paraId="6FDDB00A" w14:textId="77777777" w:rsidR="00590BC2" w:rsidRPr="00456EB5" w:rsidRDefault="00590BC2" w:rsidP="00B475CF">
            <w:pPr>
              <w:pStyle w:val="21"/>
              <w:spacing w:after="0" w:line="240" w:lineRule="auto"/>
              <w:jc w:val="center"/>
              <w:rPr>
                <w:color w:val="000000"/>
                <w:lang w:val="uk-UA"/>
              </w:rPr>
            </w:pPr>
            <w:r w:rsidRPr="00456EB5">
              <w:rPr>
                <w:color w:val="000000"/>
                <w:lang w:val="uk-UA"/>
              </w:rPr>
              <w:t>Витрати</w:t>
            </w:r>
          </w:p>
        </w:tc>
      </w:tr>
      <w:tr w:rsidR="00AA47BF" w:rsidRPr="00456EB5" w14:paraId="39203282" w14:textId="77777777" w:rsidTr="00003FFE">
        <w:tc>
          <w:tcPr>
            <w:tcW w:w="3114" w:type="dxa"/>
            <w:shd w:val="clear" w:color="auto" w:fill="auto"/>
          </w:tcPr>
          <w:p w14:paraId="7332F47C" w14:textId="77777777" w:rsidR="00AA47BF" w:rsidRPr="00456EB5" w:rsidRDefault="00AA47BF" w:rsidP="00AA47BF">
            <w:pPr>
              <w:rPr>
                <w:b/>
                <w:bCs/>
                <w:lang w:val="uk-UA"/>
              </w:rPr>
            </w:pPr>
            <w:r w:rsidRPr="00456EB5">
              <w:rPr>
                <w:b/>
                <w:bCs/>
                <w:lang w:val="uk-UA"/>
              </w:rPr>
              <w:t>Альтернатива 1</w:t>
            </w:r>
          </w:p>
          <w:p w14:paraId="506F78AA" w14:textId="04DA3369" w:rsidR="00AA47BF" w:rsidRPr="00456EB5" w:rsidRDefault="00AA47BF" w:rsidP="00AA47BF">
            <w:pPr>
              <w:pStyle w:val="21"/>
              <w:spacing w:after="0" w:line="240" w:lineRule="auto"/>
              <w:jc w:val="both"/>
              <w:rPr>
                <w:color w:val="000000"/>
                <w:lang w:val="uk-UA"/>
              </w:rPr>
            </w:pPr>
            <w:r w:rsidRPr="00456EB5">
              <w:rPr>
                <w:lang w:val="uk-UA"/>
              </w:rPr>
              <w:t>Прийняти проєкт постанови</w:t>
            </w:r>
          </w:p>
        </w:tc>
        <w:tc>
          <w:tcPr>
            <w:tcW w:w="3118" w:type="dxa"/>
            <w:shd w:val="clear" w:color="auto" w:fill="auto"/>
          </w:tcPr>
          <w:p w14:paraId="5F74F2CA" w14:textId="3598C850" w:rsidR="00AA47BF" w:rsidRPr="00456EB5" w:rsidRDefault="00A3288E" w:rsidP="00AA47BF">
            <w:pPr>
              <w:pStyle w:val="21"/>
              <w:spacing w:after="0" w:line="240" w:lineRule="auto"/>
              <w:jc w:val="both"/>
              <w:rPr>
                <w:color w:val="000000"/>
                <w:lang w:val="uk-UA"/>
              </w:rPr>
            </w:pPr>
            <w:r w:rsidRPr="00456EB5">
              <w:rPr>
                <w:color w:val="000000"/>
                <w:lang w:val="uk-UA"/>
              </w:rPr>
              <w:t>Зменшення навантаження щодо звітування</w:t>
            </w:r>
          </w:p>
        </w:tc>
        <w:tc>
          <w:tcPr>
            <w:tcW w:w="3402" w:type="dxa"/>
            <w:shd w:val="clear" w:color="auto" w:fill="auto"/>
          </w:tcPr>
          <w:p w14:paraId="249311D7" w14:textId="5F6FB847" w:rsidR="00AA47BF" w:rsidRPr="00456EB5" w:rsidRDefault="00AA47BF" w:rsidP="00AA47BF">
            <w:pPr>
              <w:pStyle w:val="21"/>
              <w:spacing w:after="0" w:line="240" w:lineRule="auto"/>
              <w:jc w:val="both"/>
              <w:rPr>
                <w:color w:val="000000"/>
                <w:lang w:val="uk-UA"/>
              </w:rPr>
            </w:pPr>
            <w:r w:rsidRPr="00456EB5">
              <w:rPr>
                <w:color w:val="000000"/>
                <w:lang w:val="uk-UA"/>
              </w:rPr>
              <w:t>Відсутні</w:t>
            </w:r>
          </w:p>
        </w:tc>
      </w:tr>
      <w:tr w:rsidR="003778C2" w:rsidRPr="00456EB5" w14:paraId="369C9093" w14:textId="77777777" w:rsidTr="00003FFE">
        <w:tc>
          <w:tcPr>
            <w:tcW w:w="3114" w:type="dxa"/>
            <w:shd w:val="clear" w:color="auto" w:fill="auto"/>
          </w:tcPr>
          <w:p w14:paraId="41F2E816" w14:textId="77777777" w:rsidR="003778C2" w:rsidRPr="00456EB5" w:rsidRDefault="003778C2" w:rsidP="003778C2">
            <w:pPr>
              <w:rPr>
                <w:b/>
                <w:bCs/>
                <w:lang w:val="uk-UA"/>
              </w:rPr>
            </w:pPr>
            <w:r w:rsidRPr="00456EB5">
              <w:rPr>
                <w:b/>
                <w:bCs/>
                <w:lang w:val="uk-UA"/>
              </w:rPr>
              <w:t>Альтернатива 2</w:t>
            </w:r>
          </w:p>
          <w:p w14:paraId="2D83F908" w14:textId="1EBE5C86" w:rsidR="003778C2" w:rsidRPr="00456EB5" w:rsidRDefault="003778C2" w:rsidP="003778C2">
            <w:pPr>
              <w:pStyle w:val="21"/>
              <w:spacing w:after="0" w:line="240" w:lineRule="auto"/>
              <w:jc w:val="both"/>
              <w:rPr>
                <w:color w:val="000000"/>
                <w:lang w:val="uk-UA"/>
              </w:rPr>
            </w:pPr>
            <w:r w:rsidRPr="00456EB5">
              <w:rPr>
                <w:lang w:val="uk-UA"/>
              </w:rPr>
              <w:t xml:space="preserve">Залишити без змін </w:t>
            </w:r>
          </w:p>
        </w:tc>
        <w:tc>
          <w:tcPr>
            <w:tcW w:w="3118" w:type="dxa"/>
            <w:shd w:val="clear" w:color="auto" w:fill="auto"/>
          </w:tcPr>
          <w:p w14:paraId="3AF584AB" w14:textId="7FDE5306" w:rsidR="003778C2" w:rsidRPr="00456EB5" w:rsidRDefault="003778C2" w:rsidP="003778C2">
            <w:pPr>
              <w:pStyle w:val="21"/>
              <w:spacing w:after="0" w:line="240" w:lineRule="auto"/>
              <w:jc w:val="both"/>
              <w:rPr>
                <w:color w:val="000000"/>
                <w:lang w:val="uk-UA"/>
              </w:rPr>
            </w:pPr>
            <w:r w:rsidRPr="00456EB5">
              <w:rPr>
                <w:color w:val="000000"/>
                <w:lang w:val="uk-UA"/>
              </w:rPr>
              <w:t>Відсутні</w:t>
            </w:r>
          </w:p>
        </w:tc>
        <w:tc>
          <w:tcPr>
            <w:tcW w:w="3402" w:type="dxa"/>
            <w:shd w:val="clear" w:color="auto" w:fill="auto"/>
          </w:tcPr>
          <w:p w14:paraId="77EF6903" w14:textId="7E04E372" w:rsidR="003778C2" w:rsidRPr="00456EB5" w:rsidRDefault="003778C2" w:rsidP="003778C2">
            <w:pPr>
              <w:pStyle w:val="21"/>
              <w:spacing w:after="0" w:line="240" w:lineRule="auto"/>
              <w:jc w:val="both"/>
              <w:rPr>
                <w:color w:val="000000"/>
                <w:lang w:val="uk-UA"/>
              </w:rPr>
            </w:pPr>
            <w:r w:rsidRPr="00456EB5">
              <w:rPr>
                <w:lang w:val="uk-UA"/>
              </w:rPr>
              <w:t>Неактуальність інформації, не враховує зміни в законодавстві у сфері електроенергетики</w:t>
            </w:r>
          </w:p>
        </w:tc>
      </w:tr>
    </w:tbl>
    <w:p w14:paraId="2F63343D" w14:textId="77777777" w:rsidR="00590BC2" w:rsidRPr="00F364A9" w:rsidRDefault="00590BC2" w:rsidP="00590BC2">
      <w:pPr>
        <w:pStyle w:val="21"/>
        <w:spacing w:after="0" w:line="240" w:lineRule="auto"/>
        <w:jc w:val="both"/>
        <w:rPr>
          <w:color w:val="000000"/>
          <w:sz w:val="28"/>
          <w:szCs w:val="28"/>
          <w:lang w:val="uk-UA"/>
        </w:rPr>
      </w:pPr>
    </w:p>
    <w:p w14:paraId="7453882D" w14:textId="77777777" w:rsidR="00590BC2" w:rsidRPr="00F364A9" w:rsidRDefault="00590BC2" w:rsidP="00590BC2">
      <w:pPr>
        <w:pStyle w:val="21"/>
        <w:spacing w:after="0" w:line="240" w:lineRule="auto"/>
        <w:jc w:val="center"/>
        <w:rPr>
          <w:b/>
          <w:color w:val="000000"/>
          <w:sz w:val="28"/>
          <w:szCs w:val="28"/>
          <w:lang w:val="uk-UA"/>
        </w:rPr>
      </w:pPr>
      <w:r w:rsidRPr="00F364A9">
        <w:rPr>
          <w:b/>
          <w:color w:val="000000"/>
          <w:sz w:val="28"/>
          <w:szCs w:val="28"/>
          <w:lang w:val="en-US"/>
        </w:rPr>
        <w:t>IV</w:t>
      </w:r>
      <w:r w:rsidRPr="00F364A9">
        <w:rPr>
          <w:b/>
          <w:color w:val="000000"/>
          <w:sz w:val="28"/>
          <w:szCs w:val="28"/>
        </w:rPr>
        <w:t>.</w:t>
      </w:r>
      <w:r w:rsidRPr="00F364A9">
        <w:rPr>
          <w:b/>
          <w:color w:val="000000"/>
          <w:sz w:val="28"/>
          <w:szCs w:val="28"/>
          <w:lang w:val="en-US"/>
        </w:rPr>
        <w:t> </w:t>
      </w:r>
      <w:r w:rsidRPr="00F364A9">
        <w:rPr>
          <w:b/>
          <w:color w:val="000000"/>
          <w:sz w:val="28"/>
          <w:szCs w:val="28"/>
          <w:lang w:val="uk-UA"/>
        </w:rPr>
        <w:t>Вибір найбільш оптимального альтернативного способу досягнення цілей</w:t>
      </w:r>
    </w:p>
    <w:p w14:paraId="439C29EC" w14:textId="77777777" w:rsidR="00590BC2" w:rsidRPr="00F364A9" w:rsidRDefault="00590BC2" w:rsidP="00590BC2">
      <w:pPr>
        <w:pStyle w:val="21"/>
        <w:spacing w:after="0" w:line="240" w:lineRule="auto"/>
        <w:jc w:val="center"/>
        <w:rPr>
          <w:b/>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9"/>
        <w:gridCol w:w="3000"/>
        <w:gridCol w:w="3414"/>
      </w:tblGrid>
      <w:tr w:rsidR="00590BC2" w:rsidRPr="00456EB5" w14:paraId="20B85E6B" w14:textId="77777777" w:rsidTr="00AA47BF">
        <w:tc>
          <w:tcPr>
            <w:tcW w:w="3209" w:type="dxa"/>
            <w:tcBorders>
              <w:top w:val="outset" w:sz="6" w:space="0" w:color="auto"/>
              <w:left w:val="outset" w:sz="6" w:space="0" w:color="auto"/>
              <w:bottom w:val="outset" w:sz="6" w:space="0" w:color="auto"/>
              <w:right w:val="outset" w:sz="6" w:space="0" w:color="auto"/>
            </w:tcBorders>
            <w:shd w:val="clear" w:color="auto" w:fill="auto"/>
          </w:tcPr>
          <w:p w14:paraId="59011B13" w14:textId="77777777" w:rsidR="00590BC2" w:rsidRPr="00456EB5" w:rsidRDefault="00590BC2" w:rsidP="00B475CF">
            <w:pPr>
              <w:pStyle w:val="ae"/>
              <w:jc w:val="center"/>
              <w:rPr>
                <w:color w:val="000000"/>
                <w:lang w:val="uk-UA"/>
              </w:rPr>
            </w:pPr>
            <w:r w:rsidRPr="00456EB5">
              <w:rPr>
                <w:color w:val="000000"/>
                <w:lang w:val="uk-UA"/>
              </w:rPr>
              <w:t>Рейтинг результативності (досягнення цілей під час вирішення проблеми)</w:t>
            </w:r>
          </w:p>
        </w:tc>
        <w:tc>
          <w:tcPr>
            <w:tcW w:w="3000" w:type="dxa"/>
            <w:tcBorders>
              <w:top w:val="outset" w:sz="6" w:space="0" w:color="auto"/>
              <w:left w:val="outset" w:sz="6" w:space="0" w:color="auto"/>
              <w:bottom w:val="outset" w:sz="6" w:space="0" w:color="auto"/>
              <w:right w:val="outset" w:sz="6" w:space="0" w:color="auto"/>
            </w:tcBorders>
            <w:shd w:val="clear" w:color="auto" w:fill="auto"/>
          </w:tcPr>
          <w:p w14:paraId="1A7887AA" w14:textId="77777777" w:rsidR="00590BC2" w:rsidRPr="00456EB5" w:rsidRDefault="00590BC2" w:rsidP="00B475CF">
            <w:pPr>
              <w:pStyle w:val="ae"/>
              <w:jc w:val="center"/>
              <w:rPr>
                <w:color w:val="000000"/>
                <w:lang w:val="uk-UA"/>
              </w:rPr>
            </w:pPr>
            <w:r w:rsidRPr="00456EB5">
              <w:rPr>
                <w:color w:val="000000"/>
                <w:lang w:val="uk-UA"/>
              </w:rPr>
              <w:t>Бал результативності (за чотирибальною системою оцінки)</w:t>
            </w:r>
          </w:p>
        </w:tc>
        <w:tc>
          <w:tcPr>
            <w:tcW w:w="3414" w:type="dxa"/>
            <w:tcBorders>
              <w:top w:val="outset" w:sz="6" w:space="0" w:color="auto"/>
              <w:left w:val="outset" w:sz="6" w:space="0" w:color="auto"/>
              <w:bottom w:val="outset" w:sz="6" w:space="0" w:color="auto"/>
              <w:right w:val="outset" w:sz="6" w:space="0" w:color="auto"/>
            </w:tcBorders>
            <w:shd w:val="clear" w:color="auto" w:fill="auto"/>
          </w:tcPr>
          <w:p w14:paraId="1CF93D7B" w14:textId="77777777" w:rsidR="00590BC2" w:rsidRPr="00456EB5" w:rsidRDefault="00590BC2" w:rsidP="00B475CF">
            <w:pPr>
              <w:pStyle w:val="ae"/>
              <w:jc w:val="center"/>
              <w:rPr>
                <w:color w:val="000000"/>
                <w:lang w:val="uk-UA"/>
              </w:rPr>
            </w:pPr>
            <w:r w:rsidRPr="00456EB5">
              <w:rPr>
                <w:color w:val="000000"/>
                <w:lang w:val="uk-UA"/>
              </w:rPr>
              <w:t>Коментарі щодо присвоєння відповідного бала</w:t>
            </w:r>
          </w:p>
        </w:tc>
      </w:tr>
      <w:tr w:rsidR="00AA47BF" w:rsidRPr="00456EB5" w14:paraId="2CB2D0EB" w14:textId="77777777" w:rsidTr="00AA47BF">
        <w:tc>
          <w:tcPr>
            <w:tcW w:w="3209" w:type="dxa"/>
            <w:shd w:val="clear" w:color="auto" w:fill="auto"/>
          </w:tcPr>
          <w:p w14:paraId="21986E72" w14:textId="1F0382D4" w:rsidR="00AA47BF" w:rsidRPr="00456EB5" w:rsidRDefault="00B5454E" w:rsidP="00AA47BF">
            <w:pPr>
              <w:rPr>
                <w:b/>
                <w:bCs/>
                <w:lang w:val="uk-UA"/>
              </w:rPr>
            </w:pPr>
            <w:r w:rsidRPr="00456EB5">
              <w:rPr>
                <w:b/>
                <w:bCs/>
                <w:lang w:val="uk-UA"/>
              </w:rPr>
              <w:t>А</w:t>
            </w:r>
            <w:r w:rsidR="00AA47BF" w:rsidRPr="00456EB5">
              <w:rPr>
                <w:b/>
                <w:bCs/>
                <w:lang w:val="uk-UA"/>
              </w:rPr>
              <w:t>льтернатива 1</w:t>
            </w:r>
          </w:p>
          <w:p w14:paraId="2B4C22F8" w14:textId="6FD1C182" w:rsidR="00AA47BF" w:rsidRPr="00456EB5" w:rsidRDefault="00AA47BF" w:rsidP="00AA47BF">
            <w:pPr>
              <w:pStyle w:val="21"/>
              <w:spacing w:after="0" w:line="240" w:lineRule="auto"/>
              <w:jc w:val="both"/>
              <w:rPr>
                <w:color w:val="000000"/>
                <w:lang w:val="uk-UA"/>
              </w:rPr>
            </w:pPr>
            <w:r w:rsidRPr="00456EB5">
              <w:rPr>
                <w:lang w:val="uk-UA"/>
              </w:rPr>
              <w:t>Прийняти проєкт постанови</w:t>
            </w:r>
          </w:p>
        </w:tc>
        <w:tc>
          <w:tcPr>
            <w:tcW w:w="3000" w:type="dxa"/>
            <w:shd w:val="clear" w:color="auto" w:fill="auto"/>
          </w:tcPr>
          <w:p w14:paraId="22E63F84" w14:textId="2DE9093C" w:rsidR="00AA47BF" w:rsidRPr="00456EB5" w:rsidRDefault="00AA47BF" w:rsidP="00AA47BF">
            <w:pPr>
              <w:jc w:val="center"/>
              <w:rPr>
                <w:color w:val="000000"/>
                <w:lang w:val="uk-UA"/>
              </w:rPr>
            </w:pPr>
            <w:r w:rsidRPr="00456EB5">
              <w:rPr>
                <w:color w:val="000000"/>
                <w:lang w:val="uk-UA"/>
              </w:rPr>
              <w:t>4</w:t>
            </w:r>
          </w:p>
        </w:tc>
        <w:tc>
          <w:tcPr>
            <w:tcW w:w="3414" w:type="dxa"/>
            <w:shd w:val="clear" w:color="auto" w:fill="auto"/>
          </w:tcPr>
          <w:p w14:paraId="761F6000" w14:textId="41981966" w:rsidR="00AA47BF" w:rsidRPr="00456EB5" w:rsidRDefault="00AA47BF" w:rsidP="00BA75A6">
            <w:pPr>
              <w:jc w:val="both"/>
              <w:rPr>
                <w:color w:val="000000"/>
                <w:lang w:val="uk-UA"/>
              </w:rPr>
            </w:pPr>
            <w:r w:rsidRPr="00456EB5">
              <w:rPr>
                <w:color w:val="000000"/>
                <w:lang w:val="uk-UA"/>
              </w:rPr>
              <w:t xml:space="preserve">Вирішення проблеми найбільш ефективним шляхом. </w:t>
            </w:r>
            <w:r w:rsidRPr="00456EB5">
              <w:rPr>
                <w:lang w:val="uk-UA"/>
              </w:rPr>
              <w:t>Забезпечує виконання вимог чинного законодавства України.</w:t>
            </w:r>
          </w:p>
        </w:tc>
      </w:tr>
      <w:tr w:rsidR="00AA47BF" w:rsidRPr="00456EB5" w14:paraId="08173B9B" w14:textId="77777777" w:rsidTr="00AA47BF">
        <w:tc>
          <w:tcPr>
            <w:tcW w:w="3209" w:type="dxa"/>
            <w:shd w:val="clear" w:color="auto" w:fill="auto"/>
          </w:tcPr>
          <w:p w14:paraId="5CF99DF9" w14:textId="77777777" w:rsidR="00AA47BF" w:rsidRPr="00456EB5" w:rsidRDefault="00AA47BF" w:rsidP="00AA47BF">
            <w:pPr>
              <w:rPr>
                <w:b/>
                <w:bCs/>
                <w:lang w:val="uk-UA"/>
              </w:rPr>
            </w:pPr>
            <w:r w:rsidRPr="00456EB5">
              <w:rPr>
                <w:b/>
                <w:bCs/>
                <w:lang w:val="uk-UA"/>
              </w:rPr>
              <w:lastRenderedPageBreak/>
              <w:t>Альтернатива 2</w:t>
            </w:r>
          </w:p>
          <w:p w14:paraId="687F77E0" w14:textId="6F2E3C23" w:rsidR="00AA47BF" w:rsidRPr="00456EB5" w:rsidRDefault="00AA47BF" w:rsidP="00AA47BF">
            <w:pPr>
              <w:pStyle w:val="21"/>
              <w:spacing w:after="0" w:line="240" w:lineRule="auto"/>
              <w:jc w:val="both"/>
              <w:rPr>
                <w:color w:val="000000"/>
                <w:lang w:val="uk-UA"/>
              </w:rPr>
            </w:pPr>
            <w:r w:rsidRPr="00456EB5">
              <w:rPr>
                <w:lang w:val="uk-UA"/>
              </w:rPr>
              <w:t xml:space="preserve">Залишити без змін </w:t>
            </w:r>
          </w:p>
        </w:tc>
        <w:tc>
          <w:tcPr>
            <w:tcW w:w="3000" w:type="dxa"/>
            <w:shd w:val="clear" w:color="auto" w:fill="auto"/>
          </w:tcPr>
          <w:p w14:paraId="7D26BD23" w14:textId="601406E8" w:rsidR="00AA47BF" w:rsidRPr="00456EB5" w:rsidRDefault="00AA47BF" w:rsidP="00AA47BF">
            <w:pPr>
              <w:jc w:val="center"/>
              <w:rPr>
                <w:color w:val="000000"/>
                <w:lang w:val="uk-UA"/>
              </w:rPr>
            </w:pPr>
            <w:r w:rsidRPr="00456EB5">
              <w:rPr>
                <w:color w:val="000000"/>
                <w:lang w:val="uk-UA"/>
              </w:rPr>
              <w:t>1</w:t>
            </w:r>
          </w:p>
        </w:tc>
        <w:tc>
          <w:tcPr>
            <w:tcW w:w="3414" w:type="dxa"/>
            <w:shd w:val="clear" w:color="auto" w:fill="auto"/>
          </w:tcPr>
          <w:p w14:paraId="5232F614" w14:textId="163A6483" w:rsidR="00AA47BF" w:rsidRPr="00456EB5" w:rsidRDefault="00CE00E3" w:rsidP="00BA75A6">
            <w:pPr>
              <w:jc w:val="both"/>
              <w:rPr>
                <w:color w:val="000000"/>
                <w:lang w:val="uk-UA"/>
              </w:rPr>
            </w:pPr>
            <w:r w:rsidRPr="00456EB5">
              <w:rPr>
                <w:color w:val="000000"/>
                <w:lang w:val="uk-UA"/>
              </w:rPr>
              <w:t>Відсутність вирішення проблеми</w:t>
            </w:r>
          </w:p>
        </w:tc>
      </w:tr>
    </w:tbl>
    <w:p w14:paraId="50639183" w14:textId="77777777" w:rsidR="00590BC2" w:rsidRPr="00F364A9" w:rsidRDefault="00590BC2" w:rsidP="00590BC2">
      <w:pPr>
        <w:rPr>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9"/>
        <w:gridCol w:w="2183"/>
        <w:gridCol w:w="2133"/>
        <w:gridCol w:w="3074"/>
      </w:tblGrid>
      <w:tr w:rsidR="00AE44EF" w:rsidRPr="00456EB5" w14:paraId="68F7206C" w14:textId="77777777" w:rsidTr="00003FFE">
        <w:tc>
          <w:tcPr>
            <w:tcW w:w="2239" w:type="dxa"/>
            <w:tcBorders>
              <w:top w:val="single" w:sz="4" w:space="0" w:color="auto"/>
              <w:left w:val="single" w:sz="4" w:space="0" w:color="auto"/>
              <w:bottom w:val="single" w:sz="4" w:space="0" w:color="auto"/>
              <w:right w:val="single" w:sz="4" w:space="0" w:color="auto"/>
            </w:tcBorders>
            <w:hideMark/>
          </w:tcPr>
          <w:p w14:paraId="367C6BC7" w14:textId="77777777" w:rsidR="00294BF7" w:rsidRPr="00456EB5" w:rsidRDefault="00294BF7" w:rsidP="00294BF7">
            <w:pPr>
              <w:pStyle w:val="ae"/>
              <w:jc w:val="center"/>
              <w:rPr>
                <w:color w:val="000000"/>
                <w:lang w:val="uk-UA"/>
              </w:rPr>
            </w:pPr>
            <w:r w:rsidRPr="00456EB5">
              <w:rPr>
                <w:color w:val="000000"/>
                <w:lang w:val="uk-UA"/>
              </w:rPr>
              <w:t>Рейтинг результативності</w:t>
            </w:r>
          </w:p>
        </w:tc>
        <w:tc>
          <w:tcPr>
            <w:tcW w:w="2183" w:type="dxa"/>
            <w:tcBorders>
              <w:top w:val="single" w:sz="4" w:space="0" w:color="auto"/>
              <w:left w:val="single" w:sz="4" w:space="0" w:color="auto"/>
              <w:bottom w:val="single" w:sz="4" w:space="0" w:color="auto"/>
              <w:right w:val="single" w:sz="4" w:space="0" w:color="auto"/>
            </w:tcBorders>
            <w:hideMark/>
          </w:tcPr>
          <w:p w14:paraId="5E3F8A15" w14:textId="77777777" w:rsidR="00294BF7" w:rsidRPr="00456EB5" w:rsidRDefault="00294BF7" w:rsidP="00294BF7">
            <w:pPr>
              <w:pStyle w:val="ae"/>
              <w:jc w:val="center"/>
              <w:rPr>
                <w:color w:val="000000"/>
                <w:lang w:val="uk-UA"/>
              </w:rPr>
            </w:pPr>
            <w:r w:rsidRPr="00456EB5">
              <w:rPr>
                <w:color w:val="000000"/>
                <w:lang w:val="uk-UA"/>
              </w:rPr>
              <w:t>Вигоди (підсумок)</w:t>
            </w:r>
          </w:p>
        </w:tc>
        <w:tc>
          <w:tcPr>
            <w:tcW w:w="2133" w:type="dxa"/>
            <w:tcBorders>
              <w:top w:val="single" w:sz="4" w:space="0" w:color="auto"/>
              <w:left w:val="single" w:sz="4" w:space="0" w:color="auto"/>
              <w:bottom w:val="single" w:sz="4" w:space="0" w:color="auto"/>
              <w:right w:val="single" w:sz="4" w:space="0" w:color="auto"/>
            </w:tcBorders>
            <w:hideMark/>
          </w:tcPr>
          <w:p w14:paraId="46A12AD5" w14:textId="77777777" w:rsidR="00294BF7" w:rsidRPr="00456EB5" w:rsidRDefault="00294BF7" w:rsidP="00294BF7">
            <w:pPr>
              <w:pStyle w:val="ae"/>
              <w:jc w:val="center"/>
              <w:rPr>
                <w:color w:val="000000"/>
                <w:lang w:val="uk-UA"/>
              </w:rPr>
            </w:pPr>
            <w:r w:rsidRPr="00456EB5">
              <w:rPr>
                <w:color w:val="000000"/>
                <w:lang w:val="uk-UA"/>
              </w:rPr>
              <w:t>Витрати (підсумок)</w:t>
            </w:r>
          </w:p>
        </w:tc>
        <w:tc>
          <w:tcPr>
            <w:tcW w:w="3074" w:type="dxa"/>
            <w:tcBorders>
              <w:top w:val="single" w:sz="4" w:space="0" w:color="auto"/>
              <w:left w:val="single" w:sz="4" w:space="0" w:color="auto"/>
              <w:bottom w:val="single" w:sz="4" w:space="0" w:color="auto"/>
              <w:right w:val="single" w:sz="4" w:space="0" w:color="auto"/>
            </w:tcBorders>
            <w:hideMark/>
          </w:tcPr>
          <w:p w14:paraId="2FF51A1A" w14:textId="77777777" w:rsidR="00294BF7" w:rsidRPr="00456EB5" w:rsidRDefault="00294BF7" w:rsidP="00294BF7">
            <w:pPr>
              <w:pStyle w:val="ae"/>
              <w:jc w:val="center"/>
              <w:rPr>
                <w:color w:val="000000"/>
                <w:lang w:val="uk-UA"/>
              </w:rPr>
            </w:pPr>
            <w:r w:rsidRPr="00456EB5">
              <w:rPr>
                <w:color w:val="000000"/>
                <w:lang w:val="uk-UA"/>
              </w:rPr>
              <w:t>Обґрунтування відповідного місця альтернативи у рейтингу</w:t>
            </w:r>
          </w:p>
        </w:tc>
      </w:tr>
      <w:tr w:rsidR="00AE44EF" w:rsidRPr="00456EB5" w14:paraId="5DB2459F" w14:textId="77777777" w:rsidTr="00003FFE">
        <w:tc>
          <w:tcPr>
            <w:tcW w:w="2239" w:type="dxa"/>
            <w:tcBorders>
              <w:top w:val="single" w:sz="4" w:space="0" w:color="auto"/>
              <w:left w:val="single" w:sz="4" w:space="0" w:color="auto"/>
              <w:bottom w:val="single" w:sz="4" w:space="0" w:color="auto"/>
              <w:right w:val="single" w:sz="4" w:space="0" w:color="auto"/>
            </w:tcBorders>
            <w:hideMark/>
          </w:tcPr>
          <w:p w14:paraId="6BA3CC4A" w14:textId="77777777" w:rsidR="00294BF7" w:rsidRPr="00456EB5" w:rsidRDefault="00294BF7" w:rsidP="00294BF7">
            <w:pPr>
              <w:pStyle w:val="ae"/>
              <w:jc w:val="center"/>
              <w:rPr>
                <w:b/>
                <w:bCs/>
                <w:color w:val="000000"/>
                <w:lang w:val="uk-UA"/>
              </w:rPr>
            </w:pPr>
            <w:r w:rsidRPr="00456EB5">
              <w:rPr>
                <w:b/>
                <w:bCs/>
                <w:color w:val="000000"/>
                <w:lang w:val="uk-UA"/>
              </w:rPr>
              <w:t>Альтернатива 1</w:t>
            </w:r>
          </w:p>
          <w:p w14:paraId="05E112CB" w14:textId="72EAB8D7" w:rsidR="00294BF7" w:rsidRPr="00456EB5" w:rsidRDefault="00AE44EF" w:rsidP="00294BF7">
            <w:pPr>
              <w:pStyle w:val="ae"/>
              <w:jc w:val="center"/>
              <w:rPr>
                <w:color w:val="000000"/>
                <w:lang w:val="uk-UA"/>
              </w:rPr>
            </w:pPr>
            <w:r w:rsidRPr="00456EB5">
              <w:rPr>
                <w:lang w:val="uk-UA"/>
              </w:rPr>
              <w:t>Прийняти проєкт постанови</w:t>
            </w:r>
          </w:p>
        </w:tc>
        <w:tc>
          <w:tcPr>
            <w:tcW w:w="2183" w:type="dxa"/>
            <w:tcBorders>
              <w:top w:val="single" w:sz="4" w:space="0" w:color="auto"/>
              <w:left w:val="single" w:sz="4" w:space="0" w:color="auto"/>
              <w:bottom w:val="single" w:sz="4" w:space="0" w:color="auto"/>
              <w:right w:val="single" w:sz="4" w:space="0" w:color="auto"/>
            </w:tcBorders>
            <w:hideMark/>
          </w:tcPr>
          <w:p w14:paraId="269ABC68" w14:textId="18DB839A" w:rsidR="00294BF7" w:rsidRPr="00456EB5" w:rsidRDefault="00AE44EF" w:rsidP="00AE44EF">
            <w:pPr>
              <w:pStyle w:val="ae"/>
              <w:jc w:val="center"/>
              <w:rPr>
                <w:color w:val="000000"/>
                <w:lang w:val="uk-UA"/>
              </w:rPr>
            </w:pPr>
            <w:r w:rsidRPr="00456EB5">
              <w:rPr>
                <w:color w:val="000000"/>
                <w:lang w:val="uk-UA"/>
              </w:rPr>
              <w:t>Забезпечує досягнення цілей державного регулювання</w:t>
            </w:r>
          </w:p>
        </w:tc>
        <w:tc>
          <w:tcPr>
            <w:tcW w:w="2133" w:type="dxa"/>
            <w:tcBorders>
              <w:top w:val="single" w:sz="4" w:space="0" w:color="auto"/>
              <w:left w:val="single" w:sz="4" w:space="0" w:color="auto"/>
              <w:bottom w:val="single" w:sz="4" w:space="0" w:color="auto"/>
              <w:right w:val="single" w:sz="4" w:space="0" w:color="auto"/>
            </w:tcBorders>
            <w:hideMark/>
          </w:tcPr>
          <w:p w14:paraId="193AA046" w14:textId="52DF32FC" w:rsidR="00294BF7" w:rsidRPr="00456EB5" w:rsidRDefault="00B5454E" w:rsidP="00294BF7">
            <w:pPr>
              <w:pStyle w:val="ae"/>
              <w:jc w:val="center"/>
              <w:rPr>
                <w:color w:val="000000"/>
                <w:lang w:val="uk-UA"/>
              </w:rPr>
            </w:pPr>
            <w:r w:rsidRPr="00456EB5">
              <w:rPr>
                <w:color w:val="000000"/>
                <w:lang w:val="uk-UA"/>
              </w:rPr>
              <w:t>Відсутні</w:t>
            </w:r>
          </w:p>
        </w:tc>
        <w:tc>
          <w:tcPr>
            <w:tcW w:w="3074" w:type="dxa"/>
            <w:tcBorders>
              <w:top w:val="single" w:sz="4" w:space="0" w:color="auto"/>
              <w:left w:val="single" w:sz="4" w:space="0" w:color="auto"/>
              <w:bottom w:val="single" w:sz="4" w:space="0" w:color="auto"/>
              <w:right w:val="single" w:sz="4" w:space="0" w:color="auto"/>
            </w:tcBorders>
            <w:hideMark/>
          </w:tcPr>
          <w:p w14:paraId="5D836B36" w14:textId="15B4D913" w:rsidR="00B5454E" w:rsidRPr="00456EB5" w:rsidRDefault="00B5454E" w:rsidP="00BA75A6">
            <w:pPr>
              <w:pStyle w:val="ae"/>
              <w:jc w:val="both"/>
              <w:rPr>
                <w:color w:val="000000"/>
                <w:lang w:val="uk-UA"/>
              </w:rPr>
            </w:pPr>
            <w:r w:rsidRPr="00456EB5">
              <w:rPr>
                <w:color w:val="000000"/>
                <w:lang w:val="uk-UA"/>
              </w:rPr>
              <w:t>Дозволяє вирішити проблему найбільш ефективним шляхом</w:t>
            </w:r>
          </w:p>
          <w:p w14:paraId="792363A2" w14:textId="53577BAD" w:rsidR="00294BF7" w:rsidRPr="00456EB5" w:rsidRDefault="00294BF7" w:rsidP="00BA75A6">
            <w:pPr>
              <w:pStyle w:val="ae"/>
              <w:jc w:val="both"/>
              <w:rPr>
                <w:color w:val="000000"/>
                <w:lang w:val="uk-UA"/>
              </w:rPr>
            </w:pPr>
          </w:p>
        </w:tc>
      </w:tr>
      <w:tr w:rsidR="00AE44EF" w:rsidRPr="00456EB5" w14:paraId="191C4737" w14:textId="77777777" w:rsidTr="00003FFE">
        <w:tc>
          <w:tcPr>
            <w:tcW w:w="2239" w:type="dxa"/>
            <w:tcBorders>
              <w:top w:val="single" w:sz="4" w:space="0" w:color="auto"/>
              <w:left w:val="single" w:sz="4" w:space="0" w:color="auto"/>
              <w:bottom w:val="single" w:sz="4" w:space="0" w:color="auto"/>
              <w:right w:val="single" w:sz="4" w:space="0" w:color="auto"/>
            </w:tcBorders>
            <w:hideMark/>
          </w:tcPr>
          <w:p w14:paraId="1B25C3B3" w14:textId="77777777" w:rsidR="00294BF7" w:rsidRPr="00456EB5" w:rsidRDefault="00294BF7" w:rsidP="00294BF7">
            <w:pPr>
              <w:pStyle w:val="ae"/>
              <w:jc w:val="center"/>
              <w:rPr>
                <w:b/>
                <w:bCs/>
                <w:color w:val="000000"/>
                <w:lang w:val="uk-UA"/>
              </w:rPr>
            </w:pPr>
            <w:r w:rsidRPr="00456EB5">
              <w:rPr>
                <w:b/>
                <w:bCs/>
                <w:color w:val="000000"/>
                <w:lang w:val="uk-UA"/>
              </w:rPr>
              <w:t>Альтернатива 2</w:t>
            </w:r>
          </w:p>
          <w:p w14:paraId="1E83BA4E" w14:textId="77777777" w:rsidR="00B5454E" w:rsidRDefault="00AE44EF" w:rsidP="00456EB5">
            <w:pPr>
              <w:pStyle w:val="ae"/>
              <w:jc w:val="center"/>
              <w:rPr>
                <w:lang w:val="uk-UA"/>
              </w:rPr>
            </w:pPr>
            <w:r w:rsidRPr="00456EB5">
              <w:rPr>
                <w:lang w:val="uk-UA"/>
              </w:rPr>
              <w:t>Залишити без змін</w:t>
            </w:r>
          </w:p>
          <w:p w14:paraId="12D162D3" w14:textId="6020BE53" w:rsidR="00456EB5" w:rsidRPr="00456EB5" w:rsidRDefault="00456EB5" w:rsidP="00456EB5">
            <w:pPr>
              <w:pStyle w:val="ae"/>
              <w:jc w:val="center"/>
              <w:rPr>
                <w:lang w:val="uk-UA"/>
              </w:rPr>
            </w:pPr>
          </w:p>
        </w:tc>
        <w:tc>
          <w:tcPr>
            <w:tcW w:w="2183" w:type="dxa"/>
            <w:tcBorders>
              <w:top w:val="single" w:sz="4" w:space="0" w:color="auto"/>
              <w:left w:val="single" w:sz="4" w:space="0" w:color="auto"/>
              <w:bottom w:val="single" w:sz="4" w:space="0" w:color="auto"/>
              <w:right w:val="single" w:sz="4" w:space="0" w:color="auto"/>
            </w:tcBorders>
            <w:hideMark/>
          </w:tcPr>
          <w:p w14:paraId="05C9065B" w14:textId="220BEF9D" w:rsidR="00294BF7" w:rsidRPr="00456EB5" w:rsidRDefault="00B5454E" w:rsidP="00294BF7">
            <w:pPr>
              <w:pStyle w:val="ae"/>
              <w:jc w:val="center"/>
              <w:rPr>
                <w:color w:val="000000"/>
                <w:lang w:val="uk-UA"/>
              </w:rPr>
            </w:pPr>
            <w:r w:rsidRPr="00456EB5">
              <w:rPr>
                <w:color w:val="000000"/>
                <w:lang w:val="uk-UA"/>
              </w:rPr>
              <w:t>Відсутні</w:t>
            </w:r>
          </w:p>
        </w:tc>
        <w:tc>
          <w:tcPr>
            <w:tcW w:w="2133" w:type="dxa"/>
            <w:tcBorders>
              <w:top w:val="single" w:sz="4" w:space="0" w:color="auto"/>
              <w:left w:val="single" w:sz="4" w:space="0" w:color="auto"/>
              <w:bottom w:val="single" w:sz="4" w:space="0" w:color="auto"/>
              <w:right w:val="single" w:sz="4" w:space="0" w:color="auto"/>
            </w:tcBorders>
            <w:hideMark/>
          </w:tcPr>
          <w:p w14:paraId="0C059266" w14:textId="24024134" w:rsidR="00294BF7" w:rsidRPr="00456EB5" w:rsidRDefault="00AE44EF" w:rsidP="00294BF7">
            <w:pPr>
              <w:pStyle w:val="ae"/>
              <w:jc w:val="center"/>
              <w:rPr>
                <w:color w:val="000000"/>
                <w:lang w:val="uk-UA"/>
              </w:rPr>
            </w:pPr>
            <w:r w:rsidRPr="00456EB5">
              <w:rPr>
                <w:color w:val="000000"/>
                <w:lang w:val="uk-UA"/>
              </w:rPr>
              <w:t>Невиконання вимог чинного законодавства</w:t>
            </w:r>
          </w:p>
        </w:tc>
        <w:tc>
          <w:tcPr>
            <w:tcW w:w="3074" w:type="dxa"/>
            <w:tcBorders>
              <w:top w:val="single" w:sz="4" w:space="0" w:color="auto"/>
              <w:left w:val="single" w:sz="4" w:space="0" w:color="auto"/>
              <w:bottom w:val="single" w:sz="4" w:space="0" w:color="auto"/>
              <w:right w:val="single" w:sz="4" w:space="0" w:color="auto"/>
            </w:tcBorders>
            <w:hideMark/>
          </w:tcPr>
          <w:p w14:paraId="4CCE1584" w14:textId="01370C4B" w:rsidR="00294BF7" w:rsidRPr="00456EB5" w:rsidRDefault="00B5454E" w:rsidP="00BA75A6">
            <w:pPr>
              <w:pStyle w:val="ae"/>
              <w:jc w:val="both"/>
              <w:rPr>
                <w:color w:val="000000"/>
                <w:lang w:val="uk-UA"/>
              </w:rPr>
            </w:pPr>
            <w:r w:rsidRPr="00456EB5">
              <w:rPr>
                <w:color w:val="000000"/>
                <w:lang w:val="uk-UA"/>
              </w:rPr>
              <w:t>Не дозволяє вирішити проблему</w:t>
            </w:r>
          </w:p>
        </w:tc>
      </w:tr>
    </w:tbl>
    <w:p w14:paraId="215F6F73" w14:textId="77777777" w:rsidR="00294BF7" w:rsidRPr="00F364A9" w:rsidRDefault="00294BF7" w:rsidP="00590BC2">
      <w:pPr>
        <w:rPr>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6"/>
        <w:gridCol w:w="3869"/>
        <w:gridCol w:w="2754"/>
      </w:tblGrid>
      <w:tr w:rsidR="00294BF7" w:rsidRPr="00456EB5" w14:paraId="50494884" w14:textId="77777777" w:rsidTr="00B5454E">
        <w:tc>
          <w:tcPr>
            <w:tcW w:w="3006" w:type="dxa"/>
            <w:tcBorders>
              <w:top w:val="single" w:sz="4" w:space="0" w:color="auto"/>
              <w:left w:val="single" w:sz="4" w:space="0" w:color="auto"/>
              <w:bottom w:val="single" w:sz="4" w:space="0" w:color="auto"/>
              <w:right w:val="single" w:sz="4" w:space="0" w:color="auto"/>
            </w:tcBorders>
            <w:hideMark/>
          </w:tcPr>
          <w:p w14:paraId="2F9886DB" w14:textId="77777777" w:rsidR="00294BF7" w:rsidRPr="00456EB5" w:rsidRDefault="00294BF7" w:rsidP="00294BF7">
            <w:pPr>
              <w:pStyle w:val="ae"/>
              <w:jc w:val="center"/>
              <w:rPr>
                <w:color w:val="000000"/>
                <w:lang w:val="uk-UA"/>
              </w:rPr>
            </w:pPr>
            <w:r w:rsidRPr="00456EB5">
              <w:rPr>
                <w:color w:val="000000"/>
                <w:lang w:val="uk-UA"/>
              </w:rPr>
              <w:t>Рейтинг</w:t>
            </w:r>
          </w:p>
        </w:tc>
        <w:tc>
          <w:tcPr>
            <w:tcW w:w="3869" w:type="dxa"/>
            <w:tcBorders>
              <w:top w:val="single" w:sz="4" w:space="0" w:color="auto"/>
              <w:left w:val="single" w:sz="4" w:space="0" w:color="auto"/>
              <w:bottom w:val="single" w:sz="4" w:space="0" w:color="auto"/>
              <w:right w:val="single" w:sz="4" w:space="0" w:color="auto"/>
            </w:tcBorders>
            <w:hideMark/>
          </w:tcPr>
          <w:p w14:paraId="097A4B51" w14:textId="77777777" w:rsidR="00294BF7" w:rsidRPr="00456EB5" w:rsidRDefault="00294BF7" w:rsidP="00294BF7">
            <w:pPr>
              <w:pStyle w:val="ae"/>
              <w:jc w:val="center"/>
              <w:rPr>
                <w:color w:val="000000"/>
                <w:lang w:val="uk-UA"/>
              </w:rPr>
            </w:pPr>
            <w:r w:rsidRPr="00456EB5">
              <w:rPr>
                <w:color w:val="000000"/>
                <w:lang w:val="uk-UA"/>
              </w:rPr>
              <w:t>Аргументи щодо переваги обраної альтернативи / причини відмови від альтернативи</w:t>
            </w:r>
          </w:p>
        </w:tc>
        <w:tc>
          <w:tcPr>
            <w:tcW w:w="2754" w:type="dxa"/>
            <w:tcBorders>
              <w:top w:val="single" w:sz="4" w:space="0" w:color="auto"/>
              <w:left w:val="single" w:sz="4" w:space="0" w:color="auto"/>
              <w:bottom w:val="single" w:sz="4" w:space="0" w:color="auto"/>
              <w:right w:val="single" w:sz="4" w:space="0" w:color="auto"/>
            </w:tcBorders>
            <w:hideMark/>
          </w:tcPr>
          <w:p w14:paraId="33A8080A" w14:textId="77777777" w:rsidR="00294BF7" w:rsidRPr="00456EB5" w:rsidRDefault="00294BF7" w:rsidP="00294BF7">
            <w:pPr>
              <w:pStyle w:val="ae"/>
              <w:jc w:val="center"/>
              <w:rPr>
                <w:color w:val="000000"/>
                <w:lang w:val="uk-UA"/>
              </w:rPr>
            </w:pPr>
            <w:r w:rsidRPr="00456EB5">
              <w:rPr>
                <w:color w:val="000000"/>
                <w:lang w:val="uk-UA"/>
              </w:rPr>
              <w:t>Оцінка ризику зовнішніх чинників на дію запропонованого регуляторного акта</w:t>
            </w:r>
          </w:p>
        </w:tc>
      </w:tr>
      <w:tr w:rsidR="00BE6970" w:rsidRPr="00456EB5" w14:paraId="4C0CFF4E" w14:textId="77777777" w:rsidTr="00BE6970">
        <w:tc>
          <w:tcPr>
            <w:tcW w:w="3006" w:type="dxa"/>
            <w:tcBorders>
              <w:top w:val="single" w:sz="4" w:space="0" w:color="auto"/>
              <w:left w:val="single" w:sz="4" w:space="0" w:color="auto"/>
              <w:bottom w:val="single" w:sz="4" w:space="0" w:color="auto"/>
              <w:right w:val="single" w:sz="4" w:space="0" w:color="auto"/>
            </w:tcBorders>
            <w:hideMark/>
          </w:tcPr>
          <w:p w14:paraId="14BD25DC" w14:textId="77777777" w:rsidR="00BE6970" w:rsidRPr="00456EB5" w:rsidRDefault="00BE6970" w:rsidP="00BE6970">
            <w:pPr>
              <w:pStyle w:val="ae"/>
              <w:jc w:val="center"/>
              <w:rPr>
                <w:b/>
                <w:bCs/>
                <w:color w:val="000000"/>
                <w:lang w:val="uk-UA"/>
              </w:rPr>
            </w:pPr>
            <w:r w:rsidRPr="00456EB5">
              <w:rPr>
                <w:b/>
                <w:bCs/>
                <w:color w:val="000000"/>
                <w:lang w:val="uk-UA"/>
              </w:rPr>
              <w:t>Альтернатива 1</w:t>
            </w:r>
          </w:p>
          <w:p w14:paraId="28D12B9A" w14:textId="37621C66" w:rsidR="00BE6970" w:rsidRPr="00456EB5" w:rsidRDefault="00BE6970" w:rsidP="00BE6970">
            <w:pPr>
              <w:pStyle w:val="ae"/>
              <w:jc w:val="center"/>
              <w:rPr>
                <w:color w:val="000000"/>
                <w:lang w:val="uk-UA"/>
              </w:rPr>
            </w:pPr>
            <w:r w:rsidRPr="00456EB5">
              <w:rPr>
                <w:lang w:val="uk-UA"/>
              </w:rPr>
              <w:t>Прийняти проєкт постанови</w:t>
            </w:r>
          </w:p>
        </w:tc>
        <w:tc>
          <w:tcPr>
            <w:tcW w:w="3869" w:type="dxa"/>
            <w:tcBorders>
              <w:top w:val="single" w:sz="4" w:space="0" w:color="auto"/>
              <w:left w:val="single" w:sz="4" w:space="0" w:color="auto"/>
              <w:bottom w:val="single" w:sz="4" w:space="0" w:color="auto"/>
              <w:right w:val="single" w:sz="4" w:space="0" w:color="auto"/>
            </w:tcBorders>
          </w:tcPr>
          <w:p w14:paraId="7B827E05" w14:textId="38AE6366" w:rsidR="00BE6970" w:rsidRPr="00456EB5" w:rsidRDefault="00BE6970" w:rsidP="00BE6970">
            <w:pPr>
              <w:pStyle w:val="ae"/>
              <w:jc w:val="center"/>
              <w:rPr>
                <w:color w:val="000000"/>
                <w:lang w:val="uk-UA"/>
              </w:rPr>
            </w:pPr>
            <w:r w:rsidRPr="00456EB5">
              <w:rPr>
                <w:color w:val="000000"/>
                <w:lang w:val="uk-UA"/>
              </w:rPr>
              <w:t>Дозволяє вирішити проблему найбільш ефективним способом з найменшими витратами ресурсів, забезпечує досягнення цілей державного регулювання у сфері електроенергетики</w:t>
            </w:r>
          </w:p>
        </w:tc>
        <w:tc>
          <w:tcPr>
            <w:tcW w:w="2754" w:type="dxa"/>
            <w:tcBorders>
              <w:top w:val="single" w:sz="4" w:space="0" w:color="auto"/>
              <w:left w:val="single" w:sz="4" w:space="0" w:color="auto"/>
              <w:bottom w:val="single" w:sz="4" w:space="0" w:color="auto"/>
              <w:right w:val="single" w:sz="4" w:space="0" w:color="auto"/>
            </w:tcBorders>
          </w:tcPr>
          <w:p w14:paraId="5829862B" w14:textId="1528146D" w:rsidR="00BE6970" w:rsidRPr="00456EB5" w:rsidRDefault="00BE6970" w:rsidP="00BE6970">
            <w:pPr>
              <w:pStyle w:val="ae"/>
              <w:jc w:val="center"/>
              <w:rPr>
                <w:color w:val="000000"/>
                <w:lang w:val="uk-UA"/>
              </w:rPr>
            </w:pPr>
            <w:r w:rsidRPr="00456EB5">
              <w:rPr>
                <w:color w:val="000000"/>
                <w:lang w:val="uk-UA"/>
              </w:rPr>
              <w:t>відсутні</w:t>
            </w:r>
          </w:p>
        </w:tc>
      </w:tr>
      <w:tr w:rsidR="00BE6970" w:rsidRPr="00456EB5" w14:paraId="5FEDF1F3" w14:textId="77777777" w:rsidTr="00BE6970">
        <w:tc>
          <w:tcPr>
            <w:tcW w:w="3006" w:type="dxa"/>
            <w:tcBorders>
              <w:top w:val="single" w:sz="4" w:space="0" w:color="auto"/>
              <w:left w:val="single" w:sz="4" w:space="0" w:color="auto"/>
              <w:bottom w:val="single" w:sz="4" w:space="0" w:color="auto"/>
              <w:right w:val="single" w:sz="4" w:space="0" w:color="auto"/>
            </w:tcBorders>
            <w:hideMark/>
          </w:tcPr>
          <w:p w14:paraId="6EEE26F5" w14:textId="77777777" w:rsidR="00BE6970" w:rsidRPr="00456EB5" w:rsidRDefault="00BE6970" w:rsidP="00BE6970">
            <w:pPr>
              <w:pStyle w:val="ae"/>
              <w:jc w:val="center"/>
              <w:rPr>
                <w:b/>
                <w:bCs/>
                <w:color w:val="000000"/>
                <w:lang w:val="uk-UA"/>
              </w:rPr>
            </w:pPr>
            <w:r w:rsidRPr="00456EB5">
              <w:rPr>
                <w:b/>
                <w:bCs/>
                <w:color w:val="000000"/>
                <w:lang w:val="uk-UA"/>
              </w:rPr>
              <w:t>Альтернатива 2</w:t>
            </w:r>
          </w:p>
          <w:p w14:paraId="41597998" w14:textId="77777777" w:rsidR="00BE6970" w:rsidRPr="00456EB5" w:rsidRDefault="00BE6970" w:rsidP="00BE6970">
            <w:pPr>
              <w:pStyle w:val="ae"/>
              <w:jc w:val="center"/>
              <w:rPr>
                <w:lang w:val="uk-UA"/>
              </w:rPr>
            </w:pPr>
            <w:r w:rsidRPr="00456EB5">
              <w:rPr>
                <w:lang w:val="uk-UA"/>
              </w:rPr>
              <w:t>Залишити без змін</w:t>
            </w:r>
          </w:p>
          <w:p w14:paraId="26AECBFF" w14:textId="49E846BA" w:rsidR="00BE6970" w:rsidRPr="00456EB5" w:rsidRDefault="00BE6970" w:rsidP="00BE6970">
            <w:pPr>
              <w:pStyle w:val="ae"/>
              <w:jc w:val="center"/>
              <w:rPr>
                <w:color w:val="000000"/>
                <w:lang w:val="uk-UA"/>
              </w:rPr>
            </w:pPr>
          </w:p>
        </w:tc>
        <w:tc>
          <w:tcPr>
            <w:tcW w:w="3869" w:type="dxa"/>
            <w:tcBorders>
              <w:top w:val="single" w:sz="4" w:space="0" w:color="auto"/>
              <w:left w:val="single" w:sz="4" w:space="0" w:color="auto"/>
              <w:bottom w:val="single" w:sz="4" w:space="0" w:color="auto"/>
              <w:right w:val="single" w:sz="4" w:space="0" w:color="auto"/>
            </w:tcBorders>
          </w:tcPr>
          <w:p w14:paraId="1AD4BAB9" w14:textId="3EBD8FC7" w:rsidR="00BE6970" w:rsidRPr="00456EB5" w:rsidRDefault="00AA6076" w:rsidP="00BE6970">
            <w:pPr>
              <w:pStyle w:val="ae"/>
              <w:jc w:val="center"/>
              <w:rPr>
                <w:color w:val="000000"/>
                <w:lang w:val="uk-UA"/>
              </w:rPr>
            </w:pPr>
            <w:r w:rsidRPr="00456EB5">
              <w:rPr>
                <w:color w:val="000000"/>
                <w:lang w:val="uk-UA"/>
              </w:rPr>
              <w:t>Залишає проблему невирішеною</w:t>
            </w:r>
          </w:p>
        </w:tc>
        <w:tc>
          <w:tcPr>
            <w:tcW w:w="2754" w:type="dxa"/>
            <w:tcBorders>
              <w:top w:val="single" w:sz="4" w:space="0" w:color="auto"/>
              <w:left w:val="single" w:sz="4" w:space="0" w:color="auto"/>
              <w:bottom w:val="single" w:sz="4" w:space="0" w:color="auto"/>
              <w:right w:val="single" w:sz="4" w:space="0" w:color="auto"/>
            </w:tcBorders>
          </w:tcPr>
          <w:p w14:paraId="6E0C10D0" w14:textId="321AB72D" w:rsidR="00BE6970" w:rsidRPr="00456EB5" w:rsidRDefault="00BE6970" w:rsidP="00BE6970">
            <w:pPr>
              <w:pStyle w:val="ae"/>
              <w:jc w:val="center"/>
              <w:rPr>
                <w:color w:val="000000"/>
                <w:lang w:val="uk-UA"/>
              </w:rPr>
            </w:pPr>
            <w:r w:rsidRPr="00456EB5">
              <w:rPr>
                <w:color w:val="000000"/>
                <w:lang w:val="uk-UA"/>
              </w:rPr>
              <w:t>відсутні</w:t>
            </w:r>
          </w:p>
        </w:tc>
      </w:tr>
    </w:tbl>
    <w:p w14:paraId="08E890A6" w14:textId="77777777" w:rsidR="005D24FE" w:rsidRPr="00F364A9" w:rsidRDefault="005D24FE" w:rsidP="00590BC2">
      <w:pPr>
        <w:rPr>
          <w:color w:val="000000"/>
          <w:sz w:val="28"/>
          <w:szCs w:val="28"/>
          <w:lang w:val="uk-UA"/>
        </w:rPr>
      </w:pPr>
    </w:p>
    <w:p w14:paraId="2D94B56E" w14:textId="1844BDDE" w:rsidR="005D24FE" w:rsidRPr="00F364A9" w:rsidRDefault="005D24FE" w:rsidP="00BA75A6">
      <w:pPr>
        <w:ind w:firstLine="709"/>
        <w:jc w:val="both"/>
        <w:rPr>
          <w:color w:val="000000"/>
          <w:sz w:val="28"/>
          <w:szCs w:val="28"/>
          <w:lang w:val="uk-UA"/>
        </w:rPr>
      </w:pPr>
      <w:r w:rsidRPr="00F364A9">
        <w:rPr>
          <w:color w:val="000000"/>
          <w:sz w:val="28"/>
          <w:szCs w:val="28"/>
          <w:lang w:val="uk-UA"/>
        </w:rPr>
        <w:t>Альтернатива 1 є найбільш оптимальним способом досягнення цілей</w:t>
      </w:r>
      <w:r w:rsidR="00BE6970" w:rsidRPr="00F364A9">
        <w:rPr>
          <w:color w:val="000000"/>
          <w:sz w:val="28"/>
          <w:szCs w:val="28"/>
          <w:lang w:val="uk-UA"/>
        </w:rPr>
        <w:t xml:space="preserve"> державного регулювання</w:t>
      </w:r>
      <w:r w:rsidRPr="00F364A9">
        <w:rPr>
          <w:color w:val="000000"/>
          <w:sz w:val="28"/>
          <w:szCs w:val="28"/>
          <w:lang w:val="uk-UA"/>
        </w:rPr>
        <w:t>.</w:t>
      </w:r>
    </w:p>
    <w:p w14:paraId="6375DCDC" w14:textId="77777777" w:rsidR="005D24FE" w:rsidRPr="00F364A9" w:rsidRDefault="005D24FE" w:rsidP="00590BC2">
      <w:pPr>
        <w:rPr>
          <w:color w:val="000000"/>
          <w:sz w:val="28"/>
          <w:szCs w:val="28"/>
          <w:lang w:val="uk-UA"/>
        </w:rPr>
      </w:pPr>
    </w:p>
    <w:p w14:paraId="6F9F5891" w14:textId="77777777" w:rsidR="004E245E" w:rsidRPr="00F364A9" w:rsidRDefault="004E245E" w:rsidP="004E245E">
      <w:pPr>
        <w:jc w:val="center"/>
        <w:rPr>
          <w:b/>
          <w:color w:val="000000"/>
          <w:sz w:val="28"/>
          <w:szCs w:val="28"/>
          <w:lang w:val="uk-UA"/>
        </w:rPr>
      </w:pPr>
      <w:r w:rsidRPr="00F364A9">
        <w:rPr>
          <w:b/>
          <w:color w:val="000000"/>
          <w:sz w:val="28"/>
          <w:szCs w:val="28"/>
          <w:lang w:val="en-US"/>
        </w:rPr>
        <w:t>V</w:t>
      </w:r>
      <w:r w:rsidRPr="00F364A9">
        <w:rPr>
          <w:b/>
          <w:color w:val="000000"/>
          <w:sz w:val="28"/>
          <w:szCs w:val="28"/>
        </w:rPr>
        <w:t>.</w:t>
      </w:r>
      <w:r w:rsidRPr="00F364A9">
        <w:rPr>
          <w:b/>
          <w:color w:val="000000"/>
          <w:sz w:val="28"/>
          <w:szCs w:val="28"/>
          <w:lang w:val="en-US"/>
        </w:rPr>
        <w:t> </w:t>
      </w:r>
      <w:r w:rsidRPr="00F364A9">
        <w:rPr>
          <w:b/>
          <w:color w:val="000000"/>
          <w:sz w:val="28"/>
          <w:szCs w:val="28"/>
          <w:lang w:val="uk-UA"/>
        </w:rPr>
        <w:t>Механізми та заходи, які забезпечать розв’язання визначеної проблеми</w:t>
      </w:r>
    </w:p>
    <w:p w14:paraId="4F159E7F" w14:textId="77777777" w:rsidR="004E245E" w:rsidRPr="00F364A9" w:rsidRDefault="004E245E" w:rsidP="004E245E">
      <w:pPr>
        <w:jc w:val="center"/>
        <w:rPr>
          <w:b/>
          <w:color w:val="000000"/>
          <w:sz w:val="28"/>
          <w:szCs w:val="28"/>
          <w:lang w:val="uk-UA"/>
        </w:rPr>
      </w:pPr>
    </w:p>
    <w:p w14:paraId="0B6E56AA" w14:textId="01213EF5" w:rsidR="004E245E" w:rsidRPr="00F364A9" w:rsidRDefault="004E245E" w:rsidP="004E245E">
      <w:pPr>
        <w:ind w:firstLine="709"/>
        <w:jc w:val="both"/>
        <w:rPr>
          <w:color w:val="000000"/>
          <w:sz w:val="28"/>
          <w:szCs w:val="28"/>
          <w:lang w:val="uk-UA"/>
        </w:rPr>
      </w:pPr>
      <w:r w:rsidRPr="00F364A9">
        <w:rPr>
          <w:color w:val="000000"/>
          <w:sz w:val="28"/>
          <w:szCs w:val="28"/>
          <w:lang w:val="uk-UA"/>
        </w:rPr>
        <w:t xml:space="preserve">Для досягнення поставленої мети пропонується прийняти постанову НКРЕКП </w:t>
      </w:r>
      <w:r w:rsidR="00AA54B4" w:rsidRPr="00F364A9">
        <w:rPr>
          <w:color w:val="000000"/>
          <w:sz w:val="28"/>
          <w:szCs w:val="28"/>
          <w:lang w:val="uk-UA"/>
        </w:rPr>
        <w:t>«</w:t>
      </w:r>
      <w:r w:rsidR="008C3BA0" w:rsidRPr="00F364A9">
        <w:rPr>
          <w:color w:val="000000"/>
          <w:sz w:val="28"/>
          <w:szCs w:val="28"/>
          <w:lang w:val="uk-UA"/>
        </w:rPr>
        <w:t>Про визнання такою, що втратила чинність, постанови НКРЕКП від</w:t>
      </w:r>
      <w:r w:rsidR="004F0D46" w:rsidRPr="00F364A9">
        <w:rPr>
          <w:color w:val="000000"/>
          <w:sz w:val="28"/>
          <w:szCs w:val="28"/>
          <w:lang w:val="en-US"/>
        </w:rPr>
        <w:t> </w:t>
      </w:r>
      <w:r w:rsidR="008C3BA0" w:rsidRPr="00F364A9">
        <w:rPr>
          <w:color w:val="000000"/>
          <w:sz w:val="28"/>
          <w:szCs w:val="28"/>
          <w:lang w:val="uk-UA"/>
        </w:rPr>
        <w:t>10</w:t>
      </w:r>
      <w:r w:rsidR="004F0D46" w:rsidRPr="00F364A9">
        <w:rPr>
          <w:color w:val="000000"/>
          <w:sz w:val="28"/>
          <w:szCs w:val="28"/>
          <w:lang w:val="en-US"/>
        </w:rPr>
        <w:t> </w:t>
      </w:r>
      <w:r w:rsidR="008C3BA0" w:rsidRPr="00F364A9">
        <w:rPr>
          <w:color w:val="000000"/>
          <w:sz w:val="28"/>
          <w:szCs w:val="28"/>
          <w:lang w:val="uk-UA"/>
        </w:rPr>
        <w:t>березня 2021 року № 390»</w:t>
      </w:r>
      <w:r w:rsidRPr="00F364A9">
        <w:rPr>
          <w:color w:val="000000"/>
          <w:sz w:val="28"/>
          <w:szCs w:val="28"/>
          <w:lang w:val="uk-UA"/>
        </w:rPr>
        <w:t xml:space="preserve">, що забезпечить ефективне виконання вимог </w:t>
      </w:r>
      <w:r w:rsidR="008C3BA0" w:rsidRPr="00F364A9">
        <w:rPr>
          <w:color w:val="000000"/>
          <w:sz w:val="28"/>
          <w:szCs w:val="28"/>
          <w:lang w:val="uk-UA"/>
        </w:rPr>
        <w:t>З</w:t>
      </w:r>
      <w:r w:rsidRPr="00F364A9">
        <w:rPr>
          <w:color w:val="000000"/>
          <w:sz w:val="28"/>
          <w:szCs w:val="28"/>
          <w:lang w:val="uk-UA"/>
        </w:rPr>
        <w:t>акон</w:t>
      </w:r>
      <w:r w:rsidR="008C3BA0" w:rsidRPr="00F364A9">
        <w:rPr>
          <w:color w:val="000000"/>
          <w:sz w:val="28"/>
          <w:szCs w:val="28"/>
          <w:lang w:val="uk-UA"/>
        </w:rPr>
        <w:t>у</w:t>
      </w:r>
      <w:r w:rsidRPr="00F364A9">
        <w:rPr>
          <w:color w:val="000000"/>
          <w:sz w:val="28"/>
          <w:szCs w:val="28"/>
          <w:lang w:val="uk-UA"/>
        </w:rPr>
        <w:t xml:space="preserve"> України «Про ринок електричної енергії»</w:t>
      </w:r>
      <w:r w:rsidR="008C3BA0" w:rsidRPr="00F364A9">
        <w:rPr>
          <w:color w:val="000000"/>
          <w:sz w:val="28"/>
          <w:szCs w:val="28"/>
          <w:lang w:val="uk-UA"/>
        </w:rPr>
        <w:t>.</w:t>
      </w:r>
    </w:p>
    <w:p w14:paraId="22FF7A25" w14:textId="77777777" w:rsidR="004E245E" w:rsidRPr="00F364A9" w:rsidRDefault="004E245E" w:rsidP="004E245E">
      <w:pPr>
        <w:ind w:firstLine="709"/>
        <w:jc w:val="both"/>
        <w:rPr>
          <w:color w:val="000000"/>
          <w:sz w:val="28"/>
          <w:szCs w:val="28"/>
          <w:lang w:val="uk-UA"/>
        </w:rPr>
      </w:pPr>
      <w:r w:rsidRPr="00F364A9">
        <w:rPr>
          <w:color w:val="000000"/>
          <w:sz w:val="28"/>
          <w:szCs w:val="28"/>
          <w:lang w:val="uk-UA"/>
        </w:rPr>
        <w:t>Впливу зовнішніх факторів, що можуть мати негативний вплив на виконання вимог регуляторного акта, не очікується.</w:t>
      </w:r>
    </w:p>
    <w:p w14:paraId="049A67B0" w14:textId="77777777" w:rsidR="008A5B9F" w:rsidRDefault="008A5B9F" w:rsidP="00051E34">
      <w:pPr>
        <w:rPr>
          <w:b/>
          <w:color w:val="000000"/>
          <w:sz w:val="28"/>
          <w:szCs w:val="28"/>
          <w:lang w:val="uk-UA"/>
        </w:rPr>
      </w:pPr>
    </w:p>
    <w:p w14:paraId="490B5B3A" w14:textId="312F74A3" w:rsidR="004E245E" w:rsidRPr="00F364A9" w:rsidRDefault="004E245E" w:rsidP="004E245E">
      <w:pPr>
        <w:jc w:val="center"/>
        <w:rPr>
          <w:b/>
          <w:color w:val="000000"/>
          <w:sz w:val="28"/>
          <w:szCs w:val="28"/>
          <w:lang w:val="uk-UA"/>
        </w:rPr>
      </w:pPr>
      <w:r w:rsidRPr="00456EB5">
        <w:rPr>
          <w:b/>
          <w:color w:val="000000"/>
          <w:sz w:val="28"/>
          <w:szCs w:val="28"/>
          <w:lang w:val="uk-UA"/>
        </w:rPr>
        <w:t>VI. Обґру</w:t>
      </w:r>
      <w:r w:rsidRPr="00F364A9">
        <w:rPr>
          <w:b/>
          <w:color w:val="000000"/>
          <w:sz w:val="28"/>
          <w:szCs w:val="28"/>
          <w:lang w:val="uk-UA"/>
        </w:rPr>
        <w:t>нтування запропонованого строку дії регуляторного акта</w:t>
      </w:r>
    </w:p>
    <w:p w14:paraId="53B78C1F" w14:textId="77777777" w:rsidR="004E245E" w:rsidRPr="00F364A9" w:rsidRDefault="004E245E" w:rsidP="004E245E">
      <w:pPr>
        <w:ind w:firstLine="709"/>
        <w:jc w:val="both"/>
        <w:rPr>
          <w:color w:val="000000"/>
          <w:sz w:val="28"/>
          <w:szCs w:val="28"/>
          <w:lang w:val="uk-UA"/>
        </w:rPr>
      </w:pPr>
    </w:p>
    <w:p w14:paraId="4387691D" w14:textId="77777777" w:rsidR="004E245E" w:rsidRPr="00F364A9" w:rsidRDefault="004E245E" w:rsidP="004E245E">
      <w:pPr>
        <w:ind w:firstLine="709"/>
        <w:jc w:val="both"/>
        <w:rPr>
          <w:color w:val="000000"/>
          <w:sz w:val="28"/>
          <w:szCs w:val="28"/>
          <w:lang w:val="uk-UA"/>
        </w:rPr>
      </w:pPr>
      <w:r w:rsidRPr="00F364A9">
        <w:rPr>
          <w:color w:val="000000"/>
          <w:sz w:val="28"/>
          <w:szCs w:val="28"/>
          <w:lang w:val="uk-UA"/>
        </w:rPr>
        <w:t>Строк дії акта необмежений та може бути змінений у разі внесення відповідних змін до чинного законодавства.</w:t>
      </w:r>
    </w:p>
    <w:p w14:paraId="3CD84DEF" w14:textId="77777777" w:rsidR="004E245E" w:rsidRPr="00F364A9" w:rsidRDefault="004E245E" w:rsidP="004E245E">
      <w:pPr>
        <w:ind w:firstLine="709"/>
        <w:jc w:val="both"/>
        <w:rPr>
          <w:color w:val="000000"/>
          <w:sz w:val="28"/>
          <w:szCs w:val="28"/>
          <w:lang w:val="uk-UA"/>
        </w:rPr>
      </w:pPr>
    </w:p>
    <w:p w14:paraId="51329FD7" w14:textId="1A8B140E" w:rsidR="004E245E" w:rsidRPr="00F364A9" w:rsidRDefault="004E245E" w:rsidP="004E245E">
      <w:pPr>
        <w:jc w:val="center"/>
        <w:rPr>
          <w:b/>
          <w:color w:val="000000"/>
          <w:sz w:val="28"/>
          <w:szCs w:val="28"/>
          <w:lang w:val="uk-UA"/>
        </w:rPr>
      </w:pPr>
      <w:r w:rsidRPr="00F364A9">
        <w:rPr>
          <w:b/>
          <w:color w:val="000000"/>
          <w:sz w:val="28"/>
          <w:szCs w:val="28"/>
          <w:lang w:val="uk-UA"/>
        </w:rPr>
        <w:t>VII. Визначення показників результативності дії регуляторного акта</w:t>
      </w:r>
    </w:p>
    <w:p w14:paraId="1E2AE907" w14:textId="77777777" w:rsidR="004E245E" w:rsidRPr="00F364A9" w:rsidRDefault="004E245E" w:rsidP="004E245E">
      <w:pPr>
        <w:ind w:firstLine="709"/>
        <w:jc w:val="both"/>
        <w:rPr>
          <w:color w:val="000000"/>
          <w:sz w:val="28"/>
          <w:szCs w:val="28"/>
          <w:lang w:val="uk-UA"/>
        </w:rPr>
      </w:pPr>
    </w:p>
    <w:p w14:paraId="603F049B" w14:textId="77777777" w:rsidR="008E6F20" w:rsidRPr="00F364A9" w:rsidRDefault="008E6F20" w:rsidP="008E6F20">
      <w:pPr>
        <w:ind w:firstLine="709"/>
        <w:jc w:val="both"/>
        <w:rPr>
          <w:color w:val="000000"/>
          <w:sz w:val="28"/>
          <w:szCs w:val="28"/>
          <w:lang w:val="uk-UA"/>
        </w:rPr>
      </w:pPr>
      <w:r w:rsidRPr="00F364A9">
        <w:rPr>
          <w:color w:val="000000"/>
          <w:sz w:val="28"/>
          <w:szCs w:val="28"/>
          <w:lang w:val="uk-UA"/>
        </w:rPr>
        <w:t>Після набрання чинності постановою НКРЕКП «Про визнання такою, що втратила чинність, постанови НКРЕКП від 10 березня 2021 року № 390», її результативність визначатиметься такими показниками:</w:t>
      </w:r>
    </w:p>
    <w:p w14:paraId="32A9502B" w14:textId="182AABD6" w:rsidR="008E6F20" w:rsidRPr="00F364A9" w:rsidRDefault="008E6F20" w:rsidP="008E6F20">
      <w:pPr>
        <w:ind w:firstLine="709"/>
        <w:jc w:val="both"/>
        <w:rPr>
          <w:color w:val="000000"/>
          <w:sz w:val="28"/>
          <w:szCs w:val="28"/>
          <w:lang w:val="uk-UA"/>
        </w:rPr>
      </w:pPr>
      <w:r w:rsidRPr="00F364A9">
        <w:rPr>
          <w:color w:val="000000"/>
          <w:sz w:val="28"/>
          <w:szCs w:val="28"/>
          <w:lang w:val="uk-UA"/>
        </w:rPr>
        <w:t xml:space="preserve">1) реалізація проекту регуляторного акта не потребує додаткових витрат із Державного бюджету України; </w:t>
      </w:r>
    </w:p>
    <w:p w14:paraId="247552C5" w14:textId="5FC08829" w:rsidR="008E6F20" w:rsidRPr="00F364A9" w:rsidRDefault="008E6F20" w:rsidP="008E6F20">
      <w:pPr>
        <w:ind w:firstLine="709"/>
        <w:jc w:val="both"/>
        <w:rPr>
          <w:color w:val="000000"/>
          <w:sz w:val="28"/>
          <w:szCs w:val="28"/>
          <w:lang w:val="uk-UA"/>
        </w:rPr>
      </w:pPr>
      <w:r w:rsidRPr="00F364A9">
        <w:rPr>
          <w:color w:val="000000"/>
          <w:sz w:val="28"/>
          <w:szCs w:val="28"/>
          <w:lang w:val="uk-UA"/>
        </w:rPr>
        <w:t>2) унормування подання звітності ліцензіатами НКРЕКП</w:t>
      </w:r>
      <w:r w:rsidR="006C2CFD" w:rsidRPr="00F364A9">
        <w:rPr>
          <w:color w:val="000000"/>
          <w:sz w:val="28"/>
          <w:szCs w:val="28"/>
          <w:lang w:val="uk-UA"/>
        </w:rPr>
        <w:t>;</w:t>
      </w:r>
    </w:p>
    <w:p w14:paraId="349DDD08" w14:textId="77777777" w:rsidR="004E245E" w:rsidRPr="00F364A9" w:rsidRDefault="004E245E" w:rsidP="004E245E">
      <w:pPr>
        <w:ind w:firstLine="709"/>
        <w:jc w:val="both"/>
        <w:rPr>
          <w:sz w:val="28"/>
          <w:szCs w:val="28"/>
          <w:lang w:val="uk-UA"/>
        </w:rPr>
      </w:pPr>
      <w:r w:rsidRPr="00F364A9">
        <w:rPr>
          <w:sz w:val="28"/>
          <w:szCs w:val="28"/>
          <w:lang w:val="uk-UA"/>
        </w:rPr>
        <w:t>3) рівень поінформованості суб’єктів господарювання та фізичних осіб з основних положень акта – середній.</w:t>
      </w:r>
    </w:p>
    <w:p w14:paraId="34A8E29F" w14:textId="05846B4C" w:rsidR="00AA54B4" w:rsidRPr="00F364A9" w:rsidRDefault="00AA54B4" w:rsidP="00AA54B4">
      <w:pPr>
        <w:ind w:firstLine="709"/>
        <w:jc w:val="both"/>
        <w:rPr>
          <w:sz w:val="28"/>
          <w:szCs w:val="28"/>
          <w:lang w:val="uk-UA"/>
        </w:rPr>
      </w:pPr>
      <w:r w:rsidRPr="00F364A9">
        <w:rPr>
          <w:sz w:val="28"/>
          <w:szCs w:val="28"/>
          <w:lang w:val="uk-UA"/>
        </w:rPr>
        <w:t xml:space="preserve">Відповідно до вимог статті 15 Закону України «Про Національну комісію, що здійснює державне регулювання у сферах енергетики та комунальних послуг» проєкт постанови НКРЕКП «Про визнання такою, що втратила чинність, постанови НКРЕКП від 10 березня 2021 року № 390», що має ознаки регуляторного акта, разом з матеріалами, що обґрунтовують необхідність прийняття такого рішення, аналізом його впливу та повідомленням про оприлюднення розміщено на офіційному вебсайті НКРЕКП у мережі Інтернет http://nerc.gov.ua з метою одержання зауважень і пропозицій. </w:t>
      </w:r>
    </w:p>
    <w:p w14:paraId="691DD585" w14:textId="4E0AD024" w:rsidR="00AA54B4" w:rsidRPr="00F364A9" w:rsidRDefault="00AA54B4" w:rsidP="00AA54B4">
      <w:pPr>
        <w:ind w:firstLine="709"/>
        <w:jc w:val="both"/>
        <w:rPr>
          <w:sz w:val="28"/>
          <w:szCs w:val="28"/>
          <w:lang w:val="uk-UA"/>
        </w:rPr>
      </w:pPr>
      <w:r w:rsidRPr="00F364A9">
        <w:rPr>
          <w:sz w:val="28"/>
          <w:szCs w:val="28"/>
          <w:lang w:val="uk-UA"/>
        </w:rPr>
        <w:t>НКРЕКП у межах компетенції надає необхідні роз’яснення щодо норм проєкту регуляторного акта і надаватиме роз’яснення щодо застосування акта після його прийняття</w:t>
      </w:r>
    </w:p>
    <w:p w14:paraId="0E0843F4" w14:textId="77777777" w:rsidR="006C2CFD" w:rsidRPr="00F364A9" w:rsidRDefault="006C2CFD" w:rsidP="004E245E">
      <w:pPr>
        <w:ind w:firstLine="709"/>
        <w:jc w:val="both"/>
        <w:rPr>
          <w:sz w:val="28"/>
          <w:szCs w:val="28"/>
          <w:lang w:val="uk-UA"/>
        </w:rPr>
      </w:pPr>
    </w:p>
    <w:p w14:paraId="28BF7728" w14:textId="77777777" w:rsidR="004E245E" w:rsidRPr="00F364A9" w:rsidRDefault="004E245E" w:rsidP="004E245E">
      <w:pPr>
        <w:jc w:val="center"/>
        <w:rPr>
          <w:b/>
          <w:color w:val="000000"/>
          <w:sz w:val="28"/>
          <w:szCs w:val="28"/>
          <w:lang w:val="uk-UA"/>
        </w:rPr>
      </w:pPr>
      <w:r w:rsidRPr="00F364A9">
        <w:rPr>
          <w:b/>
          <w:color w:val="000000"/>
          <w:sz w:val="28"/>
          <w:szCs w:val="28"/>
          <w:lang w:val="uk-UA"/>
        </w:rPr>
        <w:t>VIII. Очікувані результати прийняття регуляторного акта</w:t>
      </w:r>
    </w:p>
    <w:p w14:paraId="544AF360" w14:textId="77777777" w:rsidR="004E245E" w:rsidRPr="00F364A9" w:rsidRDefault="004E245E" w:rsidP="004E245E">
      <w:pPr>
        <w:ind w:firstLine="709"/>
        <w:jc w:val="both"/>
        <w:rPr>
          <w:b/>
          <w:color w:val="000000"/>
          <w:sz w:val="28"/>
          <w:szCs w:val="28"/>
          <w:lang w:val="uk-UA"/>
        </w:rPr>
      </w:pPr>
    </w:p>
    <w:p w14:paraId="68E589D7" w14:textId="77777777" w:rsidR="006C2CFD" w:rsidRPr="00F364A9" w:rsidRDefault="006C2CFD" w:rsidP="006C2CFD">
      <w:pPr>
        <w:tabs>
          <w:tab w:val="left" w:pos="1276"/>
        </w:tabs>
        <w:ind w:firstLine="709"/>
        <w:jc w:val="both"/>
        <w:rPr>
          <w:color w:val="000000"/>
          <w:sz w:val="28"/>
          <w:szCs w:val="28"/>
          <w:lang w:val="uk-UA"/>
        </w:rPr>
      </w:pPr>
      <w:r w:rsidRPr="00F364A9">
        <w:rPr>
          <w:color w:val="000000"/>
          <w:sz w:val="28"/>
          <w:szCs w:val="28"/>
          <w:lang w:val="uk-UA"/>
        </w:rPr>
        <w:t>Очікуваним результатом прийняття постанови НКРЕКП «Про визнання такою, що втратила чинність, постанови НКРЕКП, від 10 березня 2021 року № 390» є виконання вимог Закону України «Про ринок електричної енергії», а також оптимізація звітування до НКРЕКП.</w:t>
      </w:r>
    </w:p>
    <w:p w14:paraId="51824626" w14:textId="77777777" w:rsidR="004E245E" w:rsidRPr="00F364A9" w:rsidRDefault="004E245E" w:rsidP="004E245E">
      <w:pPr>
        <w:jc w:val="both"/>
        <w:rPr>
          <w:color w:val="000000"/>
          <w:sz w:val="28"/>
          <w:szCs w:val="28"/>
          <w:lang w:val="uk-UA"/>
        </w:rPr>
      </w:pPr>
    </w:p>
    <w:p w14:paraId="0DCA0DE1" w14:textId="77777777" w:rsidR="004E245E" w:rsidRPr="00F364A9" w:rsidRDefault="004E245E" w:rsidP="004E245E">
      <w:pPr>
        <w:jc w:val="both"/>
        <w:rPr>
          <w:color w:val="000000"/>
          <w:sz w:val="28"/>
          <w:szCs w:val="28"/>
          <w:lang w:val="uk-UA"/>
        </w:rPr>
      </w:pPr>
    </w:p>
    <w:p w14:paraId="1B831DB3" w14:textId="77777777" w:rsidR="004E245E" w:rsidRPr="00F364A9" w:rsidRDefault="004E245E" w:rsidP="004E245E">
      <w:pPr>
        <w:suppressAutoHyphens/>
        <w:ind w:right="141"/>
        <w:jc w:val="both"/>
        <w:rPr>
          <w:color w:val="000000"/>
          <w:sz w:val="28"/>
          <w:szCs w:val="28"/>
          <w:lang w:val="uk-UA"/>
        </w:rPr>
      </w:pPr>
      <w:r w:rsidRPr="00F364A9">
        <w:rPr>
          <w:color w:val="000000"/>
          <w:sz w:val="28"/>
          <w:szCs w:val="28"/>
          <w:lang w:val="uk-UA"/>
        </w:rPr>
        <w:t>Голова НКРЕКП</w:t>
      </w:r>
      <w:r w:rsidRPr="00F364A9">
        <w:rPr>
          <w:color w:val="000000"/>
          <w:sz w:val="28"/>
          <w:szCs w:val="28"/>
          <w:lang w:val="uk-UA"/>
        </w:rPr>
        <w:tab/>
        <w:t xml:space="preserve">                                                                        Юрій ВЛАСЕНКО</w:t>
      </w:r>
    </w:p>
    <w:p w14:paraId="78077CD6" w14:textId="77777777" w:rsidR="00F94E71" w:rsidRPr="00F364A9" w:rsidRDefault="00F94E71" w:rsidP="00590BC2">
      <w:pPr>
        <w:rPr>
          <w:color w:val="000000"/>
          <w:sz w:val="28"/>
          <w:szCs w:val="28"/>
          <w:lang w:val="uk-UA"/>
        </w:rPr>
      </w:pPr>
    </w:p>
    <w:p w14:paraId="65BCEE5F" w14:textId="77777777" w:rsidR="00590BC2" w:rsidRPr="00F364A9" w:rsidRDefault="00590BC2" w:rsidP="00590BC2">
      <w:pPr>
        <w:jc w:val="both"/>
        <w:rPr>
          <w:color w:val="FF0000"/>
          <w:sz w:val="28"/>
          <w:szCs w:val="28"/>
          <w:lang w:val="uk-UA"/>
        </w:rPr>
      </w:pPr>
    </w:p>
    <w:p w14:paraId="3BC6CD87" w14:textId="77777777" w:rsidR="00CE331E" w:rsidRPr="00F364A9" w:rsidRDefault="00CE331E">
      <w:pPr>
        <w:rPr>
          <w:sz w:val="28"/>
          <w:szCs w:val="28"/>
          <w:lang w:val="uk-UA"/>
        </w:rPr>
      </w:pPr>
    </w:p>
    <w:sectPr w:rsidR="00CE331E" w:rsidRPr="00F364A9" w:rsidSect="00F364A9">
      <w:headerReference w:type="default" r:id="rId7"/>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2E714A" w14:textId="77777777" w:rsidR="00F364A9" w:rsidRDefault="00F364A9" w:rsidP="00F364A9">
      <w:r>
        <w:separator/>
      </w:r>
    </w:p>
  </w:endnote>
  <w:endnote w:type="continuationSeparator" w:id="0">
    <w:p w14:paraId="3F15B68E" w14:textId="77777777" w:rsidR="00F364A9" w:rsidRDefault="00F364A9" w:rsidP="00F364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FCEC6E" w14:textId="77777777" w:rsidR="00F364A9" w:rsidRDefault="00F364A9" w:rsidP="00F364A9">
      <w:r>
        <w:separator/>
      </w:r>
    </w:p>
  </w:footnote>
  <w:footnote w:type="continuationSeparator" w:id="0">
    <w:p w14:paraId="5101056A" w14:textId="77777777" w:rsidR="00F364A9" w:rsidRDefault="00F364A9" w:rsidP="00F364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83058638"/>
      <w:docPartObj>
        <w:docPartGallery w:val="Page Numbers (Top of Page)"/>
        <w:docPartUnique/>
      </w:docPartObj>
    </w:sdtPr>
    <w:sdtEndPr/>
    <w:sdtContent>
      <w:p w14:paraId="1D153BB2" w14:textId="5B21C3FC" w:rsidR="00F364A9" w:rsidRDefault="00F364A9">
        <w:pPr>
          <w:pStyle w:val="af1"/>
          <w:jc w:val="right"/>
        </w:pPr>
        <w:r>
          <w:fldChar w:fldCharType="begin"/>
        </w:r>
        <w:r>
          <w:instrText>PAGE   \* MERGEFORMAT</w:instrText>
        </w:r>
        <w:r>
          <w:fldChar w:fldCharType="separate"/>
        </w:r>
        <w:r>
          <w:rPr>
            <w:lang w:val="uk-UA"/>
          </w:rP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E41CAB"/>
    <w:multiLevelType w:val="hybridMultilevel"/>
    <w:tmpl w:val="4514A7B0"/>
    <w:lvl w:ilvl="0" w:tplc="28B2BAB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15:restartNumberingAfterBreak="0">
    <w:nsid w:val="2CFC7142"/>
    <w:multiLevelType w:val="hybridMultilevel"/>
    <w:tmpl w:val="1B10A57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51AF747C"/>
    <w:multiLevelType w:val="hybridMultilevel"/>
    <w:tmpl w:val="287EBE00"/>
    <w:lvl w:ilvl="0" w:tplc="0419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75760FDE"/>
    <w:multiLevelType w:val="hybridMultilevel"/>
    <w:tmpl w:val="C598CD1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873687810">
    <w:abstractNumId w:val="1"/>
  </w:num>
  <w:num w:numId="2" w16cid:durableId="748968015">
    <w:abstractNumId w:val="3"/>
  </w:num>
  <w:num w:numId="3" w16cid:durableId="1355837259">
    <w:abstractNumId w:val="2"/>
  </w:num>
  <w:num w:numId="4" w16cid:durableId="21471626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3D0E"/>
    <w:rsid w:val="00003FFE"/>
    <w:rsid w:val="00035F1F"/>
    <w:rsid w:val="00051E34"/>
    <w:rsid w:val="000C7A13"/>
    <w:rsid w:val="00143180"/>
    <w:rsid w:val="00192E09"/>
    <w:rsid w:val="0019315E"/>
    <w:rsid w:val="002236A0"/>
    <w:rsid w:val="00294BF7"/>
    <w:rsid w:val="00354CBB"/>
    <w:rsid w:val="003769AF"/>
    <w:rsid w:val="003778C2"/>
    <w:rsid w:val="00456EB5"/>
    <w:rsid w:val="004E245E"/>
    <w:rsid w:val="004F0D46"/>
    <w:rsid w:val="00526F15"/>
    <w:rsid w:val="005460B8"/>
    <w:rsid w:val="00590BC2"/>
    <w:rsid w:val="005D24FE"/>
    <w:rsid w:val="006141E8"/>
    <w:rsid w:val="00652214"/>
    <w:rsid w:val="006C2CFD"/>
    <w:rsid w:val="006D2E37"/>
    <w:rsid w:val="00702B27"/>
    <w:rsid w:val="007401BE"/>
    <w:rsid w:val="007653AC"/>
    <w:rsid w:val="00825145"/>
    <w:rsid w:val="00854433"/>
    <w:rsid w:val="008A5B9F"/>
    <w:rsid w:val="008C3BA0"/>
    <w:rsid w:val="008E6F20"/>
    <w:rsid w:val="00942D48"/>
    <w:rsid w:val="00A3288E"/>
    <w:rsid w:val="00A66636"/>
    <w:rsid w:val="00AA47BF"/>
    <w:rsid w:val="00AA54B4"/>
    <w:rsid w:val="00AA6076"/>
    <w:rsid w:val="00AB2C51"/>
    <w:rsid w:val="00AE44EF"/>
    <w:rsid w:val="00B00192"/>
    <w:rsid w:val="00B5454E"/>
    <w:rsid w:val="00B81A02"/>
    <w:rsid w:val="00BA75A6"/>
    <w:rsid w:val="00BC3CBB"/>
    <w:rsid w:val="00BE6970"/>
    <w:rsid w:val="00C0007F"/>
    <w:rsid w:val="00C50ED8"/>
    <w:rsid w:val="00C51556"/>
    <w:rsid w:val="00CA1137"/>
    <w:rsid w:val="00CC0D36"/>
    <w:rsid w:val="00CC4ECD"/>
    <w:rsid w:val="00CE00E3"/>
    <w:rsid w:val="00CE331E"/>
    <w:rsid w:val="00CF52E4"/>
    <w:rsid w:val="00D32B95"/>
    <w:rsid w:val="00D97155"/>
    <w:rsid w:val="00E03D0E"/>
    <w:rsid w:val="00EA7BFB"/>
    <w:rsid w:val="00F364A9"/>
    <w:rsid w:val="00F4609A"/>
    <w:rsid w:val="00F910B4"/>
    <w:rsid w:val="00F94E7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8182BD"/>
  <w15:chartTrackingRefBased/>
  <w15:docId w15:val="{61B3F0E3-1B81-4341-8225-C3E1B8F0D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HAnsi"/>
        <w:kern w:val="2"/>
        <w:sz w:val="28"/>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C0D36"/>
    <w:pPr>
      <w:spacing w:after="0" w:line="240" w:lineRule="auto"/>
    </w:pPr>
    <w:rPr>
      <w:rFonts w:eastAsia="Times New Roman" w:cs="Times New Roman"/>
      <w:kern w:val="0"/>
      <w:sz w:val="24"/>
      <w:szCs w:val="24"/>
      <w:lang w:val="ru-RU" w:eastAsia="ru-RU"/>
      <w14:ligatures w14:val="none"/>
    </w:rPr>
  </w:style>
  <w:style w:type="paragraph" w:styleId="1">
    <w:name w:val="heading 1"/>
    <w:basedOn w:val="a"/>
    <w:next w:val="a"/>
    <w:link w:val="10"/>
    <w:uiPriority w:val="9"/>
    <w:qFormat/>
    <w:rsid w:val="00E03D0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E03D0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E03D0E"/>
    <w:pPr>
      <w:keepNext/>
      <w:keepLines/>
      <w:spacing w:before="160" w:after="80"/>
      <w:outlineLvl w:val="2"/>
    </w:pPr>
    <w:rPr>
      <w:rFonts w:asciiTheme="minorHAnsi" w:eastAsiaTheme="majorEastAsia" w:hAnsiTheme="minorHAnsi" w:cstheme="majorBidi"/>
      <w:color w:val="0F4761" w:themeColor="accent1" w:themeShade="BF"/>
      <w:szCs w:val="28"/>
    </w:rPr>
  </w:style>
  <w:style w:type="paragraph" w:styleId="4">
    <w:name w:val="heading 4"/>
    <w:basedOn w:val="a"/>
    <w:next w:val="a"/>
    <w:link w:val="40"/>
    <w:uiPriority w:val="9"/>
    <w:semiHidden/>
    <w:unhideWhenUsed/>
    <w:qFormat/>
    <w:rsid w:val="00E03D0E"/>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5">
    <w:name w:val="heading 5"/>
    <w:basedOn w:val="a"/>
    <w:next w:val="a"/>
    <w:link w:val="50"/>
    <w:uiPriority w:val="9"/>
    <w:semiHidden/>
    <w:unhideWhenUsed/>
    <w:qFormat/>
    <w:rsid w:val="00E03D0E"/>
    <w:pPr>
      <w:keepNext/>
      <w:keepLines/>
      <w:spacing w:before="80" w:after="40"/>
      <w:outlineLvl w:val="4"/>
    </w:pPr>
    <w:rPr>
      <w:rFonts w:asciiTheme="minorHAnsi" w:eastAsiaTheme="majorEastAsia" w:hAnsiTheme="minorHAnsi" w:cstheme="majorBidi"/>
      <w:color w:val="0F4761" w:themeColor="accent1" w:themeShade="BF"/>
    </w:rPr>
  </w:style>
  <w:style w:type="paragraph" w:styleId="6">
    <w:name w:val="heading 6"/>
    <w:basedOn w:val="a"/>
    <w:next w:val="a"/>
    <w:link w:val="60"/>
    <w:uiPriority w:val="9"/>
    <w:semiHidden/>
    <w:unhideWhenUsed/>
    <w:qFormat/>
    <w:rsid w:val="00E03D0E"/>
    <w:pPr>
      <w:keepNext/>
      <w:keepLines/>
      <w:spacing w:before="40"/>
      <w:outlineLvl w:val="5"/>
    </w:pPr>
    <w:rPr>
      <w:rFonts w:asciiTheme="minorHAnsi" w:eastAsiaTheme="majorEastAsia" w:hAnsiTheme="minorHAnsi" w:cstheme="majorBidi"/>
      <w:i/>
      <w:iCs/>
      <w:color w:val="595959" w:themeColor="text1" w:themeTint="A6"/>
    </w:rPr>
  </w:style>
  <w:style w:type="paragraph" w:styleId="7">
    <w:name w:val="heading 7"/>
    <w:basedOn w:val="a"/>
    <w:next w:val="a"/>
    <w:link w:val="70"/>
    <w:uiPriority w:val="9"/>
    <w:semiHidden/>
    <w:unhideWhenUsed/>
    <w:qFormat/>
    <w:rsid w:val="00E03D0E"/>
    <w:pPr>
      <w:keepNext/>
      <w:keepLines/>
      <w:spacing w:before="40"/>
      <w:outlineLvl w:val="6"/>
    </w:pPr>
    <w:rPr>
      <w:rFonts w:asciiTheme="minorHAnsi" w:eastAsiaTheme="majorEastAsia" w:hAnsiTheme="minorHAnsi" w:cstheme="majorBidi"/>
      <w:color w:val="595959" w:themeColor="text1" w:themeTint="A6"/>
    </w:rPr>
  </w:style>
  <w:style w:type="paragraph" w:styleId="8">
    <w:name w:val="heading 8"/>
    <w:basedOn w:val="a"/>
    <w:next w:val="a"/>
    <w:link w:val="80"/>
    <w:uiPriority w:val="9"/>
    <w:semiHidden/>
    <w:unhideWhenUsed/>
    <w:qFormat/>
    <w:rsid w:val="00E03D0E"/>
    <w:pPr>
      <w:keepNext/>
      <w:keepLines/>
      <w:outlineLvl w:val="7"/>
    </w:pPr>
    <w:rPr>
      <w:rFonts w:asciiTheme="minorHAnsi" w:eastAsiaTheme="majorEastAsia" w:hAnsiTheme="minorHAnsi" w:cstheme="majorBidi"/>
      <w:i/>
      <w:iCs/>
      <w:color w:val="272727" w:themeColor="text1" w:themeTint="D8"/>
    </w:rPr>
  </w:style>
  <w:style w:type="paragraph" w:styleId="9">
    <w:name w:val="heading 9"/>
    <w:basedOn w:val="a"/>
    <w:next w:val="a"/>
    <w:link w:val="90"/>
    <w:uiPriority w:val="9"/>
    <w:semiHidden/>
    <w:unhideWhenUsed/>
    <w:qFormat/>
    <w:rsid w:val="00E03D0E"/>
    <w:pPr>
      <w:keepNext/>
      <w:keepLines/>
      <w:outlineLvl w:val="8"/>
    </w:pPr>
    <w:rPr>
      <w:rFonts w:asciiTheme="minorHAnsi" w:eastAsiaTheme="majorEastAsia" w:hAnsiTheme="minorHAnsi"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03D0E"/>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E03D0E"/>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E03D0E"/>
    <w:rPr>
      <w:rFonts w:asciiTheme="minorHAnsi" w:eastAsiaTheme="majorEastAsia" w:hAnsiTheme="minorHAnsi" w:cstheme="majorBidi"/>
      <w:color w:val="0F4761" w:themeColor="accent1" w:themeShade="BF"/>
      <w:szCs w:val="28"/>
    </w:rPr>
  </w:style>
  <w:style w:type="character" w:customStyle="1" w:styleId="40">
    <w:name w:val="Заголовок 4 Знак"/>
    <w:basedOn w:val="a0"/>
    <w:link w:val="4"/>
    <w:uiPriority w:val="9"/>
    <w:semiHidden/>
    <w:rsid w:val="00E03D0E"/>
    <w:rPr>
      <w:rFonts w:asciiTheme="minorHAnsi" w:eastAsiaTheme="majorEastAsia" w:hAnsiTheme="minorHAnsi" w:cstheme="majorBidi"/>
      <w:i/>
      <w:iCs/>
      <w:color w:val="0F4761" w:themeColor="accent1" w:themeShade="BF"/>
    </w:rPr>
  </w:style>
  <w:style w:type="character" w:customStyle="1" w:styleId="50">
    <w:name w:val="Заголовок 5 Знак"/>
    <w:basedOn w:val="a0"/>
    <w:link w:val="5"/>
    <w:uiPriority w:val="9"/>
    <w:semiHidden/>
    <w:rsid w:val="00E03D0E"/>
    <w:rPr>
      <w:rFonts w:asciiTheme="minorHAnsi" w:eastAsiaTheme="majorEastAsia" w:hAnsiTheme="minorHAnsi" w:cstheme="majorBidi"/>
      <w:color w:val="0F4761" w:themeColor="accent1" w:themeShade="BF"/>
    </w:rPr>
  </w:style>
  <w:style w:type="character" w:customStyle="1" w:styleId="60">
    <w:name w:val="Заголовок 6 Знак"/>
    <w:basedOn w:val="a0"/>
    <w:link w:val="6"/>
    <w:uiPriority w:val="9"/>
    <w:semiHidden/>
    <w:rsid w:val="00E03D0E"/>
    <w:rPr>
      <w:rFonts w:asciiTheme="minorHAnsi" w:eastAsiaTheme="majorEastAsia" w:hAnsiTheme="minorHAnsi" w:cstheme="majorBidi"/>
      <w:i/>
      <w:iCs/>
      <w:color w:val="595959" w:themeColor="text1" w:themeTint="A6"/>
    </w:rPr>
  </w:style>
  <w:style w:type="character" w:customStyle="1" w:styleId="70">
    <w:name w:val="Заголовок 7 Знак"/>
    <w:basedOn w:val="a0"/>
    <w:link w:val="7"/>
    <w:uiPriority w:val="9"/>
    <w:semiHidden/>
    <w:rsid w:val="00E03D0E"/>
    <w:rPr>
      <w:rFonts w:asciiTheme="minorHAnsi" w:eastAsiaTheme="majorEastAsia" w:hAnsiTheme="minorHAnsi" w:cstheme="majorBidi"/>
      <w:color w:val="595959" w:themeColor="text1" w:themeTint="A6"/>
    </w:rPr>
  </w:style>
  <w:style w:type="character" w:customStyle="1" w:styleId="80">
    <w:name w:val="Заголовок 8 Знак"/>
    <w:basedOn w:val="a0"/>
    <w:link w:val="8"/>
    <w:uiPriority w:val="9"/>
    <w:semiHidden/>
    <w:rsid w:val="00E03D0E"/>
    <w:rPr>
      <w:rFonts w:asciiTheme="minorHAnsi" w:eastAsiaTheme="majorEastAsia" w:hAnsiTheme="minorHAnsi" w:cstheme="majorBidi"/>
      <w:i/>
      <w:iCs/>
      <w:color w:val="272727" w:themeColor="text1" w:themeTint="D8"/>
    </w:rPr>
  </w:style>
  <w:style w:type="character" w:customStyle="1" w:styleId="90">
    <w:name w:val="Заголовок 9 Знак"/>
    <w:basedOn w:val="a0"/>
    <w:link w:val="9"/>
    <w:uiPriority w:val="9"/>
    <w:semiHidden/>
    <w:rsid w:val="00E03D0E"/>
    <w:rPr>
      <w:rFonts w:asciiTheme="minorHAnsi" w:eastAsiaTheme="majorEastAsia" w:hAnsiTheme="minorHAnsi" w:cstheme="majorBidi"/>
      <w:color w:val="272727" w:themeColor="text1" w:themeTint="D8"/>
    </w:rPr>
  </w:style>
  <w:style w:type="paragraph" w:styleId="a3">
    <w:name w:val="Title"/>
    <w:basedOn w:val="a"/>
    <w:next w:val="a"/>
    <w:link w:val="a4"/>
    <w:uiPriority w:val="10"/>
    <w:qFormat/>
    <w:rsid w:val="00E03D0E"/>
    <w:pPr>
      <w:spacing w:after="80"/>
      <w:contextualSpacing/>
    </w:pPr>
    <w:rPr>
      <w:rFonts w:asciiTheme="majorHAnsi" w:eastAsiaTheme="majorEastAsia" w:hAnsiTheme="majorHAnsi" w:cstheme="majorBidi"/>
      <w:spacing w:val="-10"/>
      <w:kern w:val="28"/>
      <w:sz w:val="56"/>
      <w:szCs w:val="56"/>
    </w:rPr>
  </w:style>
  <w:style w:type="character" w:customStyle="1" w:styleId="a4">
    <w:name w:val="Назва Знак"/>
    <w:basedOn w:val="a0"/>
    <w:link w:val="a3"/>
    <w:uiPriority w:val="10"/>
    <w:rsid w:val="00E03D0E"/>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03D0E"/>
    <w:pPr>
      <w:numPr>
        <w:ilvl w:val="1"/>
      </w:numPr>
    </w:pPr>
    <w:rPr>
      <w:rFonts w:asciiTheme="minorHAnsi" w:eastAsiaTheme="majorEastAsia" w:hAnsiTheme="minorHAnsi" w:cstheme="majorBidi"/>
      <w:color w:val="595959" w:themeColor="text1" w:themeTint="A6"/>
      <w:spacing w:val="15"/>
      <w:szCs w:val="28"/>
    </w:rPr>
  </w:style>
  <w:style w:type="character" w:customStyle="1" w:styleId="a6">
    <w:name w:val="Підзаголовок Знак"/>
    <w:basedOn w:val="a0"/>
    <w:link w:val="a5"/>
    <w:uiPriority w:val="11"/>
    <w:rsid w:val="00E03D0E"/>
    <w:rPr>
      <w:rFonts w:asciiTheme="minorHAnsi" w:eastAsiaTheme="majorEastAsia" w:hAnsiTheme="minorHAnsi" w:cstheme="majorBidi"/>
      <w:color w:val="595959" w:themeColor="text1" w:themeTint="A6"/>
      <w:spacing w:val="15"/>
      <w:szCs w:val="28"/>
    </w:rPr>
  </w:style>
  <w:style w:type="paragraph" w:styleId="a7">
    <w:name w:val="Quote"/>
    <w:basedOn w:val="a"/>
    <w:next w:val="a"/>
    <w:link w:val="a8"/>
    <w:uiPriority w:val="29"/>
    <w:qFormat/>
    <w:rsid w:val="00E03D0E"/>
    <w:pPr>
      <w:spacing w:before="160"/>
      <w:jc w:val="center"/>
    </w:pPr>
    <w:rPr>
      <w:i/>
      <w:iCs/>
      <w:color w:val="404040" w:themeColor="text1" w:themeTint="BF"/>
    </w:rPr>
  </w:style>
  <w:style w:type="character" w:customStyle="1" w:styleId="a8">
    <w:name w:val="Цитата Знак"/>
    <w:basedOn w:val="a0"/>
    <w:link w:val="a7"/>
    <w:uiPriority w:val="29"/>
    <w:rsid w:val="00E03D0E"/>
    <w:rPr>
      <w:i/>
      <w:iCs/>
      <w:color w:val="404040" w:themeColor="text1" w:themeTint="BF"/>
    </w:rPr>
  </w:style>
  <w:style w:type="paragraph" w:styleId="a9">
    <w:name w:val="List Paragraph"/>
    <w:basedOn w:val="a"/>
    <w:uiPriority w:val="34"/>
    <w:qFormat/>
    <w:rsid w:val="00E03D0E"/>
    <w:pPr>
      <w:ind w:left="720"/>
      <w:contextualSpacing/>
    </w:pPr>
  </w:style>
  <w:style w:type="character" w:styleId="aa">
    <w:name w:val="Intense Emphasis"/>
    <w:basedOn w:val="a0"/>
    <w:uiPriority w:val="21"/>
    <w:qFormat/>
    <w:rsid w:val="00E03D0E"/>
    <w:rPr>
      <w:i/>
      <w:iCs/>
      <w:color w:val="0F4761" w:themeColor="accent1" w:themeShade="BF"/>
    </w:rPr>
  </w:style>
  <w:style w:type="paragraph" w:styleId="ab">
    <w:name w:val="Intense Quote"/>
    <w:basedOn w:val="a"/>
    <w:next w:val="a"/>
    <w:link w:val="ac"/>
    <w:uiPriority w:val="30"/>
    <w:qFormat/>
    <w:rsid w:val="00E03D0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Насичена цитата Знак"/>
    <w:basedOn w:val="a0"/>
    <w:link w:val="ab"/>
    <w:uiPriority w:val="30"/>
    <w:rsid w:val="00E03D0E"/>
    <w:rPr>
      <w:i/>
      <w:iCs/>
      <w:color w:val="0F4761" w:themeColor="accent1" w:themeShade="BF"/>
    </w:rPr>
  </w:style>
  <w:style w:type="character" w:styleId="ad">
    <w:name w:val="Intense Reference"/>
    <w:basedOn w:val="a0"/>
    <w:uiPriority w:val="32"/>
    <w:qFormat/>
    <w:rsid w:val="00E03D0E"/>
    <w:rPr>
      <w:b/>
      <w:bCs/>
      <w:smallCaps/>
      <w:color w:val="0F4761" w:themeColor="accent1" w:themeShade="BF"/>
      <w:spacing w:val="5"/>
    </w:rPr>
  </w:style>
  <w:style w:type="paragraph" w:styleId="21">
    <w:name w:val="Body Text 2"/>
    <w:basedOn w:val="a"/>
    <w:link w:val="22"/>
    <w:rsid w:val="00F4609A"/>
    <w:pPr>
      <w:spacing w:after="120" w:line="480" w:lineRule="auto"/>
    </w:pPr>
  </w:style>
  <w:style w:type="character" w:customStyle="1" w:styleId="22">
    <w:name w:val="Основний текст 2 Знак"/>
    <w:basedOn w:val="a0"/>
    <w:link w:val="21"/>
    <w:rsid w:val="00F4609A"/>
    <w:rPr>
      <w:rFonts w:eastAsia="Times New Roman" w:cs="Times New Roman"/>
      <w:kern w:val="0"/>
      <w:sz w:val="24"/>
      <w:szCs w:val="24"/>
      <w:lang w:val="ru-RU" w:eastAsia="ru-RU"/>
      <w14:ligatures w14:val="none"/>
    </w:rPr>
  </w:style>
  <w:style w:type="paragraph" w:styleId="ae">
    <w:name w:val="Normal (Web)"/>
    <w:basedOn w:val="a"/>
    <w:uiPriority w:val="99"/>
    <w:rsid w:val="00590BC2"/>
    <w:pPr>
      <w:spacing w:before="100" w:beforeAutospacing="1" w:after="100" w:afterAutospacing="1"/>
    </w:pPr>
  </w:style>
  <w:style w:type="character" w:styleId="af">
    <w:name w:val="Hyperlink"/>
    <w:rsid w:val="004E245E"/>
    <w:rPr>
      <w:color w:val="0000FF"/>
      <w:u w:val="single"/>
    </w:rPr>
  </w:style>
  <w:style w:type="paragraph" w:styleId="af0">
    <w:name w:val="Revision"/>
    <w:hidden/>
    <w:uiPriority w:val="99"/>
    <w:semiHidden/>
    <w:rsid w:val="00354CBB"/>
    <w:pPr>
      <w:spacing w:after="0" w:line="240" w:lineRule="auto"/>
    </w:pPr>
    <w:rPr>
      <w:rFonts w:eastAsia="Times New Roman" w:cs="Times New Roman"/>
      <w:kern w:val="0"/>
      <w:sz w:val="24"/>
      <w:szCs w:val="24"/>
      <w:lang w:val="ru-RU" w:eastAsia="ru-RU"/>
      <w14:ligatures w14:val="none"/>
    </w:rPr>
  </w:style>
  <w:style w:type="paragraph" w:styleId="af1">
    <w:name w:val="header"/>
    <w:basedOn w:val="a"/>
    <w:link w:val="af2"/>
    <w:uiPriority w:val="99"/>
    <w:unhideWhenUsed/>
    <w:rsid w:val="00F364A9"/>
    <w:pPr>
      <w:tabs>
        <w:tab w:val="center" w:pos="4819"/>
        <w:tab w:val="right" w:pos="9639"/>
      </w:tabs>
    </w:pPr>
  </w:style>
  <w:style w:type="character" w:customStyle="1" w:styleId="af2">
    <w:name w:val="Верхній колонтитул Знак"/>
    <w:basedOn w:val="a0"/>
    <w:link w:val="af1"/>
    <w:uiPriority w:val="99"/>
    <w:rsid w:val="00F364A9"/>
    <w:rPr>
      <w:rFonts w:eastAsia="Times New Roman" w:cs="Times New Roman"/>
      <w:kern w:val="0"/>
      <w:sz w:val="24"/>
      <w:szCs w:val="24"/>
      <w:lang w:val="ru-RU" w:eastAsia="ru-RU"/>
      <w14:ligatures w14:val="none"/>
    </w:rPr>
  </w:style>
  <w:style w:type="paragraph" w:styleId="af3">
    <w:name w:val="footer"/>
    <w:basedOn w:val="a"/>
    <w:link w:val="af4"/>
    <w:uiPriority w:val="99"/>
    <w:unhideWhenUsed/>
    <w:rsid w:val="00F364A9"/>
    <w:pPr>
      <w:tabs>
        <w:tab w:val="center" w:pos="4819"/>
        <w:tab w:val="right" w:pos="9639"/>
      </w:tabs>
    </w:pPr>
  </w:style>
  <w:style w:type="character" w:customStyle="1" w:styleId="af4">
    <w:name w:val="Нижній колонтитул Знак"/>
    <w:basedOn w:val="a0"/>
    <w:link w:val="af3"/>
    <w:uiPriority w:val="99"/>
    <w:rsid w:val="00F364A9"/>
    <w:rPr>
      <w:rFonts w:eastAsia="Times New Roman" w:cs="Times New Roman"/>
      <w:kern w:val="0"/>
      <w:sz w:val="24"/>
      <w:szCs w:val="24"/>
      <w:lang w:val="ru-RU"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205978">
      <w:bodyDiv w:val="1"/>
      <w:marLeft w:val="0"/>
      <w:marRight w:val="0"/>
      <w:marTop w:val="0"/>
      <w:marBottom w:val="0"/>
      <w:divBdr>
        <w:top w:val="none" w:sz="0" w:space="0" w:color="auto"/>
        <w:left w:val="none" w:sz="0" w:space="0" w:color="auto"/>
        <w:bottom w:val="none" w:sz="0" w:space="0" w:color="auto"/>
        <w:right w:val="none" w:sz="0" w:space="0" w:color="auto"/>
      </w:divBdr>
    </w:div>
    <w:div w:id="162401535">
      <w:bodyDiv w:val="1"/>
      <w:marLeft w:val="0"/>
      <w:marRight w:val="0"/>
      <w:marTop w:val="0"/>
      <w:marBottom w:val="0"/>
      <w:divBdr>
        <w:top w:val="none" w:sz="0" w:space="0" w:color="auto"/>
        <w:left w:val="none" w:sz="0" w:space="0" w:color="auto"/>
        <w:bottom w:val="none" w:sz="0" w:space="0" w:color="auto"/>
        <w:right w:val="none" w:sz="0" w:space="0" w:color="auto"/>
      </w:divBdr>
    </w:div>
    <w:div w:id="233853931">
      <w:bodyDiv w:val="1"/>
      <w:marLeft w:val="0"/>
      <w:marRight w:val="0"/>
      <w:marTop w:val="0"/>
      <w:marBottom w:val="0"/>
      <w:divBdr>
        <w:top w:val="none" w:sz="0" w:space="0" w:color="auto"/>
        <w:left w:val="none" w:sz="0" w:space="0" w:color="auto"/>
        <w:bottom w:val="none" w:sz="0" w:space="0" w:color="auto"/>
        <w:right w:val="none" w:sz="0" w:space="0" w:color="auto"/>
      </w:divBdr>
    </w:div>
    <w:div w:id="393892076">
      <w:bodyDiv w:val="1"/>
      <w:marLeft w:val="0"/>
      <w:marRight w:val="0"/>
      <w:marTop w:val="0"/>
      <w:marBottom w:val="0"/>
      <w:divBdr>
        <w:top w:val="none" w:sz="0" w:space="0" w:color="auto"/>
        <w:left w:val="none" w:sz="0" w:space="0" w:color="auto"/>
        <w:bottom w:val="none" w:sz="0" w:space="0" w:color="auto"/>
        <w:right w:val="none" w:sz="0" w:space="0" w:color="auto"/>
      </w:divBdr>
    </w:div>
    <w:div w:id="935208145">
      <w:bodyDiv w:val="1"/>
      <w:marLeft w:val="0"/>
      <w:marRight w:val="0"/>
      <w:marTop w:val="0"/>
      <w:marBottom w:val="0"/>
      <w:divBdr>
        <w:top w:val="none" w:sz="0" w:space="0" w:color="auto"/>
        <w:left w:val="none" w:sz="0" w:space="0" w:color="auto"/>
        <w:bottom w:val="none" w:sz="0" w:space="0" w:color="auto"/>
        <w:right w:val="none" w:sz="0" w:space="0" w:color="auto"/>
      </w:divBdr>
    </w:div>
    <w:div w:id="1259295692">
      <w:bodyDiv w:val="1"/>
      <w:marLeft w:val="0"/>
      <w:marRight w:val="0"/>
      <w:marTop w:val="0"/>
      <w:marBottom w:val="0"/>
      <w:divBdr>
        <w:top w:val="none" w:sz="0" w:space="0" w:color="auto"/>
        <w:left w:val="none" w:sz="0" w:space="0" w:color="auto"/>
        <w:bottom w:val="none" w:sz="0" w:space="0" w:color="auto"/>
        <w:right w:val="none" w:sz="0" w:space="0" w:color="auto"/>
      </w:divBdr>
    </w:div>
    <w:div w:id="1350254896">
      <w:bodyDiv w:val="1"/>
      <w:marLeft w:val="0"/>
      <w:marRight w:val="0"/>
      <w:marTop w:val="0"/>
      <w:marBottom w:val="0"/>
      <w:divBdr>
        <w:top w:val="none" w:sz="0" w:space="0" w:color="auto"/>
        <w:left w:val="none" w:sz="0" w:space="0" w:color="auto"/>
        <w:bottom w:val="none" w:sz="0" w:space="0" w:color="auto"/>
        <w:right w:val="none" w:sz="0" w:space="0" w:color="auto"/>
      </w:divBdr>
    </w:div>
    <w:div w:id="1549024619">
      <w:bodyDiv w:val="1"/>
      <w:marLeft w:val="0"/>
      <w:marRight w:val="0"/>
      <w:marTop w:val="0"/>
      <w:marBottom w:val="0"/>
      <w:divBdr>
        <w:top w:val="none" w:sz="0" w:space="0" w:color="auto"/>
        <w:left w:val="none" w:sz="0" w:space="0" w:color="auto"/>
        <w:bottom w:val="none" w:sz="0" w:space="0" w:color="auto"/>
        <w:right w:val="none" w:sz="0" w:space="0" w:color="auto"/>
      </w:divBdr>
    </w:div>
    <w:div w:id="1665862060">
      <w:bodyDiv w:val="1"/>
      <w:marLeft w:val="0"/>
      <w:marRight w:val="0"/>
      <w:marTop w:val="0"/>
      <w:marBottom w:val="0"/>
      <w:divBdr>
        <w:top w:val="none" w:sz="0" w:space="0" w:color="auto"/>
        <w:left w:val="none" w:sz="0" w:space="0" w:color="auto"/>
        <w:bottom w:val="none" w:sz="0" w:space="0" w:color="auto"/>
        <w:right w:val="none" w:sz="0" w:space="0" w:color="auto"/>
      </w:divBdr>
    </w:div>
    <w:div w:id="1976519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Офіс">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4</Pages>
  <Words>4484</Words>
  <Characters>2557</Characters>
  <Application>Microsoft Office Word</Application>
  <DocSecurity>0</DocSecurity>
  <Lines>21</Lines>
  <Paragraphs>14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7027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Ярослав Ігнатенко</dc:creator>
  <cp:keywords/>
  <dc:description/>
  <cp:lastModifiedBy>Ярослав Ігнатенко</cp:lastModifiedBy>
  <cp:revision>12</cp:revision>
  <cp:lastPrinted>2025-03-04T10:46:00Z</cp:lastPrinted>
  <dcterms:created xsi:type="dcterms:W3CDTF">2025-03-03T12:07:00Z</dcterms:created>
  <dcterms:modified xsi:type="dcterms:W3CDTF">2025-03-04T10:47:00Z</dcterms:modified>
</cp:coreProperties>
</file>