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A28A8" w14:textId="77777777" w:rsidR="005E73E8" w:rsidRPr="006300E0" w:rsidRDefault="005E73E8" w:rsidP="007F42F5">
      <w:pPr>
        <w:spacing w:after="0" w:line="240" w:lineRule="auto"/>
        <w:jc w:val="center"/>
        <w:rPr>
          <w:rFonts w:ascii="Times New Roman" w:hAnsi="Times New Roman" w:cs="Times New Roman"/>
          <w:b/>
          <w:sz w:val="28"/>
          <w:lang w:val="uk-UA"/>
        </w:rPr>
      </w:pPr>
      <w:r w:rsidRPr="006300E0">
        <w:rPr>
          <w:rFonts w:ascii="Times New Roman" w:hAnsi="Times New Roman" w:cs="Times New Roman"/>
          <w:b/>
          <w:sz w:val="28"/>
          <w:lang w:val="uk-UA"/>
        </w:rPr>
        <w:t>Порівняльна таблиця до про</w:t>
      </w:r>
      <w:r w:rsidR="00DB5C20" w:rsidRPr="006300E0">
        <w:rPr>
          <w:rFonts w:ascii="Times New Roman" w:hAnsi="Times New Roman" w:cs="Times New Roman"/>
          <w:b/>
          <w:sz w:val="28"/>
          <w:lang w:val="uk-UA"/>
        </w:rPr>
        <w:t>є</w:t>
      </w:r>
      <w:r w:rsidRPr="006300E0">
        <w:rPr>
          <w:rFonts w:ascii="Times New Roman" w:hAnsi="Times New Roman" w:cs="Times New Roman"/>
          <w:b/>
          <w:sz w:val="28"/>
          <w:lang w:val="uk-UA"/>
        </w:rPr>
        <w:t xml:space="preserve">кту постанови НКРЕКП «Про затвердження Змін до </w:t>
      </w:r>
      <w:r w:rsidR="00144CDF" w:rsidRPr="006300E0">
        <w:rPr>
          <w:rFonts w:ascii="Times New Roman" w:hAnsi="Times New Roman" w:cs="Times New Roman"/>
          <w:b/>
          <w:sz w:val="28"/>
          <w:lang w:val="uk-UA"/>
        </w:rPr>
        <w:t>Методики визначення та розрахунку тарифу на послуги розподілу природного газу</w:t>
      </w:r>
      <w:r w:rsidRPr="006300E0">
        <w:rPr>
          <w:rFonts w:ascii="Times New Roman" w:hAnsi="Times New Roman" w:cs="Times New Roman"/>
          <w:b/>
          <w:sz w:val="28"/>
          <w:lang w:val="uk-UA"/>
        </w:rPr>
        <w:t>», що має ознаки регуляторного акта</w:t>
      </w:r>
    </w:p>
    <w:p w14:paraId="07669E02" w14:textId="77777777" w:rsidR="00AA31C1" w:rsidRPr="006300E0" w:rsidRDefault="00AA31C1" w:rsidP="007F42F5">
      <w:pPr>
        <w:spacing w:after="0" w:line="240" w:lineRule="auto"/>
        <w:jc w:val="center"/>
        <w:rPr>
          <w:rFonts w:ascii="Times New Roman" w:hAnsi="Times New Roman" w:cs="Times New Roman"/>
          <w:b/>
          <w:sz w:val="28"/>
          <w:lang w:val="uk-UA"/>
        </w:rPr>
      </w:pPr>
    </w:p>
    <w:tbl>
      <w:tblPr>
        <w:tblStyle w:val="a3"/>
        <w:tblW w:w="0" w:type="auto"/>
        <w:jc w:val="center"/>
        <w:tblLook w:val="04A0" w:firstRow="1" w:lastRow="0" w:firstColumn="1" w:lastColumn="0" w:noHBand="0" w:noVBand="1"/>
      </w:tblPr>
      <w:tblGrid>
        <w:gridCol w:w="7298"/>
        <w:gridCol w:w="7293"/>
      </w:tblGrid>
      <w:tr w:rsidR="00186964" w:rsidRPr="006300E0" w14:paraId="6AD086EA" w14:textId="77777777" w:rsidTr="008F0689">
        <w:trPr>
          <w:jc w:val="center"/>
        </w:trPr>
        <w:tc>
          <w:tcPr>
            <w:tcW w:w="0" w:type="auto"/>
          </w:tcPr>
          <w:p w14:paraId="06C87890" w14:textId="77777777" w:rsidR="003737EF" w:rsidRPr="006300E0" w:rsidRDefault="00AA31C1" w:rsidP="007F42F5">
            <w:pPr>
              <w:spacing w:after="0" w:line="240" w:lineRule="auto"/>
              <w:jc w:val="center"/>
              <w:rPr>
                <w:rFonts w:ascii="Times New Roman" w:hAnsi="Times New Roman" w:cs="Times New Roman"/>
                <w:b/>
                <w:i/>
                <w:lang w:val="uk-UA"/>
              </w:rPr>
            </w:pPr>
            <w:r w:rsidRPr="006300E0">
              <w:rPr>
                <w:rFonts w:ascii="Times New Roman" w:hAnsi="Times New Roman" w:cs="Times New Roman"/>
                <w:b/>
                <w:i/>
                <w:sz w:val="28"/>
                <w:lang w:val="uk-UA"/>
              </w:rPr>
              <w:t>ЗМІСТ ДІЮЧОЇ РЕДАКЦІЇ НОРМАТИВНО-ПРАВОВОГО АКТУ</w:t>
            </w:r>
          </w:p>
        </w:tc>
        <w:tc>
          <w:tcPr>
            <w:tcW w:w="0" w:type="auto"/>
          </w:tcPr>
          <w:p w14:paraId="53C5EAE0" w14:textId="77777777" w:rsidR="003737EF" w:rsidRPr="006300E0" w:rsidRDefault="003737EF" w:rsidP="007F42F5">
            <w:pPr>
              <w:spacing w:after="0" w:line="240" w:lineRule="auto"/>
              <w:jc w:val="center"/>
              <w:rPr>
                <w:rFonts w:ascii="Times New Roman" w:hAnsi="Times New Roman" w:cs="Times New Roman"/>
                <w:b/>
                <w:i/>
                <w:lang w:val="uk-UA"/>
              </w:rPr>
            </w:pPr>
            <w:r w:rsidRPr="006300E0">
              <w:rPr>
                <w:rFonts w:ascii="Times New Roman" w:hAnsi="Times New Roman" w:cs="Times New Roman"/>
                <w:b/>
                <w:i/>
                <w:sz w:val="28"/>
                <w:lang w:val="uk-UA"/>
              </w:rPr>
              <w:t>ЗМІСТ ПОЛОЖЕНЬ ПРО</w:t>
            </w:r>
            <w:r w:rsidR="00BA4B2A" w:rsidRPr="006300E0">
              <w:rPr>
                <w:rFonts w:ascii="Times New Roman" w:hAnsi="Times New Roman" w:cs="Times New Roman"/>
                <w:b/>
                <w:i/>
                <w:sz w:val="28"/>
                <w:lang w:val="uk-UA"/>
              </w:rPr>
              <w:t>Є</w:t>
            </w:r>
            <w:r w:rsidRPr="006300E0">
              <w:rPr>
                <w:rFonts w:ascii="Times New Roman" w:hAnsi="Times New Roman" w:cs="Times New Roman"/>
                <w:b/>
                <w:i/>
                <w:sz w:val="28"/>
                <w:lang w:val="uk-UA"/>
              </w:rPr>
              <w:t>КТУ ПОСТАНОВИ</w:t>
            </w:r>
          </w:p>
        </w:tc>
      </w:tr>
      <w:tr w:rsidR="009820AE" w:rsidRPr="00EB75F1" w14:paraId="4529AB18" w14:textId="77777777" w:rsidTr="008F0689">
        <w:trPr>
          <w:jc w:val="center"/>
        </w:trPr>
        <w:tc>
          <w:tcPr>
            <w:tcW w:w="0" w:type="auto"/>
          </w:tcPr>
          <w:p w14:paraId="5CD49C4B" w14:textId="77777777" w:rsidR="009820AE" w:rsidRPr="006300E0" w:rsidRDefault="009820AE" w:rsidP="009820AE">
            <w:pPr>
              <w:spacing w:after="0" w:line="240" w:lineRule="auto"/>
              <w:jc w:val="center"/>
              <w:rPr>
                <w:rFonts w:ascii="Times New Roman" w:hAnsi="Times New Roman" w:cs="Times New Roman"/>
                <w:b/>
                <w:sz w:val="28"/>
                <w:lang w:val="uk-UA"/>
              </w:rPr>
            </w:pPr>
            <w:r w:rsidRPr="006300E0">
              <w:rPr>
                <w:rFonts w:ascii="Times New Roman" w:hAnsi="Times New Roman" w:cs="Times New Roman"/>
                <w:b/>
                <w:sz w:val="28"/>
                <w:lang w:val="uk-UA"/>
              </w:rPr>
              <w:t>VII. Стимулювання суб’єкта господарювання з розподілу природного газу до підвищення ефективності операційної діяльності</w:t>
            </w:r>
          </w:p>
        </w:tc>
        <w:tc>
          <w:tcPr>
            <w:tcW w:w="0" w:type="auto"/>
          </w:tcPr>
          <w:p w14:paraId="637CC8A1" w14:textId="77777777" w:rsidR="009820AE" w:rsidRPr="006300E0" w:rsidRDefault="009820AE" w:rsidP="009820AE">
            <w:pPr>
              <w:spacing w:after="0" w:line="240" w:lineRule="auto"/>
              <w:jc w:val="center"/>
              <w:rPr>
                <w:rFonts w:ascii="Times New Roman" w:hAnsi="Times New Roman" w:cs="Times New Roman"/>
                <w:sz w:val="24"/>
                <w:lang w:val="uk-UA"/>
              </w:rPr>
            </w:pPr>
            <w:r w:rsidRPr="006300E0">
              <w:rPr>
                <w:rFonts w:ascii="Times New Roman" w:hAnsi="Times New Roman" w:cs="Times New Roman"/>
                <w:b/>
                <w:sz w:val="28"/>
                <w:lang w:val="uk-UA"/>
              </w:rPr>
              <w:t>VII. Стимулювання суб’єкта господарювання з розподілу природного газу до підвищення ефективності операційної діяльності</w:t>
            </w:r>
          </w:p>
        </w:tc>
      </w:tr>
      <w:tr w:rsidR="00A9669C" w:rsidRPr="00EB75F1" w14:paraId="4B9C724D" w14:textId="77777777" w:rsidTr="008F0689">
        <w:trPr>
          <w:jc w:val="center"/>
        </w:trPr>
        <w:tc>
          <w:tcPr>
            <w:tcW w:w="0" w:type="auto"/>
          </w:tcPr>
          <w:p w14:paraId="6A95930E" w14:textId="77777777" w:rsidR="00A9669C" w:rsidRPr="006300E0" w:rsidRDefault="00A9669C" w:rsidP="00A9669C">
            <w:pPr>
              <w:pStyle w:val="rvps2"/>
              <w:shd w:val="clear" w:color="auto" w:fill="FFFFFF"/>
              <w:spacing w:before="0" w:beforeAutospacing="0" w:after="0" w:afterAutospacing="0"/>
              <w:ind w:firstLine="448"/>
              <w:jc w:val="both"/>
            </w:pPr>
            <w:r w:rsidRPr="006300E0">
              <w:t>1. У разі зменшення суб’єктом господарювання з розподілу природного газу у базовому періоді витрат на фінансування фонду оплати праці з метою оптимізації штату працівників (за умови дотримання норм технічної безпеки надання послуг розподілу природного газу) та/або обсягів ВТВ (далі – економія коштів) суб’єкт господарювання з розподілу природного газу має право використовувати тарифну виручку, отриману за рахунок такої економії коштів, першочергово для фінансування:</w:t>
            </w:r>
          </w:p>
          <w:p w14:paraId="07376A0A" w14:textId="77777777" w:rsidR="00A9669C" w:rsidRPr="006300E0" w:rsidRDefault="00A9669C" w:rsidP="00A9669C">
            <w:pPr>
              <w:pStyle w:val="rvps2"/>
              <w:shd w:val="clear" w:color="auto" w:fill="FFFFFF"/>
              <w:spacing w:before="0" w:beforeAutospacing="0" w:after="0" w:afterAutospacing="0"/>
              <w:ind w:firstLine="448"/>
              <w:jc w:val="both"/>
            </w:pPr>
            <w:bookmarkStart w:id="0" w:name="n173"/>
            <w:bookmarkEnd w:id="0"/>
            <w:r w:rsidRPr="006300E0">
              <w:t>заходів з підвищення рівня середньомісячної заробітної плати працівників;</w:t>
            </w:r>
          </w:p>
          <w:p w14:paraId="73EBAEF6" w14:textId="77777777" w:rsidR="00A9669C" w:rsidRPr="006300E0" w:rsidRDefault="00A9669C" w:rsidP="00A9669C">
            <w:pPr>
              <w:pStyle w:val="rvps2"/>
              <w:shd w:val="clear" w:color="auto" w:fill="FFFFFF"/>
              <w:spacing w:before="0" w:beforeAutospacing="0" w:after="0" w:afterAutospacing="0"/>
              <w:ind w:firstLine="448"/>
              <w:jc w:val="both"/>
            </w:pPr>
            <w:bookmarkStart w:id="1" w:name="n174"/>
            <w:bookmarkEnd w:id="1"/>
            <w:r w:rsidRPr="006300E0">
              <w:t>матеріальних та інших витрат операційної діяльності;</w:t>
            </w:r>
          </w:p>
          <w:p w14:paraId="33A40F73" w14:textId="77777777" w:rsidR="00A9669C" w:rsidRPr="006300E0" w:rsidRDefault="00A9669C" w:rsidP="00A9669C">
            <w:pPr>
              <w:pStyle w:val="rvps2"/>
              <w:shd w:val="clear" w:color="auto" w:fill="FFFFFF"/>
              <w:spacing w:before="0" w:beforeAutospacing="0" w:after="0" w:afterAutospacing="0"/>
              <w:ind w:firstLine="448"/>
              <w:jc w:val="both"/>
            </w:pPr>
            <w:bookmarkStart w:id="2" w:name="n175"/>
            <w:bookmarkEnd w:id="2"/>
            <w:r w:rsidRPr="006300E0">
              <w:t>заходів з виконання інвестиційної програми;</w:t>
            </w:r>
          </w:p>
          <w:p w14:paraId="37F180D3" w14:textId="77777777" w:rsidR="00A9669C" w:rsidRPr="006300E0" w:rsidRDefault="00A9669C" w:rsidP="00A9669C">
            <w:pPr>
              <w:pStyle w:val="rvps2"/>
              <w:shd w:val="clear" w:color="auto" w:fill="FFFFFF"/>
              <w:spacing w:before="0" w:beforeAutospacing="0" w:after="0" w:afterAutospacing="0"/>
              <w:ind w:firstLine="448"/>
              <w:jc w:val="both"/>
            </w:pPr>
            <w:bookmarkStart w:id="3" w:name="n176"/>
            <w:bookmarkEnd w:id="3"/>
            <w:r w:rsidRPr="006300E0">
              <w:t>інших потреб фінансово-господарської діяльності суб’єкта господарювання з розподілу природного газу.</w:t>
            </w:r>
          </w:p>
        </w:tc>
        <w:tc>
          <w:tcPr>
            <w:tcW w:w="0" w:type="auto"/>
          </w:tcPr>
          <w:p w14:paraId="46E7F485" w14:textId="77777777" w:rsidR="00D85997" w:rsidRPr="006300E0" w:rsidRDefault="00A9669C" w:rsidP="00AA75F8">
            <w:pPr>
              <w:pStyle w:val="rvps2"/>
              <w:shd w:val="clear" w:color="auto" w:fill="FFFFFF"/>
              <w:spacing w:before="0" w:beforeAutospacing="0" w:after="0" w:afterAutospacing="0"/>
              <w:ind w:firstLine="538"/>
              <w:jc w:val="both"/>
              <w:rPr>
                <w:b/>
                <w:strike/>
              </w:rPr>
            </w:pPr>
            <w:r w:rsidRPr="00A94676">
              <w:rPr>
                <w:b/>
              </w:rPr>
              <w:t xml:space="preserve">1. За підсумками року у разі зменшення Оператором ГРМ витрат на фінансування фонду оплати праці </w:t>
            </w:r>
            <w:r w:rsidR="009C6367" w:rsidRPr="00382CFB">
              <w:rPr>
                <w:b/>
              </w:rPr>
              <w:t>за рахунок</w:t>
            </w:r>
            <w:r w:rsidRPr="00382CFB">
              <w:rPr>
                <w:b/>
              </w:rPr>
              <w:t xml:space="preserve"> </w:t>
            </w:r>
            <w:r w:rsidRPr="009C6367">
              <w:rPr>
                <w:b/>
              </w:rPr>
              <w:t>оптимізації штату працівників</w:t>
            </w:r>
            <w:r w:rsidR="005F65D0" w:rsidRPr="00A94676">
              <w:rPr>
                <w:b/>
              </w:rPr>
              <w:t>, безпосередньо задіяних при здійсненні діяльності з розподілу природного газу,</w:t>
            </w:r>
            <w:r w:rsidRPr="00A94676">
              <w:rPr>
                <w:b/>
              </w:rPr>
              <w:t xml:space="preserve"> (за умови дотримання норм технічної безпеки надання послуг розподілу природного газу) ліцензіат має право використовувати тарифну виручку, отриману за рахунок такої економії коштів, для фінансування </w:t>
            </w:r>
            <w:r w:rsidR="00D85997" w:rsidRPr="00A94676">
              <w:rPr>
                <w:b/>
              </w:rPr>
              <w:t xml:space="preserve">заходів з підвищення рівня середньомісячної заробітної плати працівників, безпосередньо задіяних при здійсненні діяльності з розподілу природного газу, у </w:t>
            </w:r>
            <w:r w:rsidR="00EB2E8C" w:rsidRPr="00A94676">
              <w:rPr>
                <w:b/>
              </w:rPr>
              <w:t>році,</w:t>
            </w:r>
            <w:r w:rsidR="00762E0C" w:rsidRPr="00A94676">
              <w:rPr>
                <w:b/>
              </w:rPr>
              <w:t xml:space="preserve"> </w:t>
            </w:r>
            <w:r w:rsidR="00EB2E8C" w:rsidRPr="00A94676">
              <w:rPr>
                <w:b/>
              </w:rPr>
              <w:t>наступному за звітним</w:t>
            </w:r>
            <w:r w:rsidR="00BB2465" w:rsidRPr="00A94676">
              <w:rPr>
                <w:b/>
              </w:rPr>
              <w:t xml:space="preserve"> роком</w:t>
            </w:r>
            <w:r w:rsidR="00762E0C" w:rsidRPr="00A94676">
              <w:rPr>
                <w:b/>
              </w:rPr>
              <w:t>.</w:t>
            </w:r>
          </w:p>
        </w:tc>
      </w:tr>
      <w:tr w:rsidR="00AA75F8" w:rsidRPr="006300E0" w14:paraId="7FF47898" w14:textId="77777777" w:rsidTr="008F0689">
        <w:trPr>
          <w:jc w:val="center"/>
        </w:trPr>
        <w:tc>
          <w:tcPr>
            <w:tcW w:w="0" w:type="auto"/>
          </w:tcPr>
          <w:p w14:paraId="4BD9C199" w14:textId="77777777" w:rsidR="00AA75F8" w:rsidRPr="006300E0" w:rsidRDefault="00AA75F8" w:rsidP="00AA75F8">
            <w:pPr>
              <w:pStyle w:val="rvps2"/>
              <w:shd w:val="clear" w:color="auto" w:fill="FFFFFF"/>
              <w:spacing w:before="0" w:beforeAutospacing="0" w:after="0" w:afterAutospacing="0"/>
              <w:ind w:firstLine="448"/>
              <w:jc w:val="both"/>
            </w:pPr>
            <w:r w:rsidRPr="006300E0">
              <w:t>2. Така економія коштів не підлягає вилученню протягом наступних трьох планованих періодів.</w:t>
            </w:r>
          </w:p>
        </w:tc>
        <w:tc>
          <w:tcPr>
            <w:tcW w:w="0" w:type="auto"/>
          </w:tcPr>
          <w:p w14:paraId="7BE4EB50" w14:textId="77777777" w:rsidR="00832E07" w:rsidRPr="00260417" w:rsidRDefault="00AA75F8" w:rsidP="00260417">
            <w:pPr>
              <w:pStyle w:val="rvps2"/>
              <w:shd w:val="clear" w:color="auto" w:fill="FFFFFF"/>
              <w:spacing w:after="0"/>
              <w:ind w:firstLine="529"/>
              <w:jc w:val="both"/>
              <w:rPr>
                <w:b/>
                <w:highlight w:val="yellow"/>
                <w:lang w:val="ru-RU"/>
              </w:rPr>
            </w:pPr>
            <w:r w:rsidRPr="00A94676">
              <w:rPr>
                <w:b/>
              </w:rPr>
              <w:t xml:space="preserve">2. </w:t>
            </w:r>
            <w:bookmarkStart w:id="4" w:name="_Hlk187307430"/>
            <w:r w:rsidRPr="00A94676">
              <w:rPr>
                <w:b/>
              </w:rPr>
              <w:t>За підсумками року</w:t>
            </w:r>
            <w:r w:rsidR="00663837" w:rsidRPr="00A94676">
              <w:rPr>
                <w:b/>
              </w:rPr>
              <w:t>,</w:t>
            </w:r>
            <w:r w:rsidRPr="00A94676">
              <w:rPr>
                <w:b/>
              </w:rPr>
              <w:t xml:space="preserve"> у разі зменшення Оператором ГРМ витрат, пов'язаних з використанням природного газу на ВТВ та власні потреби, за рахунок зменшення </w:t>
            </w:r>
            <w:r w:rsidR="00975DBA" w:rsidRPr="00382CFB">
              <w:rPr>
                <w:b/>
              </w:rPr>
              <w:t xml:space="preserve">фактичних </w:t>
            </w:r>
            <w:r w:rsidRPr="00382CFB">
              <w:rPr>
                <w:b/>
              </w:rPr>
              <w:t>обсягів ВТВ</w:t>
            </w:r>
            <w:r w:rsidR="00A94676" w:rsidRPr="00382CFB">
              <w:rPr>
                <w:b/>
              </w:rPr>
              <w:t xml:space="preserve"> порівняно з </w:t>
            </w:r>
            <w:r w:rsidR="00975DBA" w:rsidRPr="00382CFB">
              <w:rPr>
                <w:b/>
              </w:rPr>
              <w:t>встановленими</w:t>
            </w:r>
            <w:r w:rsidR="00260417" w:rsidRPr="00382CFB">
              <w:rPr>
                <w:b/>
                <w:lang w:val="ru-RU"/>
              </w:rPr>
              <w:t xml:space="preserve"> </w:t>
            </w:r>
            <w:r w:rsidR="00260417" w:rsidRPr="00382CFB">
              <w:rPr>
                <w:b/>
              </w:rPr>
              <w:t>НКРЕКП</w:t>
            </w:r>
            <w:r w:rsidRPr="00382CFB">
              <w:rPr>
                <w:b/>
              </w:rPr>
              <w:t>,</w:t>
            </w:r>
            <w:r w:rsidRPr="00A94676">
              <w:rPr>
                <w:b/>
              </w:rPr>
              <w:t xml:space="preserve"> ліцензіат має право використовувати</w:t>
            </w:r>
            <w:r w:rsidR="004234B5" w:rsidRPr="00A94676">
              <w:rPr>
                <w:b/>
              </w:rPr>
              <w:t xml:space="preserve"> </w:t>
            </w:r>
            <w:r w:rsidRPr="00A94676">
              <w:rPr>
                <w:b/>
              </w:rPr>
              <w:t>тарифну виручку, отриману за рахунок такої економії коштів</w:t>
            </w:r>
            <w:r w:rsidR="00832E07">
              <w:rPr>
                <w:b/>
              </w:rPr>
              <w:t xml:space="preserve">, </w:t>
            </w:r>
            <w:r w:rsidR="00832E07" w:rsidRPr="00832E07">
              <w:rPr>
                <w:b/>
              </w:rPr>
              <w:t>у звітному році або</w:t>
            </w:r>
            <w:r w:rsidR="00832E07">
              <w:rPr>
                <w:b/>
              </w:rPr>
              <w:t xml:space="preserve"> </w:t>
            </w:r>
            <w:r w:rsidR="00832E07" w:rsidRPr="00832E07">
              <w:rPr>
                <w:b/>
              </w:rPr>
              <w:t>у році, наступному за звітним роком</w:t>
            </w:r>
            <w:r w:rsidR="00832E07">
              <w:rPr>
                <w:b/>
              </w:rPr>
              <w:t xml:space="preserve">, </w:t>
            </w:r>
            <w:r w:rsidRPr="00A94676">
              <w:rPr>
                <w:b/>
              </w:rPr>
              <w:t>для:</w:t>
            </w:r>
          </w:p>
          <w:p w14:paraId="18244903" w14:textId="77777777" w:rsidR="00AA75F8" w:rsidRPr="00A94676" w:rsidRDefault="004234B5" w:rsidP="00832E07">
            <w:pPr>
              <w:pStyle w:val="rvps2"/>
              <w:shd w:val="clear" w:color="auto" w:fill="FFFFFF"/>
              <w:spacing w:after="0"/>
              <w:ind w:firstLine="529"/>
              <w:jc w:val="both"/>
              <w:rPr>
                <w:b/>
              </w:rPr>
            </w:pPr>
            <w:r w:rsidRPr="00A94676">
              <w:rPr>
                <w:b/>
              </w:rPr>
              <w:t xml:space="preserve">фінансування </w:t>
            </w:r>
            <w:r w:rsidR="00D85997" w:rsidRPr="00A94676">
              <w:rPr>
                <w:b/>
              </w:rPr>
              <w:t xml:space="preserve">заходів з підвищення рівня середньомісячної заробітної плати працівників, безпосередньо задіяних при здійсненні діяльності з розподілу природного газу, </w:t>
            </w:r>
            <w:r w:rsidR="00663837" w:rsidRPr="00A94676">
              <w:rPr>
                <w:b/>
              </w:rPr>
              <w:t>в</w:t>
            </w:r>
            <w:r w:rsidR="00AA75F8" w:rsidRPr="00A94676">
              <w:rPr>
                <w:b/>
              </w:rPr>
              <w:t xml:space="preserve"> обсягах не більше 50 % від економії коштів;</w:t>
            </w:r>
          </w:p>
          <w:p w14:paraId="4311AFC3" w14:textId="77777777" w:rsidR="00AA75F8" w:rsidRDefault="004234B5" w:rsidP="00AA75F8">
            <w:pPr>
              <w:pStyle w:val="rvps2"/>
              <w:shd w:val="clear" w:color="auto" w:fill="FFFFFF"/>
              <w:spacing w:before="0" w:beforeAutospacing="0" w:after="0" w:afterAutospacing="0"/>
              <w:ind w:firstLine="448"/>
              <w:jc w:val="both"/>
              <w:rPr>
                <w:b/>
              </w:rPr>
            </w:pPr>
            <w:r w:rsidRPr="00A94676">
              <w:rPr>
                <w:b/>
              </w:rPr>
              <w:lastRenderedPageBreak/>
              <w:t xml:space="preserve">фінансування </w:t>
            </w:r>
            <w:r w:rsidR="00AA75F8" w:rsidRPr="00A94676">
              <w:rPr>
                <w:b/>
              </w:rPr>
              <w:t>заходів передбачених розділами І-VІ та IX інвестиційної програми</w:t>
            </w:r>
            <w:r w:rsidR="00EB2E8C" w:rsidRPr="00A94676">
              <w:rPr>
                <w:b/>
              </w:rPr>
              <w:t>;</w:t>
            </w:r>
          </w:p>
          <w:p w14:paraId="1890A41C" w14:textId="304CE095" w:rsidR="004234B5" w:rsidRPr="00B06E6A" w:rsidRDefault="004234B5" w:rsidP="004234B5">
            <w:pPr>
              <w:pStyle w:val="rvps2"/>
              <w:shd w:val="clear" w:color="auto" w:fill="FFFFFF"/>
              <w:spacing w:before="0" w:beforeAutospacing="0" w:after="0" w:afterAutospacing="0"/>
              <w:ind w:firstLine="448"/>
              <w:jc w:val="both"/>
              <w:rPr>
                <w:b/>
                <w:highlight w:val="yellow"/>
              </w:rPr>
            </w:pPr>
            <w:r w:rsidRPr="00A94676">
              <w:rPr>
                <w:b/>
              </w:rPr>
              <w:t xml:space="preserve">фінансування </w:t>
            </w:r>
            <w:r w:rsidR="00EB2E8C" w:rsidRPr="00A94676">
              <w:rPr>
                <w:b/>
              </w:rPr>
              <w:t xml:space="preserve">інших заходів за рішенням </w:t>
            </w:r>
            <w:bookmarkEnd w:id="4"/>
            <w:r w:rsidR="00EB75F1">
              <w:rPr>
                <w:b/>
              </w:rPr>
              <w:t>НКРЕКП</w:t>
            </w:r>
            <w:bookmarkStart w:id="5" w:name="_GoBack"/>
            <w:bookmarkEnd w:id="5"/>
            <w:r w:rsidR="00832E07">
              <w:rPr>
                <w:b/>
              </w:rPr>
              <w:t>.</w:t>
            </w:r>
          </w:p>
        </w:tc>
      </w:tr>
      <w:tr w:rsidR="00AA75F8" w:rsidRPr="00EB75F1" w14:paraId="2ED1A20F" w14:textId="77777777" w:rsidTr="008F0689">
        <w:trPr>
          <w:jc w:val="center"/>
        </w:trPr>
        <w:tc>
          <w:tcPr>
            <w:tcW w:w="0" w:type="auto"/>
          </w:tcPr>
          <w:p w14:paraId="60C368C9" w14:textId="77777777" w:rsidR="00AA75F8" w:rsidRPr="006300E0" w:rsidRDefault="00AA75F8" w:rsidP="00AA75F8">
            <w:pPr>
              <w:pStyle w:val="rvps2"/>
              <w:shd w:val="clear" w:color="auto" w:fill="FFFFFF"/>
              <w:spacing w:before="0" w:beforeAutospacing="0" w:after="0" w:afterAutospacing="0"/>
              <w:ind w:firstLine="448"/>
              <w:jc w:val="both"/>
            </w:pPr>
            <w:r w:rsidRPr="006300E0">
              <w:lastRenderedPageBreak/>
              <w:t>3. Суб’єкт господарювання з розподілу природного газу не має права зменшувати витрати, пов’язані з фінансуванням фонду оплати праці, за рахунок зменшення рівня середньомісячної заробітної плати працівників, який застосовувався для обґрунтування розміру цього елемента витрат, що прийнятий до розрахунку встановленого НКРЕКП тарифу на базовий період.</w:t>
            </w:r>
          </w:p>
        </w:tc>
        <w:tc>
          <w:tcPr>
            <w:tcW w:w="0" w:type="auto"/>
          </w:tcPr>
          <w:p w14:paraId="4397D3BE" w14:textId="77777777" w:rsidR="00AA75F8" w:rsidRPr="005A002C" w:rsidRDefault="00AA75F8" w:rsidP="00AA75F8">
            <w:pPr>
              <w:pStyle w:val="rvps2"/>
              <w:shd w:val="clear" w:color="auto" w:fill="FFFFFF"/>
              <w:spacing w:before="0" w:beforeAutospacing="0" w:after="0" w:afterAutospacing="0"/>
              <w:ind w:firstLine="448"/>
              <w:jc w:val="both"/>
              <w:rPr>
                <w:b/>
              </w:rPr>
            </w:pPr>
            <w:r w:rsidRPr="004B6EAB">
              <w:rPr>
                <w:b/>
              </w:rPr>
              <w:t xml:space="preserve">3. У випадку використання економії коштів для фінансування </w:t>
            </w:r>
            <w:r w:rsidR="00D85997" w:rsidRPr="004B6EAB">
              <w:rPr>
                <w:b/>
              </w:rPr>
              <w:t xml:space="preserve">заходів з підвищення рівня середньомісячної заробітної плати працівників, безпосередньо задіяних при здійсненні діяльності з розподілу природного газу, </w:t>
            </w:r>
            <w:r w:rsidRPr="004B6EAB">
              <w:rPr>
                <w:b/>
              </w:rPr>
              <w:t>Оператор ГРМ зобов’язаний до 25 лютого року, наступного за роком</w:t>
            </w:r>
            <w:r w:rsidR="00663837" w:rsidRPr="004B6EAB">
              <w:rPr>
                <w:b/>
              </w:rPr>
              <w:t>,</w:t>
            </w:r>
            <w:r w:rsidRPr="004B6EAB">
              <w:rPr>
                <w:b/>
              </w:rPr>
              <w:t xml:space="preserve"> </w:t>
            </w:r>
            <w:r w:rsidR="00663837" w:rsidRPr="004B6EAB">
              <w:rPr>
                <w:b/>
              </w:rPr>
              <w:t>у</w:t>
            </w:r>
            <w:r w:rsidRPr="004B6EAB">
              <w:rPr>
                <w:b/>
              </w:rPr>
              <w:t xml:space="preserve"> якому сформувалась економія коштів, надати до НКРЕКП інформацію щодо обсягу та напрямку використання такої економії.</w:t>
            </w:r>
          </w:p>
          <w:p w14:paraId="32A2E901" w14:textId="77777777" w:rsidR="00AA75F8" w:rsidRPr="006300E0" w:rsidRDefault="007E1F45" w:rsidP="00AA75F8">
            <w:pPr>
              <w:pStyle w:val="rvps2"/>
              <w:shd w:val="clear" w:color="auto" w:fill="FFFFFF"/>
              <w:spacing w:before="0" w:beforeAutospacing="0" w:after="0" w:afterAutospacing="0"/>
              <w:ind w:firstLine="529"/>
              <w:jc w:val="both"/>
              <w:rPr>
                <w:b/>
              </w:rPr>
            </w:pPr>
            <w:r w:rsidRPr="007E1F45">
              <w:rPr>
                <w:b/>
              </w:rPr>
              <w:t>Оператор ГРМ не має права зменшувати витрати, пов’язані з фінансуванням фонду оплати праці, за рахунок зменшення рівня середньомісячної заробітної плати працівників, який застосовувався для обґрунтування розміру цього елемента витрат, що прийнятий до розрахунку тарифу на послуги розподілу природного газу, встановленого НКРЕКП.</w:t>
            </w:r>
          </w:p>
        </w:tc>
      </w:tr>
      <w:tr w:rsidR="00AA75F8" w:rsidRPr="00EB75F1" w14:paraId="18ACED1A" w14:textId="77777777" w:rsidTr="00AA75F8">
        <w:trPr>
          <w:trHeight w:val="1407"/>
          <w:jc w:val="center"/>
        </w:trPr>
        <w:tc>
          <w:tcPr>
            <w:tcW w:w="0" w:type="auto"/>
          </w:tcPr>
          <w:p w14:paraId="3B42D2FF" w14:textId="77777777" w:rsidR="00AA75F8" w:rsidRPr="006300E0" w:rsidRDefault="00AA75F8" w:rsidP="00AA75F8">
            <w:pPr>
              <w:pStyle w:val="rvps2"/>
              <w:shd w:val="clear" w:color="auto" w:fill="FFFFFF"/>
              <w:spacing w:before="0" w:beforeAutospacing="0" w:after="150" w:afterAutospacing="0"/>
              <w:ind w:firstLine="450"/>
              <w:jc w:val="both"/>
            </w:pPr>
            <w:r w:rsidRPr="006300E0">
              <w:t>4. Суб’єкт господарювання з розподілу природного газу зобов’язаний надавати у разі такої економії коштів до НКРЕКП інформацію щодо скорочення обсягів ВТВ та/або витрат на фінансування фонду оплати праці та напрямів використання такої економії.</w:t>
            </w:r>
          </w:p>
        </w:tc>
        <w:tc>
          <w:tcPr>
            <w:tcW w:w="0" w:type="auto"/>
          </w:tcPr>
          <w:p w14:paraId="0DA5474C" w14:textId="77777777" w:rsidR="00AA75F8" w:rsidRPr="006300E0" w:rsidRDefault="00AA75F8" w:rsidP="00AA75F8">
            <w:pPr>
              <w:pStyle w:val="rvps2"/>
              <w:shd w:val="clear" w:color="auto" w:fill="FFFFFF"/>
              <w:spacing w:before="0" w:beforeAutospacing="0" w:after="0" w:afterAutospacing="0"/>
              <w:ind w:firstLine="529"/>
              <w:jc w:val="both"/>
              <w:rPr>
                <w:b/>
              </w:rPr>
            </w:pPr>
            <w:r w:rsidRPr="006300E0">
              <w:rPr>
                <w:b/>
              </w:rPr>
              <w:t xml:space="preserve">4. З метою використання економії коштів для фінансування заходів інвестиційної програми, визначених у пункті </w:t>
            </w:r>
            <w:r w:rsidR="00526BAA" w:rsidRPr="006300E0">
              <w:rPr>
                <w:b/>
              </w:rPr>
              <w:t xml:space="preserve">2 </w:t>
            </w:r>
            <w:r w:rsidRPr="006300E0">
              <w:rPr>
                <w:b/>
              </w:rPr>
              <w:t xml:space="preserve">цього розділу, Оператор ГРМ зобов’язаний подати до НКРЕКП відповідні зміни до інвестиційної програми у порядку, </w:t>
            </w:r>
            <w:r w:rsidR="00663837">
              <w:rPr>
                <w:b/>
              </w:rPr>
              <w:t>визначеному</w:t>
            </w:r>
            <w:r w:rsidRPr="006300E0">
              <w:rPr>
                <w:b/>
              </w:rPr>
              <w:t xml:space="preserve"> Кодексом.</w:t>
            </w:r>
          </w:p>
        </w:tc>
      </w:tr>
      <w:tr w:rsidR="00AA75F8" w:rsidRPr="00EB75F1" w14:paraId="2722E3D7" w14:textId="77777777" w:rsidTr="008F0689">
        <w:trPr>
          <w:jc w:val="center"/>
        </w:trPr>
        <w:tc>
          <w:tcPr>
            <w:tcW w:w="0" w:type="auto"/>
          </w:tcPr>
          <w:p w14:paraId="3D10C4A7" w14:textId="77777777" w:rsidR="00AA75F8" w:rsidRPr="006300E0" w:rsidRDefault="00AA75F8" w:rsidP="00AA75F8">
            <w:pPr>
              <w:pStyle w:val="rvps2"/>
              <w:shd w:val="clear" w:color="auto" w:fill="FFFFFF"/>
              <w:spacing w:before="0" w:beforeAutospacing="0" w:after="150" w:afterAutospacing="0"/>
              <w:ind w:firstLine="450"/>
              <w:jc w:val="both"/>
            </w:pPr>
            <w:r w:rsidRPr="006300E0">
              <w:t>5. За результатами використання такої економії після трьох планованих періодів НКРЕКП при перегляді тарифу може зменшити плановану річну тарифну виручку на величину 50 % відповідної економії.</w:t>
            </w:r>
          </w:p>
        </w:tc>
        <w:tc>
          <w:tcPr>
            <w:tcW w:w="0" w:type="auto"/>
          </w:tcPr>
          <w:p w14:paraId="47551C13" w14:textId="77777777" w:rsidR="00AA75F8" w:rsidRPr="006300E0" w:rsidRDefault="00AA75F8" w:rsidP="00AA75F8">
            <w:pPr>
              <w:pStyle w:val="rvps2"/>
              <w:shd w:val="clear" w:color="auto" w:fill="FFFFFF"/>
              <w:spacing w:before="0" w:beforeAutospacing="0" w:after="150" w:afterAutospacing="0"/>
              <w:ind w:firstLine="450"/>
              <w:jc w:val="both"/>
              <w:rPr>
                <w:strike/>
              </w:rPr>
            </w:pPr>
            <w:r w:rsidRPr="009C6367">
              <w:rPr>
                <w:b/>
              </w:rPr>
              <w:t xml:space="preserve">5. </w:t>
            </w:r>
            <w:r w:rsidR="00526BAA" w:rsidRPr="009C6367">
              <w:rPr>
                <w:b/>
              </w:rPr>
              <w:t xml:space="preserve">Така економія </w:t>
            </w:r>
            <w:r w:rsidRPr="009C6367">
              <w:rPr>
                <w:b/>
              </w:rPr>
              <w:t xml:space="preserve">коштів не підлягає </w:t>
            </w:r>
            <w:r w:rsidR="005A002C" w:rsidRPr="009C6367">
              <w:rPr>
                <w:b/>
              </w:rPr>
              <w:t>врахуванню</w:t>
            </w:r>
            <w:r w:rsidRPr="009C6367">
              <w:rPr>
                <w:b/>
              </w:rPr>
              <w:t xml:space="preserve"> </w:t>
            </w:r>
            <w:r w:rsidR="005A002C" w:rsidRPr="009C6367">
              <w:rPr>
                <w:b/>
              </w:rPr>
              <w:t xml:space="preserve">як коригування в сторону зменшення </w:t>
            </w:r>
            <w:r w:rsidRPr="009C6367">
              <w:rPr>
                <w:b/>
              </w:rPr>
              <w:t xml:space="preserve">при розгляді питання щодо коригування планованої річної тарифної виручки </w:t>
            </w:r>
            <w:r w:rsidR="005A002C" w:rsidRPr="009C6367">
              <w:rPr>
                <w:b/>
              </w:rPr>
              <w:t xml:space="preserve">при перегляді тарифу на послуги розподілу природного газу </w:t>
            </w:r>
            <w:r w:rsidRPr="009C6367">
              <w:rPr>
                <w:b/>
              </w:rPr>
              <w:t xml:space="preserve">за умови дотримання Оператором ГРМ вимог пунктів </w:t>
            </w:r>
            <w:r w:rsidR="00B72921" w:rsidRPr="009C6367">
              <w:rPr>
                <w:b/>
              </w:rPr>
              <w:t xml:space="preserve">3 </w:t>
            </w:r>
            <w:r w:rsidRPr="009C6367">
              <w:rPr>
                <w:b/>
              </w:rPr>
              <w:t xml:space="preserve">та </w:t>
            </w:r>
            <w:r w:rsidR="00B72921" w:rsidRPr="009C6367">
              <w:rPr>
                <w:b/>
              </w:rPr>
              <w:t xml:space="preserve">4 </w:t>
            </w:r>
            <w:r w:rsidRPr="009C6367">
              <w:rPr>
                <w:b/>
              </w:rPr>
              <w:t>цього розділу.</w:t>
            </w:r>
          </w:p>
        </w:tc>
      </w:tr>
    </w:tbl>
    <w:p w14:paraId="008B67E8" w14:textId="77777777" w:rsidR="007E47BB" w:rsidRPr="006300E0" w:rsidRDefault="007E47BB" w:rsidP="003D3AAA">
      <w:pPr>
        <w:pStyle w:val="a4"/>
        <w:spacing w:before="0" w:beforeAutospacing="0" w:after="0" w:afterAutospacing="0"/>
        <w:ind w:firstLine="709"/>
        <w:jc w:val="center"/>
        <w:rPr>
          <w:b/>
        </w:rPr>
      </w:pPr>
    </w:p>
    <w:sectPr w:rsidR="007E47BB" w:rsidRPr="006300E0" w:rsidSect="005E73E8">
      <w:pgSz w:w="16838" w:h="11906" w:orient="landscape"/>
      <w:pgMar w:top="568" w:right="1103"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B0269"/>
    <w:multiLevelType w:val="hybridMultilevel"/>
    <w:tmpl w:val="E9A2A7C2"/>
    <w:lvl w:ilvl="0" w:tplc="D8EA2886">
      <w:start w:val="1"/>
      <w:numFmt w:val="decimal"/>
      <w:lvlText w:val="10.%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3DF22F0A"/>
    <w:multiLevelType w:val="hybridMultilevel"/>
    <w:tmpl w:val="990CD2E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99A"/>
    <w:rsid w:val="000262DF"/>
    <w:rsid w:val="00060EB0"/>
    <w:rsid w:val="00064BDE"/>
    <w:rsid w:val="000655D7"/>
    <w:rsid w:val="00072BBB"/>
    <w:rsid w:val="00080C55"/>
    <w:rsid w:val="000A67A6"/>
    <w:rsid w:val="000C43F0"/>
    <w:rsid w:val="000E2860"/>
    <w:rsid w:val="000E2D6E"/>
    <w:rsid w:val="001029DC"/>
    <w:rsid w:val="00117684"/>
    <w:rsid w:val="00142A0B"/>
    <w:rsid w:val="0014406E"/>
    <w:rsid w:val="00144CDF"/>
    <w:rsid w:val="00146C72"/>
    <w:rsid w:val="00152EF0"/>
    <w:rsid w:val="001562B4"/>
    <w:rsid w:val="00157AAD"/>
    <w:rsid w:val="00186964"/>
    <w:rsid w:val="001A0AA5"/>
    <w:rsid w:val="001A3309"/>
    <w:rsid w:val="001A66A8"/>
    <w:rsid w:val="001B0C28"/>
    <w:rsid w:val="001B2E0C"/>
    <w:rsid w:val="001B4EB7"/>
    <w:rsid w:val="001D4068"/>
    <w:rsid w:val="001D71AF"/>
    <w:rsid w:val="001D7431"/>
    <w:rsid w:val="001E40B0"/>
    <w:rsid w:val="001E77F5"/>
    <w:rsid w:val="001E7BDD"/>
    <w:rsid w:val="00201D8E"/>
    <w:rsid w:val="00231BE0"/>
    <w:rsid w:val="002601DF"/>
    <w:rsid w:val="00260417"/>
    <w:rsid w:val="002C381F"/>
    <w:rsid w:val="00317B33"/>
    <w:rsid w:val="003305B9"/>
    <w:rsid w:val="00332DBD"/>
    <w:rsid w:val="00342DA3"/>
    <w:rsid w:val="00345F6F"/>
    <w:rsid w:val="00350F52"/>
    <w:rsid w:val="00362659"/>
    <w:rsid w:val="003663C2"/>
    <w:rsid w:val="003737EF"/>
    <w:rsid w:val="00373FC7"/>
    <w:rsid w:val="00375C7C"/>
    <w:rsid w:val="0038199A"/>
    <w:rsid w:val="00382CFB"/>
    <w:rsid w:val="003D3AAA"/>
    <w:rsid w:val="003F1ADF"/>
    <w:rsid w:val="004224A0"/>
    <w:rsid w:val="00422DD1"/>
    <w:rsid w:val="004234B5"/>
    <w:rsid w:val="00432BD2"/>
    <w:rsid w:val="00437EBF"/>
    <w:rsid w:val="004469A8"/>
    <w:rsid w:val="00450866"/>
    <w:rsid w:val="00494269"/>
    <w:rsid w:val="004A31E8"/>
    <w:rsid w:val="004B57E5"/>
    <w:rsid w:val="004B6EAB"/>
    <w:rsid w:val="004B7A30"/>
    <w:rsid w:val="004C2300"/>
    <w:rsid w:val="004C7326"/>
    <w:rsid w:val="004D5DAB"/>
    <w:rsid w:val="004D61F3"/>
    <w:rsid w:val="004E7CFE"/>
    <w:rsid w:val="004F2D47"/>
    <w:rsid w:val="004F4582"/>
    <w:rsid w:val="005017BF"/>
    <w:rsid w:val="00510F09"/>
    <w:rsid w:val="00526BAA"/>
    <w:rsid w:val="00554FE8"/>
    <w:rsid w:val="00560EDA"/>
    <w:rsid w:val="005A002C"/>
    <w:rsid w:val="005A5715"/>
    <w:rsid w:val="005A7964"/>
    <w:rsid w:val="005B3FC2"/>
    <w:rsid w:val="005C5DBF"/>
    <w:rsid w:val="005D3D26"/>
    <w:rsid w:val="005E73E8"/>
    <w:rsid w:val="005F5810"/>
    <w:rsid w:val="005F65D0"/>
    <w:rsid w:val="006047F6"/>
    <w:rsid w:val="006216A1"/>
    <w:rsid w:val="006231A9"/>
    <w:rsid w:val="006300E0"/>
    <w:rsid w:val="0064268E"/>
    <w:rsid w:val="00645A75"/>
    <w:rsid w:val="00663837"/>
    <w:rsid w:val="006B08FC"/>
    <w:rsid w:val="006D427C"/>
    <w:rsid w:val="006D5963"/>
    <w:rsid w:val="006E3F4E"/>
    <w:rsid w:val="0070485E"/>
    <w:rsid w:val="00711D6F"/>
    <w:rsid w:val="007533AF"/>
    <w:rsid w:val="007560AD"/>
    <w:rsid w:val="007621B2"/>
    <w:rsid w:val="0076285C"/>
    <w:rsid w:val="00762AC4"/>
    <w:rsid w:val="00762E0C"/>
    <w:rsid w:val="007739DD"/>
    <w:rsid w:val="00776520"/>
    <w:rsid w:val="00782C0B"/>
    <w:rsid w:val="007D425B"/>
    <w:rsid w:val="007D6F81"/>
    <w:rsid w:val="007E0022"/>
    <w:rsid w:val="007E1F45"/>
    <w:rsid w:val="007E47BB"/>
    <w:rsid w:val="007F0BB3"/>
    <w:rsid w:val="007F42F5"/>
    <w:rsid w:val="00807083"/>
    <w:rsid w:val="00814E5B"/>
    <w:rsid w:val="00820228"/>
    <w:rsid w:val="00827785"/>
    <w:rsid w:val="00832E07"/>
    <w:rsid w:val="008612F1"/>
    <w:rsid w:val="00883697"/>
    <w:rsid w:val="008A52CD"/>
    <w:rsid w:val="008C1724"/>
    <w:rsid w:val="008D554C"/>
    <w:rsid w:val="008F0689"/>
    <w:rsid w:val="0091476E"/>
    <w:rsid w:val="00915A7B"/>
    <w:rsid w:val="00925A62"/>
    <w:rsid w:val="00925C1B"/>
    <w:rsid w:val="00926320"/>
    <w:rsid w:val="00934C4C"/>
    <w:rsid w:val="00937CF8"/>
    <w:rsid w:val="009412D9"/>
    <w:rsid w:val="00951941"/>
    <w:rsid w:val="00962E2A"/>
    <w:rsid w:val="00975DBA"/>
    <w:rsid w:val="009817C0"/>
    <w:rsid w:val="009820AE"/>
    <w:rsid w:val="0099247E"/>
    <w:rsid w:val="009A0ABB"/>
    <w:rsid w:val="009A1C70"/>
    <w:rsid w:val="009C29DA"/>
    <w:rsid w:val="009C6367"/>
    <w:rsid w:val="009D4C99"/>
    <w:rsid w:val="009D5DB9"/>
    <w:rsid w:val="009D7239"/>
    <w:rsid w:val="00A07BE4"/>
    <w:rsid w:val="00A16AA2"/>
    <w:rsid w:val="00A2644A"/>
    <w:rsid w:val="00A274C1"/>
    <w:rsid w:val="00A40DD6"/>
    <w:rsid w:val="00A6422D"/>
    <w:rsid w:val="00A916F5"/>
    <w:rsid w:val="00A94676"/>
    <w:rsid w:val="00A9669C"/>
    <w:rsid w:val="00A97247"/>
    <w:rsid w:val="00AA31C1"/>
    <w:rsid w:val="00AA429F"/>
    <w:rsid w:val="00AA5EEE"/>
    <w:rsid w:val="00AA75F8"/>
    <w:rsid w:val="00AB64AB"/>
    <w:rsid w:val="00AB6C11"/>
    <w:rsid w:val="00AE33EF"/>
    <w:rsid w:val="00AF02ED"/>
    <w:rsid w:val="00B062A9"/>
    <w:rsid w:val="00B06BBE"/>
    <w:rsid w:val="00B06E6A"/>
    <w:rsid w:val="00B61842"/>
    <w:rsid w:val="00B72921"/>
    <w:rsid w:val="00B77F4D"/>
    <w:rsid w:val="00B82A37"/>
    <w:rsid w:val="00B8307F"/>
    <w:rsid w:val="00BA4B2A"/>
    <w:rsid w:val="00BB2465"/>
    <w:rsid w:val="00BF1961"/>
    <w:rsid w:val="00BF1D24"/>
    <w:rsid w:val="00C033AB"/>
    <w:rsid w:val="00C03B53"/>
    <w:rsid w:val="00C044F2"/>
    <w:rsid w:val="00C12C7A"/>
    <w:rsid w:val="00C34806"/>
    <w:rsid w:val="00C41EFE"/>
    <w:rsid w:val="00C5038B"/>
    <w:rsid w:val="00C52BFC"/>
    <w:rsid w:val="00C6382E"/>
    <w:rsid w:val="00C6767A"/>
    <w:rsid w:val="00C7147A"/>
    <w:rsid w:val="00C72706"/>
    <w:rsid w:val="00C80C45"/>
    <w:rsid w:val="00C81459"/>
    <w:rsid w:val="00C85762"/>
    <w:rsid w:val="00CE0D56"/>
    <w:rsid w:val="00D10A79"/>
    <w:rsid w:val="00D13FAB"/>
    <w:rsid w:val="00D42CC9"/>
    <w:rsid w:val="00D54D45"/>
    <w:rsid w:val="00D66017"/>
    <w:rsid w:val="00D66AA6"/>
    <w:rsid w:val="00D8000E"/>
    <w:rsid w:val="00D85997"/>
    <w:rsid w:val="00D9036A"/>
    <w:rsid w:val="00D96FE9"/>
    <w:rsid w:val="00DB37FF"/>
    <w:rsid w:val="00DB5C20"/>
    <w:rsid w:val="00DB7FB5"/>
    <w:rsid w:val="00DC7E59"/>
    <w:rsid w:val="00DD548E"/>
    <w:rsid w:val="00E21438"/>
    <w:rsid w:val="00E44B0F"/>
    <w:rsid w:val="00E70CD5"/>
    <w:rsid w:val="00E83421"/>
    <w:rsid w:val="00E92847"/>
    <w:rsid w:val="00EB2E8C"/>
    <w:rsid w:val="00EB4EF5"/>
    <w:rsid w:val="00EB60BA"/>
    <w:rsid w:val="00EB679A"/>
    <w:rsid w:val="00EB75F1"/>
    <w:rsid w:val="00EF481D"/>
    <w:rsid w:val="00EF501F"/>
    <w:rsid w:val="00F07759"/>
    <w:rsid w:val="00F11A42"/>
    <w:rsid w:val="00F23428"/>
    <w:rsid w:val="00F30D95"/>
    <w:rsid w:val="00F54531"/>
    <w:rsid w:val="00F64526"/>
    <w:rsid w:val="00FA49E5"/>
    <w:rsid w:val="00FB07E6"/>
    <w:rsid w:val="00FB10B0"/>
    <w:rsid w:val="00FB4BBC"/>
    <w:rsid w:val="00FC01C4"/>
    <w:rsid w:val="00FD54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3DA72"/>
  <w15:chartTrackingRefBased/>
  <w15:docId w15:val="{0AE46050-5488-4991-B541-0919225A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73E8"/>
    <w:pPr>
      <w:spacing w:after="200" w:line="276" w:lineRule="auto"/>
    </w:pPr>
    <w:rPr>
      <w:lang w:val="ru-RU"/>
    </w:rPr>
  </w:style>
  <w:style w:type="paragraph" w:styleId="3">
    <w:name w:val="heading 3"/>
    <w:basedOn w:val="a"/>
    <w:link w:val="30"/>
    <w:uiPriority w:val="9"/>
    <w:qFormat/>
    <w:rsid w:val="003737EF"/>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73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3737EF"/>
    <w:rPr>
      <w:rFonts w:ascii="Times New Roman" w:eastAsia="Times New Roman" w:hAnsi="Times New Roman" w:cs="Times New Roman"/>
      <w:b/>
      <w:bCs/>
      <w:sz w:val="27"/>
      <w:szCs w:val="27"/>
      <w:lang w:eastAsia="uk-UA"/>
    </w:rPr>
  </w:style>
  <w:style w:type="paragraph" w:styleId="a4">
    <w:name w:val="Normal (Web)"/>
    <w:basedOn w:val="a"/>
    <w:uiPriority w:val="99"/>
    <w:unhideWhenUsed/>
    <w:rsid w:val="003737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3737EF"/>
    <w:pPr>
      <w:spacing w:after="0" w:line="240" w:lineRule="auto"/>
      <w:ind w:left="720"/>
      <w:contextualSpacing/>
    </w:pPr>
    <w:rPr>
      <w:rFonts w:ascii="Calibri" w:eastAsia="Calibri" w:hAnsi="Calibri" w:cs="Times New Roman"/>
      <w:sz w:val="24"/>
      <w:szCs w:val="24"/>
      <w:lang w:val="en-US"/>
    </w:rPr>
  </w:style>
  <w:style w:type="paragraph" w:customStyle="1" w:styleId="rvps2">
    <w:name w:val="rvps2"/>
    <w:basedOn w:val="a"/>
    <w:rsid w:val="00560ED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560EDA"/>
  </w:style>
  <w:style w:type="character" w:styleId="a6">
    <w:name w:val="Hyperlink"/>
    <w:basedOn w:val="a0"/>
    <w:uiPriority w:val="99"/>
    <w:semiHidden/>
    <w:unhideWhenUsed/>
    <w:rsid w:val="00560EDA"/>
    <w:rPr>
      <w:color w:val="0000FF"/>
      <w:u w:val="single"/>
    </w:rPr>
  </w:style>
  <w:style w:type="character" w:styleId="a7">
    <w:name w:val="annotation reference"/>
    <w:basedOn w:val="a0"/>
    <w:uiPriority w:val="99"/>
    <w:semiHidden/>
    <w:unhideWhenUsed/>
    <w:rsid w:val="00437EBF"/>
    <w:rPr>
      <w:sz w:val="16"/>
      <w:szCs w:val="16"/>
    </w:rPr>
  </w:style>
  <w:style w:type="paragraph" w:styleId="a8">
    <w:name w:val="annotation text"/>
    <w:basedOn w:val="a"/>
    <w:link w:val="a9"/>
    <w:uiPriority w:val="99"/>
    <w:unhideWhenUsed/>
    <w:rsid w:val="00437EBF"/>
    <w:pPr>
      <w:spacing w:line="240" w:lineRule="auto"/>
    </w:pPr>
    <w:rPr>
      <w:sz w:val="20"/>
      <w:szCs w:val="20"/>
    </w:rPr>
  </w:style>
  <w:style w:type="character" w:customStyle="1" w:styleId="a9">
    <w:name w:val="Текст примітки Знак"/>
    <w:basedOn w:val="a0"/>
    <w:link w:val="a8"/>
    <w:uiPriority w:val="99"/>
    <w:rsid w:val="00437EBF"/>
    <w:rPr>
      <w:sz w:val="20"/>
      <w:szCs w:val="20"/>
      <w:lang w:val="ru-RU"/>
    </w:rPr>
  </w:style>
  <w:style w:type="paragraph" w:styleId="aa">
    <w:name w:val="annotation subject"/>
    <w:basedOn w:val="a8"/>
    <w:next w:val="a8"/>
    <w:link w:val="ab"/>
    <w:uiPriority w:val="99"/>
    <w:semiHidden/>
    <w:unhideWhenUsed/>
    <w:rsid w:val="00437EBF"/>
    <w:rPr>
      <w:b/>
      <w:bCs/>
    </w:rPr>
  </w:style>
  <w:style w:type="character" w:customStyle="1" w:styleId="ab">
    <w:name w:val="Тема примітки Знак"/>
    <w:basedOn w:val="a9"/>
    <w:link w:val="aa"/>
    <w:uiPriority w:val="99"/>
    <w:semiHidden/>
    <w:rsid w:val="00437EBF"/>
    <w:rPr>
      <w:b/>
      <w:bCs/>
      <w:sz w:val="20"/>
      <w:szCs w:val="20"/>
      <w:lang w:val="ru-RU"/>
    </w:rPr>
  </w:style>
  <w:style w:type="paragraph" w:styleId="ac">
    <w:name w:val="Balloon Text"/>
    <w:basedOn w:val="a"/>
    <w:link w:val="ad"/>
    <w:uiPriority w:val="99"/>
    <w:semiHidden/>
    <w:unhideWhenUsed/>
    <w:rsid w:val="00437EBF"/>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437EBF"/>
    <w:rPr>
      <w:rFonts w:ascii="Segoe UI" w:hAnsi="Segoe UI" w:cs="Segoe UI"/>
      <w:sz w:val="18"/>
      <w:szCs w:val="18"/>
      <w:lang w:val="ru-RU"/>
    </w:rPr>
  </w:style>
  <w:style w:type="character" w:styleId="ae">
    <w:name w:val="Placeholder Text"/>
    <w:basedOn w:val="a0"/>
    <w:uiPriority w:val="99"/>
    <w:semiHidden/>
    <w:rsid w:val="004469A8"/>
    <w:rPr>
      <w:color w:val="666666"/>
    </w:rPr>
  </w:style>
  <w:style w:type="paragraph" w:styleId="af">
    <w:name w:val="Revision"/>
    <w:hidden/>
    <w:uiPriority w:val="99"/>
    <w:semiHidden/>
    <w:rsid w:val="00D85997"/>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78056">
      <w:bodyDiv w:val="1"/>
      <w:marLeft w:val="0"/>
      <w:marRight w:val="0"/>
      <w:marTop w:val="0"/>
      <w:marBottom w:val="0"/>
      <w:divBdr>
        <w:top w:val="none" w:sz="0" w:space="0" w:color="auto"/>
        <w:left w:val="none" w:sz="0" w:space="0" w:color="auto"/>
        <w:bottom w:val="none" w:sz="0" w:space="0" w:color="auto"/>
        <w:right w:val="none" w:sz="0" w:space="0" w:color="auto"/>
      </w:divBdr>
    </w:div>
    <w:div w:id="50814552">
      <w:bodyDiv w:val="1"/>
      <w:marLeft w:val="0"/>
      <w:marRight w:val="0"/>
      <w:marTop w:val="0"/>
      <w:marBottom w:val="0"/>
      <w:divBdr>
        <w:top w:val="none" w:sz="0" w:space="0" w:color="auto"/>
        <w:left w:val="none" w:sz="0" w:space="0" w:color="auto"/>
        <w:bottom w:val="none" w:sz="0" w:space="0" w:color="auto"/>
        <w:right w:val="none" w:sz="0" w:space="0" w:color="auto"/>
      </w:divBdr>
      <w:divsChild>
        <w:div w:id="1926299656">
          <w:marLeft w:val="0"/>
          <w:marRight w:val="0"/>
          <w:marTop w:val="0"/>
          <w:marBottom w:val="150"/>
          <w:divBdr>
            <w:top w:val="none" w:sz="0" w:space="0" w:color="auto"/>
            <w:left w:val="none" w:sz="0" w:space="0" w:color="auto"/>
            <w:bottom w:val="none" w:sz="0" w:space="0" w:color="auto"/>
            <w:right w:val="none" w:sz="0" w:space="0" w:color="auto"/>
          </w:divBdr>
        </w:div>
        <w:div w:id="1013844305">
          <w:marLeft w:val="0"/>
          <w:marRight w:val="0"/>
          <w:marTop w:val="0"/>
          <w:marBottom w:val="150"/>
          <w:divBdr>
            <w:top w:val="none" w:sz="0" w:space="0" w:color="auto"/>
            <w:left w:val="none" w:sz="0" w:space="0" w:color="auto"/>
            <w:bottom w:val="none" w:sz="0" w:space="0" w:color="auto"/>
            <w:right w:val="none" w:sz="0" w:space="0" w:color="auto"/>
          </w:divBdr>
        </w:div>
        <w:div w:id="343213025">
          <w:marLeft w:val="0"/>
          <w:marRight w:val="0"/>
          <w:marTop w:val="0"/>
          <w:marBottom w:val="150"/>
          <w:divBdr>
            <w:top w:val="none" w:sz="0" w:space="0" w:color="auto"/>
            <w:left w:val="none" w:sz="0" w:space="0" w:color="auto"/>
            <w:bottom w:val="none" w:sz="0" w:space="0" w:color="auto"/>
            <w:right w:val="none" w:sz="0" w:space="0" w:color="auto"/>
          </w:divBdr>
        </w:div>
        <w:div w:id="1657807058">
          <w:marLeft w:val="0"/>
          <w:marRight w:val="0"/>
          <w:marTop w:val="0"/>
          <w:marBottom w:val="150"/>
          <w:divBdr>
            <w:top w:val="none" w:sz="0" w:space="0" w:color="auto"/>
            <w:left w:val="none" w:sz="0" w:space="0" w:color="auto"/>
            <w:bottom w:val="none" w:sz="0" w:space="0" w:color="auto"/>
            <w:right w:val="none" w:sz="0" w:space="0" w:color="auto"/>
          </w:divBdr>
        </w:div>
        <w:div w:id="390664333">
          <w:marLeft w:val="0"/>
          <w:marRight w:val="0"/>
          <w:marTop w:val="0"/>
          <w:marBottom w:val="150"/>
          <w:divBdr>
            <w:top w:val="none" w:sz="0" w:space="0" w:color="auto"/>
            <w:left w:val="none" w:sz="0" w:space="0" w:color="auto"/>
            <w:bottom w:val="none" w:sz="0" w:space="0" w:color="auto"/>
            <w:right w:val="none" w:sz="0" w:space="0" w:color="auto"/>
          </w:divBdr>
        </w:div>
      </w:divsChild>
    </w:div>
    <w:div w:id="59602088">
      <w:bodyDiv w:val="1"/>
      <w:marLeft w:val="0"/>
      <w:marRight w:val="0"/>
      <w:marTop w:val="0"/>
      <w:marBottom w:val="0"/>
      <w:divBdr>
        <w:top w:val="none" w:sz="0" w:space="0" w:color="auto"/>
        <w:left w:val="none" w:sz="0" w:space="0" w:color="auto"/>
        <w:bottom w:val="none" w:sz="0" w:space="0" w:color="auto"/>
        <w:right w:val="none" w:sz="0" w:space="0" w:color="auto"/>
      </w:divBdr>
    </w:div>
    <w:div w:id="60521762">
      <w:bodyDiv w:val="1"/>
      <w:marLeft w:val="0"/>
      <w:marRight w:val="0"/>
      <w:marTop w:val="0"/>
      <w:marBottom w:val="0"/>
      <w:divBdr>
        <w:top w:val="none" w:sz="0" w:space="0" w:color="auto"/>
        <w:left w:val="none" w:sz="0" w:space="0" w:color="auto"/>
        <w:bottom w:val="none" w:sz="0" w:space="0" w:color="auto"/>
        <w:right w:val="none" w:sz="0" w:space="0" w:color="auto"/>
      </w:divBdr>
      <w:divsChild>
        <w:div w:id="199510874">
          <w:marLeft w:val="0"/>
          <w:marRight w:val="0"/>
          <w:marTop w:val="0"/>
          <w:marBottom w:val="150"/>
          <w:divBdr>
            <w:top w:val="none" w:sz="0" w:space="0" w:color="auto"/>
            <w:left w:val="none" w:sz="0" w:space="0" w:color="auto"/>
            <w:bottom w:val="none" w:sz="0" w:space="0" w:color="auto"/>
            <w:right w:val="none" w:sz="0" w:space="0" w:color="auto"/>
          </w:divBdr>
        </w:div>
        <w:div w:id="521628425">
          <w:marLeft w:val="0"/>
          <w:marRight w:val="0"/>
          <w:marTop w:val="0"/>
          <w:marBottom w:val="150"/>
          <w:divBdr>
            <w:top w:val="none" w:sz="0" w:space="0" w:color="auto"/>
            <w:left w:val="none" w:sz="0" w:space="0" w:color="auto"/>
            <w:bottom w:val="none" w:sz="0" w:space="0" w:color="auto"/>
            <w:right w:val="none" w:sz="0" w:space="0" w:color="auto"/>
          </w:divBdr>
        </w:div>
        <w:div w:id="212696127">
          <w:marLeft w:val="0"/>
          <w:marRight w:val="0"/>
          <w:marTop w:val="0"/>
          <w:marBottom w:val="150"/>
          <w:divBdr>
            <w:top w:val="none" w:sz="0" w:space="0" w:color="auto"/>
            <w:left w:val="none" w:sz="0" w:space="0" w:color="auto"/>
            <w:bottom w:val="none" w:sz="0" w:space="0" w:color="auto"/>
            <w:right w:val="none" w:sz="0" w:space="0" w:color="auto"/>
          </w:divBdr>
        </w:div>
        <w:div w:id="172375775">
          <w:marLeft w:val="0"/>
          <w:marRight w:val="0"/>
          <w:marTop w:val="0"/>
          <w:marBottom w:val="150"/>
          <w:divBdr>
            <w:top w:val="none" w:sz="0" w:space="0" w:color="auto"/>
            <w:left w:val="none" w:sz="0" w:space="0" w:color="auto"/>
            <w:bottom w:val="none" w:sz="0" w:space="0" w:color="auto"/>
            <w:right w:val="none" w:sz="0" w:space="0" w:color="auto"/>
          </w:divBdr>
        </w:div>
        <w:div w:id="1809127912">
          <w:marLeft w:val="0"/>
          <w:marRight w:val="0"/>
          <w:marTop w:val="0"/>
          <w:marBottom w:val="150"/>
          <w:divBdr>
            <w:top w:val="none" w:sz="0" w:space="0" w:color="auto"/>
            <w:left w:val="none" w:sz="0" w:space="0" w:color="auto"/>
            <w:bottom w:val="none" w:sz="0" w:space="0" w:color="auto"/>
            <w:right w:val="none" w:sz="0" w:space="0" w:color="auto"/>
          </w:divBdr>
        </w:div>
      </w:divsChild>
    </w:div>
    <w:div w:id="471558147">
      <w:bodyDiv w:val="1"/>
      <w:marLeft w:val="0"/>
      <w:marRight w:val="0"/>
      <w:marTop w:val="0"/>
      <w:marBottom w:val="0"/>
      <w:divBdr>
        <w:top w:val="none" w:sz="0" w:space="0" w:color="auto"/>
        <w:left w:val="none" w:sz="0" w:space="0" w:color="auto"/>
        <w:bottom w:val="none" w:sz="0" w:space="0" w:color="auto"/>
        <w:right w:val="none" w:sz="0" w:space="0" w:color="auto"/>
      </w:divBdr>
    </w:div>
    <w:div w:id="1393120095">
      <w:bodyDiv w:val="1"/>
      <w:marLeft w:val="0"/>
      <w:marRight w:val="0"/>
      <w:marTop w:val="0"/>
      <w:marBottom w:val="0"/>
      <w:divBdr>
        <w:top w:val="none" w:sz="0" w:space="0" w:color="auto"/>
        <w:left w:val="none" w:sz="0" w:space="0" w:color="auto"/>
        <w:bottom w:val="none" w:sz="0" w:space="0" w:color="auto"/>
        <w:right w:val="none" w:sz="0" w:space="0" w:color="auto"/>
      </w:divBdr>
    </w:div>
    <w:div w:id="1570312863">
      <w:bodyDiv w:val="1"/>
      <w:marLeft w:val="0"/>
      <w:marRight w:val="0"/>
      <w:marTop w:val="0"/>
      <w:marBottom w:val="0"/>
      <w:divBdr>
        <w:top w:val="none" w:sz="0" w:space="0" w:color="auto"/>
        <w:left w:val="none" w:sz="0" w:space="0" w:color="auto"/>
        <w:bottom w:val="none" w:sz="0" w:space="0" w:color="auto"/>
        <w:right w:val="none" w:sz="0" w:space="0" w:color="auto"/>
      </w:divBdr>
      <w:divsChild>
        <w:div w:id="616447892">
          <w:marLeft w:val="0"/>
          <w:marRight w:val="0"/>
          <w:marTop w:val="0"/>
          <w:marBottom w:val="150"/>
          <w:divBdr>
            <w:top w:val="none" w:sz="0" w:space="0" w:color="auto"/>
            <w:left w:val="none" w:sz="0" w:space="0" w:color="auto"/>
            <w:bottom w:val="none" w:sz="0" w:space="0" w:color="auto"/>
            <w:right w:val="none" w:sz="0" w:space="0" w:color="auto"/>
          </w:divBdr>
        </w:div>
        <w:div w:id="2014530552">
          <w:marLeft w:val="0"/>
          <w:marRight w:val="0"/>
          <w:marTop w:val="0"/>
          <w:marBottom w:val="150"/>
          <w:divBdr>
            <w:top w:val="none" w:sz="0" w:space="0" w:color="auto"/>
            <w:left w:val="none" w:sz="0" w:space="0" w:color="auto"/>
            <w:bottom w:val="none" w:sz="0" w:space="0" w:color="auto"/>
            <w:right w:val="none" w:sz="0" w:space="0" w:color="auto"/>
          </w:divBdr>
        </w:div>
        <w:div w:id="660239589">
          <w:marLeft w:val="0"/>
          <w:marRight w:val="0"/>
          <w:marTop w:val="0"/>
          <w:marBottom w:val="150"/>
          <w:divBdr>
            <w:top w:val="none" w:sz="0" w:space="0" w:color="auto"/>
            <w:left w:val="none" w:sz="0" w:space="0" w:color="auto"/>
            <w:bottom w:val="none" w:sz="0" w:space="0" w:color="auto"/>
            <w:right w:val="none" w:sz="0" w:space="0" w:color="auto"/>
          </w:divBdr>
        </w:div>
        <w:div w:id="1617326190">
          <w:marLeft w:val="0"/>
          <w:marRight w:val="0"/>
          <w:marTop w:val="0"/>
          <w:marBottom w:val="150"/>
          <w:divBdr>
            <w:top w:val="none" w:sz="0" w:space="0" w:color="auto"/>
            <w:left w:val="none" w:sz="0" w:space="0" w:color="auto"/>
            <w:bottom w:val="none" w:sz="0" w:space="0" w:color="auto"/>
            <w:right w:val="none" w:sz="0" w:space="0" w:color="auto"/>
          </w:divBdr>
        </w:div>
        <w:div w:id="320543532">
          <w:marLeft w:val="0"/>
          <w:marRight w:val="0"/>
          <w:marTop w:val="0"/>
          <w:marBottom w:val="150"/>
          <w:divBdr>
            <w:top w:val="none" w:sz="0" w:space="0" w:color="auto"/>
            <w:left w:val="none" w:sz="0" w:space="0" w:color="auto"/>
            <w:bottom w:val="none" w:sz="0" w:space="0" w:color="auto"/>
            <w:right w:val="none" w:sz="0" w:space="0" w:color="auto"/>
          </w:divBdr>
        </w:div>
      </w:divsChild>
    </w:div>
    <w:div w:id="1608151946">
      <w:bodyDiv w:val="1"/>
      <w:marLeft w:val="0"/>
      <w:marRight w:val="0"/>
      <w:marTop w:val="0"/>
      <w:marBottom w:val="0"/>
      <w:divBdr>
        <w:top w:val="none" w:sz="0" w:space="0" w:color="auto"/>
        <w:left w:val="none" w:sz="0" w:space="0" w:color="auto"/>
        <w:bottom w:val="none" w:sz="0" w:space="0" w:color="auto"/>
        <w:right w:val="none" w:sz="0" w:space="0" w:color="auto"/>
      </w:divBdr>
    </w:div>
    <w:div w:id="1645351490">
      <w:bodyDiv w:val="1"/>
      <w:marLeft w:val="0"/>
      <w:marRight w:val="0"/>
      <w:marTop w:val="0"/>
      <w:marBottom w:val="0"/>
      <w:divBdr>
        <w:top w:val="none" w:sz="0" w:space="0" w:color="auto"/>
        <w:left w:val="none" w:sz="0" w:space="0" w:color="auto"/>
        <w:bottom w:val="none" w:sz="0" w:space="0" w:color="auto"/>
        <w:right w:val="none" w:sz="0" w:space="0" w:color="auto"/>
      </w:divBdr>
      <w:divsChild>
        <w:div w:id="659651066">
          <w:marLeft w:val="0"/>
          <w:marRight w:val="0"/>
          <w:marTop w:val="0"/>
          <w:marBottom w:val="150"/>
          <w:divBdr>
            <w:top w:val="none" w:sz="0" w:space="0" w:color="auto"/>
            <w:left w:val="none" w:sz="0" w:space="0" w:color="auto"/>
            <w:bottom w:val="none" w:sz="0" w:space="0" w:color="auto"/>
            <w:right w:val="none" w:sz="0" w:space="0" w:color="auto"/>
          </w:divBdr>
        </w:div>
        <w:div w:id="1005941987">
          <w:marLeft w:val="0"/>
          <w:marRight w:val="0"/>
          <w:marTop w:val="0"/>
          <w:marBottom w:val="150"/>
          <w:divBdr>
            <w:top w:val="none" w:sz="0" w:space="0" w:color="auto"/>
            <w:left w:val="none" w:sz="0" w:space="0" w:color="auto"/>
            <w:bottom w:val="none" w:sz="0" w:space="0" w:color="auto"/>
            <w:right w:val="none" w:sz="0" w:space="0" w:color="auto"/>
          </w:divBdr>
        </w:div>
        <w:div w:id="543257634">
          <w:marLeft w:val="0"/>
          <w:marRight w:val="0"/>
          <w:marTop w:val="0"/>
          <w:marBottom w:val="150"/>
          <w:divBdr>
            <w:top w:val="none" w:sz="0" w:space="0" w:color="auto"/>
            <w:left w:val="none" w:sz="0" w:space="0" w:color="auto"/>
            <w:bottom w:val="none" w:sz="0" w:space="0" w:color="auto"/>
            <w:right w:val="none" w:sz="0" w:space="0" w:color="auto"/>
          </w:divBdr>
        </w:div>
        <w:div w:id="1763642094">
          <w:marLeft w:val="0"/>
          <w:marRight w:val="0"/>
          <w:marTop w:val="0"/>
          <w:marBottom w:val="150"/>
          <w:divBdr>
            <w:top w:val="none" w:sz="0" w:space="0" w:color="auto"/>
            <w:left w:val="none" w:sz="0" w:space="0" w:color="auto"/>
            <w:bottom w:val="none" w:sz="0" w:space="0" w:color="auto"/>
            <w:right w:val="none" w:sz="0" w:space="0" w:color="auto"/>
          </w:divBdr>
        </w:div>
        <w:div w:id="1112628957">
          <w:marLeft w:val="0"/>
          <w:marRight w:val="0"/>
          <w:marTop w:val="0"/>
          <w:marBottom w:val="150"/>
          <w:divBdr>
            <w:top w:val="none" w:sz="0" w:space="0" w:color="auto"/>
            <w:left w:val="none" w:sz="0" w:space="0" w:color="auto"/>
            <w:bottom w:val="none" w:sz="0" w:space="0" w:color="auto"/>
            <w:right w:val="none" w:sz="0" w:space="0" w:color="auto"/>
          </w:divBdr>
        </w:div>
      </w:divsChild>
    </w:div>
    <w:div w:id="173678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50D89-8E2B-4C22-89FC-34901B92E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2</Pages>
  <Words>2992</Words>
  <Characters>1707</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Кулажина</dc:creator>
  <cp:keywords/>
  <dc:description/>
  <cp:lastModifiedBy>Вікторія Шепіль</cp:lastModifiedBy>
  <cp:revision>4</cp:revision>
  <cp:lastPrinted>2025-01-28T14:51:00Z</cp:lastPrinted>
  <dcterms:created xsi:type="dcterms:W3CDTF">2025-01-28T13:58:00Z</dcterms:created>
  <dcterms:modified xsi:type="dcterms:W3CDTF">2025-01-29T07:46:00Z</dcterms:modified>
</cp:coreProperties>
</file>