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5AB" w:rsidRPr="001C0BEA" w:rsidRDefault="002625AB" w:rsidP="002625A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BEA">
        <w:rPr>
          <w:rFonts w:ascii="Times New Roman" w:hAnsi="Times New Roman" w:cs="Times New Roman"/>
          <w:b/>
          <w:bCs/>
          <w:sz w:val="28"/>
          <w:szCs w:val="28"/>
        </w:rPr>
        <w:t>ПОРІВНЯЛЬНА ТАБЛИЦЯ</w:t>
      </w:r>
    </w:p>
    <w:p w:rsidR="001C0BEA" w:rsidRDefault="002625AB" w:rsidP="001C0BE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spellStart"/>
      <w:r w:rsidRPr="001C0BEA">
        <w:rPr>
          <w:rFonts w:ascii="Times New Roman" w:hAnsi="Times New Roman" w:cs="Times New Roman"/>
          <w:b/>
          <w:bCs/>
          <w:sz w:val="28"/>
          <w:szCs w:val="28"/>
        </w:rPr>
        <w:t>проєкту</w:t>
      </w:r>
      <w:proofErr w:type="spellEnd"/>
      <w:r w:rsidRPr="001C0BEA">
        <w:rPr>
          <w:rFonts w:ascii="Times New Roman" w:hAnsi="Times New Roman" w:cs="Times New Roman"/>
          <w:b/>
          <w:bCs/>
          <w:sz w:val="28"/>
          <w:szCs w:val="28"/>
        </w:rPr>
        <w:t xml:space="preserve"> рішення, що має ознаки регуляторного </w:t>
      </w:r>
      <w:proofErr w:type="spellStart"/>
      <w:r w:rsidRPr="001C0BEA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1C0BE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C0B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0BEA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1C0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постанови НКРЕКП</w:t>
      </w:r>
    </w:p>
    <w:p w:rsidR="006B7C9E" w:rsidRPr="001C0BEA" w:rsidRDefault="002625AB" w:rsidP="001C0BEA">
      <w:p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1C0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«Про затвердження Змін до Правил ринку»</w:t>
      </w:r>
    </w:p>
    <w:p w:rsidR="002625AB" w:rsidRPr="001C0BEA" w:rsidRDefault="002625AB" w:rsidP="001C0BEA">
      <w:pPr>
        <w:spacing w:after="0" w:line="257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15309" w:type="dxa"/>
        <w:tblInd w:w="137" w:type="dxa"/>
        <w:tblLook w:val="04A0" w:firstRow="1" w:lastRow="0" w:firstColumn="1" w:lastColumn="0" w:noHBand="0" w:noVBand="1"/>
      </w:tblPr>
      <w:tblGrid>
        <w:gridCol w:w="7655"/>
        <w:gridCol w:w="7654"/>
      </w:tblGrid>
      <w:tr w:rsidR="003133F5" w:rsidRPr="002625AB" w:rsidTr="009C4B1D">
        <w:tc>
          <w:tcPr>
            <w:tcW w:w="7655" w:type="dxa"/>
          </w:tcPr>
          <w:p w:rsidR="003133F5" w:rsidRPr="001C0BEA" w:rsidRDefault="001C0BEA" w:rsidP="00262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Чинна редакція</w:t>
            </w:r>
          </w:p>
        </w:tc>
        <w:tc>
          <w:tcPr>
            <w:tcW w:w="7654" w:type="dxa"/>
          </w:tcPr>
          <w:p w:rsidR="003133F5" w:rsidRPr="001C0BEA" w:rsidRDefault="001C0BEA" w:rsidP="00262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  <w:r w:rsidRPr="001C0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міна до Правил ринку</w:t>
            </w:r>
          </w:p>
        </w:tc>
      </w:tr>
      <w:tr w:rsidR="003133F5" w:rsidRPr="001A6501" w:rsidTr="009C4B1D">
        <w:tc>
          <w:tcPr>
            <w:tcW w:w="7655" w:type="dxa"/>
          </w:tcPr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5.13.1. </w:t>
            </w:r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Балансуючий ринок генерує основані на ОРЧ диспетчерські команди для одиниць надання послуг з балансування (у МВт) та основані на ОРЧ маржинальні ціни балансуючої енергії (у грн/</w:t>
            </w:r>
            <w:proofErr w:type="spellStart"/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МВт·год</w:t>
            </w:r>
            <w:proofErr w:type="spellEnd"/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), що використовуються для розрахунків за балансуючу електричну енергію,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відбір/відпуск (у </w:t>
            </w:r>
            <w:proofErr w:type="spellStart"/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МВт·год</w:t>
            </w:r>
            <w:proofErr w:type="spellEnd"/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Основані на ОРЧ маржинальні ціни балансуючої електричної енергії визначаються в кожній зоні для кожної ОРЧ як:</w:t>
            </w: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за наявності дефіциту в зоні системи – найбільша ціна активованої пропозиції на балансуючу електричну енергію на завантаження. Ця ціна є маржинальною ціною балансуючої електричної енергії на завантаження (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). </w:t>
            </w: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BEA">
              <w:rPr>
                <w:rFonts w:ascii="Times New Roman" w:eastAsia="Calibri" w:hAnsi="Times New Roman" w:cs="Times New Roman"/>
                <w:sz w:val="24"/>
                <w:szCs w:val="24"/>
              </w:rPr>
              <w:t>Якщо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такі, що врегульовують системні обмеження в зоні, то маржинальною ціною балансуючої електричної енергії на завантаження є середньоарифметичне значення наявних з тридцяти маржинальних цін балансуючої електричної енергії на завантаження (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1C0B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 аналогічні ОРЧ аналогічного розрахункового періоду, у яких така ціна була сформована, за попередні дев’яносто торгових днів;</w:t>
            </w: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4B1D" w:rsidRDefault="009C4B1D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4B1D" w:rsidRDefault="009C4B1D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4B1D" w:rsidRPr="001C0BEA" w:rsidRDefault="009C4B1D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за наявності профіциту в зоні системи – найменша ціна активованої  пропозиції на балансуючу електричну енергію на розвантаження. Ця ціна є маржинальною ціною балансуючої електричної енергії на розвантаження (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). </w:t>
            </w:r>
          </w:p>
          <w:p w:rsidR="003133F5" w:rsidRPr="001C0BEA" w:rsidRDefault="003133F5" w:rsidP="001A6501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BEA">
              <w:rPr>
                <w:rFonts w:ascii="Times New Roman" w:eastAsia="Calibri" w:hAnsi="Times New Roman" w:cs="Times New Roman"/>
                <w:sz w:val="24"/>
                <w:szCs w:val="24"/>
              </w:rPr>
              <w:t>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такі, що врегульовують системні обмеження в зоні, то маржинальною ціною балансуючої електричної енергії на розвантаження є середньоарифметичне значення наявних з тридцяти маржинальних цін балансуючої електричної енергії на розвантаження (</w:t>
            </w:r>
            <m:oMath>
              <m:sSubSup>
                <m:sSubSup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1C0B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 аналогічні ОРЧ аналогічного розрахункового періоду, у яких така ціна була сформована, за попередні дев’яносто торгових днів;</w:t>
            </w:r>
          </w:p>
          <w:p w:rsidR="003133F5" w:rsidRPr="001C0BEA" w:rsidRDefault="003133F5" w:rsidP="001A6501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  <w14:ligatures w14:val="standardContextual"/>
              </w:rPr>
            </w:pPr>
          </w:p>
          <w:p w:rsidR="003133F5" w:rsidRPr="001C0BEA" w:rsidRDefault="003133F5" w:rsidP="00466583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0BEA">
              <w:rPr>
                <w:rFonts w:ascii="Times New Roman" w:eastAsia="Calibri" w:hAnsi="Times New Roman" w:cs="Times New Roman"/>
                <w:sz w:val="24"/>
                <w:szCs w:val="24"/>
                <w14:ligatures w14:val="standardContextual"/>
              </w:rPr>
              <w:t xml:space="preserve">3) 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якщо зона системи є збалансованою (не перебуває в дефіциті або в профіциті) – ціна купівлі-продажу електричної енергії на РДН за відповідний розрахунковий період або у разі якщо торги на РДН на цей розрахунковий період не відбулись – середньозважене значення цін купівлі-продажу електричної енергії на РДН за попередні 30 днів. Ця ціна є маржинальною ціною балансуючої електричної енергії на розвантаження та маржинальною ціною балансуючої електричної енергії на завантаження.</w:t>
            </w:r>
          </w:p>
          <w:p w:rsidR="003133F5" w:rsidRPr="001C0BEA" w:rsidRDefault="003133F5" w:rsidP="00466583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Theme="majorEastAsia"/>
                <w:iCs/>
                <w:kern w:val="2"/>
              </w:rPr>
            </w:pPr>
          </w:p>
        </w:tc>
        <w:tc>
          <w:tcPr>
            <w:tcW w:w="7654" w:type="dxa"/>
          </w:tcPr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lastRenderedPageBreak/>
              <w:t>5.13.1. Балансуючий ринок генерує основані на ОРЧ диспетчерські команди для одиниць надання послуг з балансування (у МВт) та основані на ОРЧ маржинальні ціни балансуючої енергії (у грн/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), що використовуються для розрахунків за балансуючу електричну енергію,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відбір/відпуск (у 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).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Основані на ОРЧ маржинальні 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ціни балансуючої електричної енергії визначаються в кожній зоні для кожної ОРЧ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у такий спосіб: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1) 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маржинальною ціною балансуючої електричної енергії на завантаження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iCs/>
                <w:kern w:val="2"/>
                <w:sz w:val="24"/>
                <w:szCs w:val="24"/>
              </w:rPr>
              <w:t xml:space="preserve">в зоні z за ОРЧ 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b/>
                <w:bCs/>
                <w:iCs/>
                <w:kern w:val="2"/>
                <w:sz w:val="24"/>
                <w:szCs w:val="24"/>
              </w:rPr>
              <w:t>rtu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b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) </w:t>
            </w:r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</w:rPr>
              <w:t>є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найбільша ціна активованої пропозиції на балансуючу електричну енергію на завантаження протягом цієї ОРЧ, за наявності дефіциту або профіциту в зоні системи.</w:t>
            </w:r>
          </w:p>
          <w:p w:rsidR="003133F5" w:rsidRPr="001C0BEA" w:rsidRDefault="003133F5" w:rsidP="006B7C9E">
            <w:pPr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Якщо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такі, що врегульовують системні обмеження в зоні, то маржинальною ціною балансуючої електричної енергії на завантаження є середньоарифметичне значення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останніх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 маржинальних цін балансуючої електричної енергії на завантаження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(до тридцяти значень включно)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 за аналогічні ОРЧ аналогічного розрахункового періоду,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у яких система перебувала у дефіциті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що наявні за попередні дев'яносто торгових днів.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Якщо зона системи є збалансованою (не перебуває в дефіциті або в профіциті), маржинальною ціною балансуючої електричної енергії на завантаження є ціна купівлі-продажу електричної енергії на РДН за відповідний розрахунковий період або у разі якщо торги на РДН на цей розрахунковий період не відбулись </w:t>
            </w:r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–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середньозважене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lastRenderedPageBreak/>
              <w:t>значення цін купівлі-продажу електричної енергії на РДН за попередні 30 днів;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2) 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маржинальною ціною балансуючої електричної енергії на розвантаження в зоні z за ОРЧ 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rtu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b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b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</w:rPr>
              <w:t>) є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найменша ціна активованої пропозиції на балансуючу електричну енергію на розвантаження протягом цієї ОРЧ, за наявності дефіциту або профіциту в зоні системи.</w:t>
            </w:r>
          </w:p>
          <w:p w:rsidR="003133F5" w:rsidRPr="001C0BEA" w:rsidRDefault="003133F5" w:rsidP="006B7C9E">
            <w:pPr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такі, що врегульовують системні обмеження в зоні, то маржинальною ціною балансуючої електричної енергії на розвантаження є середньоарифметичне значення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останніх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 маржинальних цін балансуючої електричної енергії на розвантаження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(до тридцяти значень включно)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 за аналогічні ОРЧ аналогічного розрахункового періоду,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у яких система перебувала у профіциті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що наявні за попередні дев'яносто торгових днів.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Якщо зона системи є збалансованою (не перебуває в дефіциті або в профіциті), маржинальною ціною балансуючої електричної енергії на розвантаження є ціна купівлі-продажу електричної енергії на РДН за відповідний розрахунковий період або у разі якщо торги на РДН на цей розрахунковий період не відбулись </w:t>
            </w:r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–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середньозважене значення цін купівлі-продажу електричної енергії на РДН за попередні 30 днів.</w:t>
            </w:r>
          </w:p>
        </w:tc>
      </w:tr>
      <w:tr w:rsidR="003133F5" w:rsidRPr="001A6501" w:rsidTr="009C4B1D">
        <w:tc>
          <w:tcPr>
            <w:tcW w:w="7655" w:type="dxa"/>
          </w:tcPr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5.13.3. Ціна небалансу для врегулювання небалансів електричної енергії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>(I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>)</m:t>
              </m:r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зоні визначається у </w:t>
            </w:r>
            <w:r w:rsidRPr="001C0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грн/</w:t>
            </w:r>
            <w:proofErr w:type="spellStart"/>
            <w:r w:rsidRPr="001C0B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МВт·год</w:t>
            </w:r>
            <w:proofErr w:type="spellEnd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як середньозважена ціна для кожного розрахункового періоду в такий спосіб: </w:t>
            </w: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якщо зона системи перебуває в дефіциті протягом розрахункового періоду, то</w:t>
            </w:r>
          </w:p>
          <w:p w:rsidR="003133F5" w:rsidRPr="001C0BEA" w:rsidRDefault="001C0BEA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>I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 xml:space="preserve">= 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>rtu∈t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up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 xml:space="preserve"> ∙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 xml:space="preserve"> 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up</m:t>
                              </m:r>
                            </m:sup>
                          </m:sSubSup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  <m:t>)</m:t>
                      </m:r>
                    </m:num>
                    <m:den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>rtu∈t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up</m:t>
                              </m:r>
                            </m:sup>
                          </m:sSubSup>
                        </m:e>
                      </m:nary>
                    </m:den>
                  </m:f>
                </m:e>
              </m:d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– маржинальна ціна балансуючої електричної енергії на завантаження в зоні z за ОРЧ rtu, грн/МВт</w:t>
            </w:r>
            <w:r w:rsidRPr="001C0BEA">
              <w:rPr>
                <w:rFonts w:ascii="Cambria Math" w:eastAsia="Times New Roman" w:hAnsi="Cambria Math" w:cs="Cambria Math"/>
                <w:sz w:val="24"/>
                <w:szCs w:val="24"/>
                <w:lang w:val="uk-UA" w:eastAsia="uk-UA"/>
              </w:rPr>
              <w:t>⋅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год;</w:t>
            </w: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 якщо зона системи перебуває в профіциті протягом розрахункового періоду, то</w:t>
            </w:r>
          </w:p>
          <w:p w:rsidR="003133F5" w:rsidRPr="001C0BEA" w:rsidRDefault="001C0BEA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>I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 xml:space="preserve">= 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>rtu∈t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>(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 xml:space="preserve"> ∙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 xml:space="preserve"> 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dn</m:t>
                              </m:r>
                            </m:sup>
                          </m:sSubSup>
                        </m:e>
                      </m:nary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  <m:t>)</m:t>
                      </m:r>
                    </m:num>
                    <m:den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uk-UA" w:eastAsia="uk-UA"/>
                            </w:rPr>
                            <m:t>rtu∈t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uk-UA" w:eastAsia="uk-UA"/>
                                </w:rPr>
                                <m:t>dn</m:t>
                              </m:r>
                            </m:sup>
                          </m:sSubSup>
                        </m:e>
                      </m:nary>
                    </m:den>
                  </m:f>
                </m:e>
              </m:d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dn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 xml:space="preserve"> </m:t>
              </m:r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маржинальна ціна балансуючої електричної енергії на розвантаження в зоні z за ОРЧ rtu, грн/МВт</w:t>
            </w:r>
            <w:r w:rsidRPr="001C0BEA">
              <w:rPr>
                <w:rFonts w:ascii="Cambria Math" w:eastAsia="Times New Roman" w:hAnsi="Cambria Math" w:cs="Cambria Math"/>
                <w:sz w:val="24"/>
                <w:szCs w:val="24"/>
                <w:lang w:val="uk-UA" w:eastAsia="uk-UA"/>
              </w:rPr>
              <w:t>⋅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год;</w:t>
            </w: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3) якщо зона системи є збалансованою протягом розрахункового періоду або якщо в дефіцитній системі обсяг активованої балансуючої електричної енергії на завантаження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rtu∈t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  <m:t>ABE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  <m:t>z,rtu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uk-UA" w:eastAsia="uk-UA"/>
                        </w:rPr>
                        <m:t>up</m:t>
                      </m:r>
                    </m:sup>
                  </m:sSubSup>
                </m:e>
              </m:nary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протягом розрахункового періоду дорівнює нулю, то</w:t>
            </w:r>
          </w:p>
          <w:p w:rsidR="003133F5" w:rsidRPr="001C0BEA" w:rsidRDefault="001C0BEA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>I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 xml:space="preserve">=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PDAM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uk-UA" w:eastAsia="uk-UA"/>
                </w:rPr>
                <m:t xml:space="preserve"> </m:t>
              </m:r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де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PDAM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</m:sSub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– ціна купівлі-продажу електричної енергії на РДН у зоні z для розрахункового періоду t або у разі якщо торги на РДН на цей розрахунковий період не відбулись – середньозважене значення цін купівлі-продажу електричної енергії на РДН за попередні 30 днів, грн/</w:t>
            </w:r>
            <w:proofErr w:type="spellStart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МВт·год</w:t>
            </w:r>
            <w:proofErr w:type="spellEnd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</w:p>
        </w:tc>
        <w:tc>
          <w:tcPr>
            <w:tcW w:w="7654" w:type="dxa"/>
          </w:tcPr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lastRenderedPageBreak/>
              <w:t xml:space="preserve">5.13.3. Ціна небалансу для врегулювання небалансів електричної енергії у зоні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(I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)</m:t>
              </m:r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визначається у грн/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 як середньозважена ціна для кожного розрахункового періоду в такий спосіб: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1) якщо зона системи перебуває в дефіциті протягом розрахункового періоду, то</w:t>
            </w:r>
          </w:p>
          <w:p w:rsidR="003133F5" w:rsidRPr="001C0BEA" w:rsidRDefault="001C0BEA" w:rsidP="00213FC4">
            <w:pPr>
              <w:spacing w:line="240" w:lineRule="auto"/>
              <w:jc w:val="center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ajorEastAsia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IMSP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</w:rPr>
                <m:t xml:space="preserve"> </m:t>
              </m:r>
            </m:oMath>
            <w:r w:rsidR="003133F5"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ajorEastAsia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ajorEastAsia" w:hAnsi="Cambria Math" w:cs="Times New Roman"/>
                          <w:iCs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rtu∈t 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(ABE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 xml:space="preserve">z,rtu  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up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∙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up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 )</m:t>
                          </m:r>
                        </m:e>
                      </m:nary>
                    </m:num>
                    <m:den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rtu∈t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Cs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 xml:space="preserve">z,rtu 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up</m:t>
                              </m:r>
                            </m:sup>
                          </m:sSubSup>
                        </m:e>
                      </m:nary>
                    </m:den>
                  </m:f>
                </m:e>
              </m:d>
            </m:oMath>
            <w:r w:rsidR="003133F5"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,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 – 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маржинальна ціна балансуючої електричної енергії на завантаження в зоні z за ОРЧ 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rtu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, грн/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. 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bookmarkStart w:id="0" w:name="_Hlk188615346"/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lastRenderedPageBreak/>
              <w:t xml:space="preserve">До розрахунку приймаються обсяги </w:t>
            </w:r>
            <w:hyperlink r:id="rId7" w:tgtFrame="_blank" w:history="1">
              <w:r w:rsidRPr="001C0BEA">
                <w:rPr>
                  <w:rStyle w:val="a4"/>
                  <w:rFonts w:ascii="Times New Roman" w:hAnsi="Times New Roman" w:cs="Times New Roman"/>
                  <w:b/>
                  <w:iCs/>
                  <w:color w:val="auto"/>
                  <w:kern w:val="2"/>
                  <w:sz w:val="24"/>
                  <w:szCs w:val="24"/>
                  <w:u w:val="none"/>
                </w:rPr>
                <w:t>активованої балансуючої електричної енергії</w:t>
              </w:r>
            </w:hyperlink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на завантаження та маржинальні ціни балансуючої електричної енергії на завантаження лише тих ОРЧ, в яких зона системи перебуває в дефіциті.</w:t>
            </w:r>
          </w:p>
          <w:bookmarkEnd w:id="0"/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Якщо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обсяг активованої балансуючої електричної енергії на завантаження (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b/>
                      <w:bCs/>
                      <w:kern w:val="2"/>
                      <w:sz w:val="24"/>
                      <w:szCs w:val="24"/>
                      <w14:ligatures w14:val="standardContextual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rtu∈t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bCs/>
                          <w:iCs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ABE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z,rtu 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up</m:t>
                      </m:r>
                    </m:sup>
                  </m:sSubSup>
                </m:e>
              </m:nary>
            </m:oMath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) протягом розрахункового періоду дорівнює нулю, то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ціна небалансу для врегулювання небалансів електричної енергії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(I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)</m:t>
              </m:r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дорівнює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максимальному значенню з маржинальних цін балансуючої електричної енергії на завантаження </w:t>
            </w:r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b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)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всіх ОРЧ цього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розрахункового періоду, у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яких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зона системи перебувала в дефіциті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;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2) якщо зона системи перебуває в профіциті протягом розрахункового періоду, то</w:t>
            </w:r>
          </w:p>
          <w:p w:rsidR="003133F5" w:rsidRPr="001C0BEA" w:rsidRDefault="001C0BEA" w:rsidP="00213FC4">
            <w:pPr>
              <w:spacing w:line="240" w:lineRule="auto"/>
              <w:ind w:firstLine="30"/>
              <w:jc w:val="center"/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IMSP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</w:rPr>
                <m:t xml:space="preserve"> </m:t>
              </m:r>
            </m:oMath>
            <w:r w:rsidR="003133F5"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ajorEastAsia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rtu∈t 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(ABE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 xml:space="preserve">z,rtu  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∙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)</m:t>
                          </m:r>
                        </m:e>
                      </m:nary>
                    </m:num>
                    <m:den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rtu∈t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ABE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 xml:space="preserve">z,rtu 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dn</m:t>
                              </m:r>
                            </m:sup>
                          </m:sSubSup>
                        </m:e>
                      </m:nary>
                    </m:den>
                  </m:f>
                </m:e>
              </m:d>
            </m:oMath>
            <w:r w:rsidR="00213FC4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  <w14:ligatures w14:val="standardContextual"/>
              </w:rPr>
              <w:t>,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 xml:space="preserve">z,rtu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– 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маржинальна ціна балансуючої електричної енергії на розвантаження в зоні z за ОРЧ 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rtu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, грн/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До розрахунку приймаються обсяги </w:t>
            </w:r>
            <w:hyperlink r:id="rId8" w:tgtFrame="_blank" w:history="1">
              <w:r w:rsidRPr="001C0BEA">
                <w:rPr>
                  <w:rStyle w:val="a4"/>
                  <w:rFonts w:ascii="Times New Roman" w:hAnsi="Times New Roman" w:cs="Times New Roman"/>
                  <w:b/>
                  <w:iCs/>
                  <w:color w:val="auto"/>
                  <w:kern w:val="2"/>
                  <w:sz w:val="24"/>
                  <w:szCs w:val="24"/>
                  <w:u w:val="none"/>
                </w:rPr>
                <w:t>активованої балансуючої електричної енергії</w:t>
              </w:r>
            </w:hyperlink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на розвантаження та маржинальні ціни балансуючої електричної енергії на розвантаження лише тих ОРЧ, в яких зона системи перебуває в профіциті.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Якщо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обсяг активованої балансуючої електричної енергії на розвантаження (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b/>
                      <w:bCs/>
                      <w:kern w:val="2"/>
                      <w:sz w:val="24"/>
                      <w:szCs w:val="24"/>
                      <w14:ligatures w14:val="standardContextual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rtu∈t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bCs/>
                          <w:iCs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ABE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z,rtu 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dn</m:t>
                      </m:r>
                    </m:sup>
                  </m:sSubSup>
                </m:e>
              </m:nary>
            </m:oMath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)  протягом розрахункового періоду дорівнює нулю, то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ціна небалансу для врегулювання небалансів електричної енергії (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IMSPz,t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)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дорівнює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мінімальному значенню з маржинальних цін балансуючої електричної енергії на розвантаження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) всіх ОРЧ цього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розрахункового періоду, у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яких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зона системи перебувала в профіциті;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3) якщо зона системи є збалансованою протягом розрахункового періоду</w:t>
            </w:r>
            <w:r w:rsidR="001C0BEA" w:rsidRPr="001C0BEA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  <w:t xml:space="preserve"> </w:t>
            </w:r>
            <w:r w:rsidR="001C0BEA" w:rsidRPr="001C0BEA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uk-UA"/>
              </w:rPr>
              <w:t>або якщо в дефіцитній системі обсяг активованої балансуючої електричної енергії на завантаження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 w:cs="Times New Roman"/>
                      <w:b/>
                      <w:strike/>
                      <w:sz w:val="24"/>
                      <w:szCs w:val="24"/>
                      <w:lang w:eastAsia="uk-UA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trike/>
                      <w:sz w:val="24"/>
                      <w:szCs w:val="24"/>
                      <w:lang w:eastAsia="uk-UA"/>
                    </w:rPr>
                    <m:t>rtu∈t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b/>
                          <w:strike/>
                          <w:sz w:val="24"/>
                          <w:szCs w:val="24"/>
                          <w:lang w:eastAsia="uk-UA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trike/>
                          <w:sz w:val="24"/>
                          <w:szCs w:val="24"/>
                          <w:lang w:eastAsia="uk-UA"/>
                        </w:rPr>
                        <m:t>ABE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trike/>
                          <w:sz w:val="24"/>
                          <w:szCs w:val="24"/>
                          <w:lang w:eastAsia="uk-UA"/>
                        </w:rPr>
                        <m:t>z,rtu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trike/>
                          <w:sz w:val="24"/>
                          <w:szCs w:val="24"/>
                          <w:lang w:eastAsia="uk-UA"/>
                        </w:rPr>
                        <m:t>up</m:t>
                      </m:r>
                    </m:sup>
                  </m:sSubSup>
                </m:e>
              </m:nary>
            </m:oMath>
            <w:r w:rsidR="001C0BEA" w:rsidRPr="001C0BEA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uk-UA"/>
              </w:rPr>
              <w:t>) протягом розрахункового періоду дорівнює нулю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, то</w:t>
            </w:r>
          </w:p>
          <w:p w:rsidR="003133F5" w:rsidRPr="001C0BEA" w:rsidRDefault="001C0BEA" w:rsidP="006B7C9E">
            <w:pPr>
              <w:spacing w:line="240" w:lineRule="auto"/>
              <w:ind w:firstLine="567"/>
              <w:jc w:val="center"/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ajorEastAsia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IMSP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</w:rPr>
                <m:t xml:space="preserve">= </m:t>
              </m:r>
              <m:sSub>
                <m:sSubPr>
                  <m:ctrlPr>
                    <w:rPr>
                      <w:rFonts w:ascii="Cambria Math" w:eastAsiaTheme="majorEastAsia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PDAM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</m:sSub>
            </m:oMath>
            <w:r w:rsidR="003133F5"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,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lastRenderedPageBreak/>
              <w:t xml:space="preserve">де </w:t>
            </w:r>
            <m:oMath>
              <m:sSub>
                <m:sSubPr>
                  <m:ctrlPr>
                    <w:rPr>
                      <w:rFonts w:ascii="Cambria Math" w:eastAsiaTheme="majorEastAsia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PDAM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</m:sSub>
            </m:oMath>
            <w:r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 –</w:t>
            </w:r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 xml:space="preserve"> ціна купівлі-продажу електричної енергії на РДН у зоні z для розрахункового періоду t або у разі якщо торги на РДН на цей розрахунковий період не відбулись - середньозважене значення цін купівлі-продажу електричної енергії на РДН за попередні 30 днів, грн/</w:t>
            </w:r>
            <w:proofErr w:type="spellStart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eastAsiaTheme="majorEastAsia" w:hAnsi="Times New Roman" w:cs="Times New Roman"/>
                <w:iCs/>
                <w:kern w:val="2"/>
                <w:sz w:val="24"/>
                <w:szCs w:val="24"/>
              </w:rPr>
              <w:t>.</w:t>
            </w:r>
          </w:p>
        </w:tc>
      </w:tr>
      <w:tr w:rsidR="003133F5" w:rsidRPr="001A6501" w:rsidTr="009C4B1D">
        <w:tc>
          <w:tcPr>
            <w:tcW w:w="7655" w:type="dxa"/>
          </w:tcPr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5.14.5. У кожній торговій зоні величина нарахування/списання коштів за активовану балансуючу електричну енергію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(CINSTQ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e,z,t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)</m:t>
              </m:r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одиниці надання послуг з балансування, за кожен розрахунковий період обчислюється з урахуванням стану системи, визначеного відповідно до глави 5.13 цього розділу, у такий спосіб:</w:t>
            </w: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right="42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якщо зона системи перебуває в дефіциті протягом розрахункового періоду, то нарахування коштів за активовану балансуючу електричну енергію на завантаження за цей розрахунковий період у зоні розраховується за маржинальною ціною балансуючої електричної енергії на завантаження (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а списання коштів за активовану балансуючу електричну енергію на розвантаження за цей розрахунковий період у зоні розраховується за ціною балансуючої електричної енергії на розвантаження в дефіцитній системі (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LABEO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 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тобто</w:t>
            </w:r>
          </w:p>
          <w:p w:rsidR="003133F5" w:rsidRPr="001C0BEA" w:rsidRDefault="001C0BEA" w:rsidP="001A6501">
            <w:pPr>
              <w:shd w:val="clear" w:color="auto" w:fill="FFFFFF"/>
              <w:tabs>
                <w:tab w:val="left" w:pos="1134"/>
                <w:tab w:val="left" w:pos="5812"/>
              </w:tabs>
              <w:spacing w:before="100" w:beforeAutospacing="1" w:after="150" w:afterAutospacing="1" w:line="240" w:lineRule="auto"/>
              <w:ind w:right="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CINSTQ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e,z,t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MSP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up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INST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e,z,t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-FPQ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&gt;0</m:t>
                      </m:r>
                    </m:e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-LABEO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dn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INST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e,z,t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-FPQ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&lt;0</m:t>
                      </m:r>
                    </m:e>
                  </m:eqArr>
                </m:e>
              </m:d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3133F5" w:rsidRPr="001C0BEA" w:rsidRDefault="003133F5" w:rsidP="001A6501">
            <w:pPr>
              <w:shd w:val="clear" w:color="auto" w:fill="FFFFFF"/>
              <w:tabs>
                <w:tab w:val="left" w:pos="1134"/>
                <w:tab w:val="left" w:pos="5812"/>
              </w:tabs>
              <w:spacing w:before="100" w:beforeAutospacing="1" w:after="150" w:afterAutospacing="1" w:line="240" w:lineRule="auto"/>
              <w:ind w:right="42"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  <w14:ligatures w14:val="standardContextual"/>
              </w:rPr>
              <w:t xml:space="preserve">маржинальна </w:t>
            </w:r>
            <w:r w:rsidRPr="001C0BEA">
              <w:rPr>
                <w:rFonts w:ascii="Times New Roman" w:hAnsi="Times New Roman" w:cs="Times New Roman"/>
                <w:sz w:val="24"/>
                <w:szCs w:val="24"/>
              </w:rPr>
              <w:t xml:space="preserve">ціна балансуючої електричної енергії на завантаження 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зоні z </w:t>
            </w:r>
            <w:r w:rsidRPr="001C0BEA">
              <w:rPr>
                <w:rFonts w:ascii="Times New Roman" w:hAnsi="Times New Roman" w:cs="Times New Roman"/>
                <w:sz w:val="24"/>
                <w:szCs w:val="24"/>
              </w:rPr>
              <w:t xml:space="preserve">за розрахунковий період 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t</w:t>
            </w:r>
            <w:r w:rsidRPr="001C0BEA">
              <w:rPr>
                <w:rFonts w:ascii="Times New Roman" w:hAnsi="Times New Roman" w:cs="Times New Roman"/>
                <w:sz w:val="24"/>
                <w:szCs w:val="24"/>
              </w:rPr>
              <w:t>, грн/</w:t>
            </w:r>
            <w:proofErr w:type="spellStart"/>
            <w:r w:rsidRPr="001C0BEA"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  <w:r w:rsidRPr="001C0BEA">
              <w:rPr>
                <w:rFonts w:ascii="Cambria Math" w:hAnsi="Cambria Math" w:cs="Cambria Math"/>
                <w:sz w:val="24"/>
                <w:szCs w:val="24"/>
              </w:rPr>
              <w:t>⋅</w:t>
            </w:r>
            <w:r w:rsidRPr="001C0BE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Pr="001C0BEA">
              <w:rPr>
                <w:rFonts w:ascii="Times New Roman" w:hAnsi="Times New Roman" w:cs="Times New Roman"/>
                <w:sz w:val="24"/>
                <w:szCs w:val="24"/>
              </w:rPr>
              <w:t>, яка визначається як середньозважена ціна за розрахунковий період t у кожній торговій зоні z,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за кожну ОРЧ, та розраховується за формулою</w:t>
            </w:r>
          </w:p>
          <w:p w:rsidR="003133F5" w:rsidRPr="001C0BEA" w:rsidRDefault="001C0BEA" w:rsidP="001A6501">
            <w:pPr>
              <w:shd w:val="clear" w:color="auto" w:fill="FFFFFF"/>
              <w:tabs>
                <w:tab w:val="left" w:pos="1134"/>
                <w:tab w:val="left" w:pos="5812"/>
              </w:tabs>
              <w:spacing w:before="150" w:after="150" w:line="240" w:lineRule="auto"/>
              <w:ind w:right="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up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rtu∈t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((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е∈z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e,z, rtu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up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) ∙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 xml:space="preserve"> MP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z, rtu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up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)</m:t>
                              </m:r>
                            </m:e>
                          </m:nary>
                        </m:e>
                      </m:nary>
                    </m:num>
                    <m:den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rtu∈t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е∈z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e,z, rtu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up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den>
                  </m:f>
                </m:e>
              </m:d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якщо зона системи перебуває в профіциті протягом розрахункового періоду, то нарахування коштів за активовану балансуючу електричну енергію на завантаження за цей розрахунковий період у зоні розраховується за ціною балансуючої електричної енергії на завантаження в </w:t>
            </w:r>
            <w:proofErr w:type="spellStart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профіцитній</w:t>
            </w:r>
            <w:proofErr w:type="spellEnd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системі (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LABEO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 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а списання коштів за активовану балансуючу електричну енергію на розвантаження за цей розрахунковий період розраховується за маржинальною ціною балансуючої електричної енергії на розвантаження (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тобто</w:t>
            </w:r>
          </w:p>
          <w:p w:rsidR="003133F5" w:rsidRPr="001C0BEA" w:rsidRDefault="001C0BEA" w:rsidP="001A6501">
            <w:pPr>
              <w:shd w:val="clear" w:color="auto" w:fill="FFFFFF"/>
              <w:tabs>
                <w:tab w:val="left" w:pos="1134"/>
                <w:tab w:val="left" w:pos="5812"/>
              </w:tabs>
              <w:spacing w:before="150" w:after="150" w:line="240" w:lineRule="auto"/>
              <w:ind w:firstLine="3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CINSTQ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e,z,t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  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LABEO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up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,якщо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INST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e,z,t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-FPQ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&gt;0</m:t>
                      </m:r>
                    </m:e>
                    <m:e>
                      <m:sSubSup>
                        <m:sSubSup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-MSP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dn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 xml:space="preserve">,якщо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INST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e,z,t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-FPQ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  <m:t>&lt;0</m:t>
                      </m:r>
                    </m:e>
                  </m:eqArr>
                </m:e>
              </m:d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3133F5" w:rsidRPr="001C0BEA" w:rsidRDefault="003133F5" w:rsidP="001A6501">
            <w:pPr>
              <w:tabs>
                <w:tab w:val="left" w:pos="1134"/>
                <w:tab w:val="left" w:pos="5812"/>
              </w:tabs>
              <w:spacing w:before="150" w:after="15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dn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 xml:space="preserve">- </m:t>
              </m:r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  <w14:ligatures w14:val="standardContextual"/>
              </w:rPr>
              <w:t xml:space="preserve">маржинальна </w:t>
            </w: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ціна балансуючої електричної енергії на розвантаження в зоні z за розрахунковий період t, грн/</w:t>
            </w:r>
            <w:proofErr w:type="spellStart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МВт·год</w:t>
            </w:r>
            <w:proofErr w:type="spellEnd"/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яка визначається як середньозважена ціна за розрахунковий період t у кожній торговій зоні z,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за кожну ОРЧ, та розраховується за формулою</w:t>
            </w:r>
          </w:p>
          <w:p w:rsidR="003133F5" w:rsidRPr="001C0BEA" w:rsidRDefault="001C0BEA" w:rsidP="001A6501">
            <w:pPr>
              <w:shd w:val="clear" w:color="auto" w:fill="FFFFFF"/>
              <w:tabs>
                <w:tab w:val="left" w:pos="1134"/>
                <w:tab w:val="left" w:pos="5812"/>
              </w:tabs>
              <w:spacing w:before="150" w:after="15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  <m:t>dn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uk-UA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uk-UA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rtu∈t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((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е∈z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e,z, rtu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dn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)∙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MP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z, rtu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dn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)</m:t>
                              </m:r>
                            </m:e>
                          </m:nary>
                        </m:e>
                      </m:nary>
                    </m:num>
                    <m:den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uk-UA"/>
                            </w:rPr>
                            <m:t>rtu∈t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uk-UA"/>
                                </w:rPr>
                                <m:t>е∈z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e,z, rtu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  <w:lang w:eastAsia="uk-UA"/>
                                    </w:rPr>
                                    <m:t>dn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den>
                  </m:f>
                </m:e>
              </m:d>
            </m:oMath>
            <w:r w:rsidR="003133F5" w:rsidRPr="001C0B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C4B1D" w:rsidRDefault="009C4B1D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_GoBack"/>
            <w:bookmarkEnd w:id="1"/>
          </w:p>
          <w:p w:rsidR="003133F5" w:rsidRPr="001C0BEA" w:rsidRDefault="003133F5" w:rsidP="001A6501">
            <w:pPr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133F5" w:rsidRPr="001C0BEA" w:rsidRDefault="003133F5" w:rsidP="001A6501">
            <w:pPr>
              <w:pStyle w:val="a5"/>
              <w:tabs>
                <w:tab w:val="left" w:pos="1134"/>
              </w:tabs>
              <w:spacing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3) якщо зона системи є збалансованою впродовж розрахункового періоду, то нарахування та списання коштів за активовану балансуючу електричну енергію на завантаження та розвантаження за цей розрахунковий період у зоні розраховується за ціною купівлі-продажу електричної енергії на РДН за  розрахунковий період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PDAM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uk-UA" w:eastAsia="uk-UA"/>
                    </w:rPr>
                    <m:t>z,t</m:t>
                  </m:r>
                </m:sub>
              </m:sSub>
            </m:oMath>
            <w:r w:rsidRPr="001C0B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), тобто</w:t>
            </w:r>
          </w:p>
          <w:p w:rsidR="003133F5" w:rsidRPr="001C0BEA" w:rsidRDefault="001C0BEA" w:rsidP="001A6501">
            <w:pPr>
              <w:shd w:val="clear" w:color="auto" w:fill="FFFFFF"/>
              <w:tabs>
                <w:tab w:val="left" w:pos="1134"/>
                <w:tab w:val="left" w:pos="5812"/>
              </w:tabs>
              <w:spacing w:before="100" w:before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CINSTQ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  <m:t>e,z,t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PDAM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z,t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INSTQ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e,z,t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  <m:t xml:space="preserve">, якщо 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uk-UA"/>
                                  </w:rPr>
                                  <m:t>INST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uk-UA"/>
                                  </w:rPr>
                                  <m:t>e,z,t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-FPQ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e,z,t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  <m:t>&gt;0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–PDAM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z,t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INSTQ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e,z,t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  <m:t xml:space="preserve">,якщо 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uk-UA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uk-UA"/>
                                  </w:rPr>
                                  <m:t>INST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uk-UA"/>
                                  </w:rPr>
                                  <m:t>e,z,t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-FPQ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uk-UA"/>
                              </w:rPr>
                              <m:t>e,z,t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uk-UA"/>
                          </w:rPr>
                          <m:t>&lt;0</m:t>
                        </m:r>
                      </m:e>
                    </m:eqAr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uk-UA"/>
                  </w:rPr>
                  <m:t>.</m:t>
                </m:r>
              </m:oMath>
            </m:oMathPara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654" w:type="dxa"/>
          </w:tcPr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5.14.5. У кожній торговій зоні величина нарахування/списання коштів за активовану балансуючу електричну енергію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CINSTQ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e,z,t</m:t>
                  </m:r>
                </m:sub>
              </m:sSub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) одиниці надання послуг з балансування, за кожен розрахунковий період обчислюється з урахуванням стану системи, визначеного відповідно до глави 5.13 цього розділу, у такий спосіб: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1) якщо зона системи перебуває в дефіциті протягом розрахункового періоду, то нарахування коштів за активовану балансуючу електричну енергію на завантаження за цей розрахунковий період у зоні розраховується за маржинальною ціною балансуючої електричної енергії на завантаження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kern w:val="2"/>
                  <w:sz w:val="24"/>
                  <w:szCs w:val="24"/>
                </w:rPr>
                <m:t xml:space="preserve">), </m:t>
              </m:r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 списання коштів за активовану балансуючу електричну енергію на розвантаження за цей розрахунковий період у зоні розраховується за ціною балансуючої електричної енергії на розвантаження в дефіцитній системі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LABEO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), тобто</w:t>
            </w:r>
          </w:p>
          <w:p w:rsidR="003133F5" w:rsidRPr="001C0BEA" w:rsidRDefault="001C0BEA" w:rsidP="00213FC4">
            <w:pPr>
              <w:spacing w:line="240" w:lineRule="auto"/>
              <w:ind w:firstLine="3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 xml:space="preserve">CINSTQ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e,z,t</m:t>
                  </m:r>
                </m:sub>
              </m:sSub>
            </m:oMath>
            <w:r w:rsidR="003133F5"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=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MSP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up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&gt; 0</m:t>
                      </m: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-LABEO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dn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e,z,t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e,z,t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&lt; 0  </m:t>
                      </m:r>
                    </m:e>
                  </m:eqArr>
                </m:e>
              </m:d>
            </m:oMath>
            <w:r w:rsidR="003133F5"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,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маржинальна ціна бал</w:t>
            </w:r>
            <w:proofErr w:type="spellStart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ансуючої</w:t>
            </w:r>
            <w:proofErr w:type="spellEnd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електричної енергії на завантаження в зоні z за розрахунковий період t, грн/</w:t>
            </w:r>
            <w:proofErr w:type="spellStart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МВт</w:t>
            </w:r>
            <w:r w:rsidRPr="001C0BEA">
              <w:rPr>
                <w:rFonts w:ascii="Cambria Math" w:hAnsi="Cambria Math" w:cs="Cambria Math"/>
                <w:kern w:val="2"/>
                <w:sz w:val="24"/>
                <w:szCs w:val="24"/>
              </w:rPr>
              <w:t>⋅</w:t>
            </w: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</w:t>
            </w:r>
            <w:proofErr w:type="spellEnd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, яка визначається як середньозважена ціна за розрахунковий період t у кожній торговій зоні z,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за кожну ОРЧ,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 розраховується за формулою</w:t>
            </w:r>
          </w:p>
          <w:p w:rsidR="003133F5" w:rsidRPr="001C0BEA" w:rsidRDefault="001C0BEA" w:rsidP="006B7C9E">
            <w:pPr>
              <w:spacing w:line="240" w:lineRule="auto"/>
              <w:ind w:firstLine="56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="003133F5"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ajorEastAsia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rtu∈t 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((</m:t>
                          </m:r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e∈z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 xml:space="preserve">e,z,rtu 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up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)</m:t>
                              </m:r>
                            </m:e>
                          </m:nary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∙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 xml:space="preserve"> 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up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)</m:t>
                          </m:r>
                        </m:e>
                      </m:nary>
                    </m:num>
                    <m:den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rtu∈t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e∈z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 xml:space="preserve">e,z,rtu 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up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</w:rPr>
                <m:t>.</m:t>
              </m:r>
            </m:oMath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До розрахунку приймаються обсяги </w:t>
            </w:r>
            <w:hyperlink r:id="rId9" w:tgtFrame="_blank" w:history="1">
              <w:r w:rsidRPr="001C0BEA">
                <w:rPr>
                  <w:rStyle w:val="a4"/>
                  <w:rFonts w:ascii="Times New Roman" w:hAnsi="Times New Roman" w:cs="Times New Roman"/>
                  <w:b/>
                  <w:iCs/>
                  <w:color w:val="auto"/>
                  <w:kern w:val="2"/>
                  <w:sz w:val="24"/>
                  <w:szCs w:val="24"/>
                  <w:u w:val="none"/>
                </w:rPr>
                <w:t>активованої балансуючої електричної енергії</w:t>
              </w:r>
            </w:hyperlink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на завантаження та маржинальні ціни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lastRenderedPageBreak/>
              <w:t>балансуючої електричної енергії на завантаження лише тих ОРЧ, в яких зона системи перебуває в дефіциті.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</w:pPr>
            <w:bookmarkStart w:id="2" w:name="_Hlk188879255"/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Якщо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обсяг активованої балансуючої електричної енергії на завантаження (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b/>
                      <w:bCs/>
                      <w:kern w:val="2"/>
                      <w:sz w:val="24"/>
                      <w:szCs w:val="24"/>
                      <w14:ligatures w14:val="standardContextual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rtu∈t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bCs/>
                          <w:iCs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ABE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z,rtu 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up</m:t>
                      </m:r>
                    </m:sup>
                  </m:sSubSup>
                </m:e>
              </m:nary>
            </m:oMath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) протягом розрахункового періоду дорівнює нулю, то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маржинальна ціна балансуючої електричної енергії на завантаження за розрахунковий період (</w:t>
            </w: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b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  <w14:ligatures w14:val="standardContextual"/>
              </w:rPr>
              <w:t xml:space="preserve">)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дорівнює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максимальному значенню з маржинальних цін балансуючої електричної енергії на завантаження </w:t>
            </w:r>
            <w:r w:rsidRPr="001C0BEA">
              <w:rPr>
                <w:rFonts w:ascii="Times New Roman" w:eastAsiaTheme="majorEastAsia" w:hAnsi="Times New Roman" w:cs="Times New Roman"/>
                <w:b/>
                <w:kern w:val="2"/>
                <w:sz w:val="24"/>
                <w:szCs w:val="24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b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)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всіх ОРЧ цього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розрахункового періоду, в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яких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зона системи перебувала в дефіциті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;</w:t>
            </w:r>
          </w:p>
          <w:bookmarkEnd w:id="2"/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2) якщо зона системи перебуває в профіциті протягом розрахункового періоду, то нарахування коштів за активовану балансуючу електричну енергію на завантаження за цей розрахунковий період у зоні розраховується за ціною балансуючої електричної енергії на завантаження в </w:t>
            </w:r>
            <w:proofErr w:type="spellStart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профіцитній</w:t>
            </w:r>
            <w:proofErr w:type="spellEnd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системі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Cs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LABEO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up</m:t>
                  </m:r>
                </m:sup>
              </m:sSubSup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), а списання коштів за активовану балансуючу електричну енергію на розвантаження за цей розрахунковий період розраховується за маржинальною ціною балансуючої електричної енергії на розвантаження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), тобто </w:t>
            </w:r>
          </w:p>
          <w:p w:rsidR="003133F5" w:rsidRPr="001C0BEA" w:rsidRDefault="001C0BEA" w:rsidP="00213FC4">
            <w:pPr>
              <w:spacing w:line="240" w:lineRule="auto"/>
              <w:ind w:hanging="111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 xml:space="preserve">CINSTQ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e,z,t</m:t>
                  </m:r>
                </m:sub>
              </m:sSub>
            </m:oMath>
            <w:r w:rsidR="003133F5"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=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eqArr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LABEO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up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&gt; 0</m:t>
                      </m:r>
                    </m:e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-MSP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z,t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dn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e,z,t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e,z,t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&lt; 0  </m:t>
                      </m:r>
                    </m:e>
                  </m:eqArr>
                </m:e>
              </m:d>
            </m:oMath>
            <w:r w:rsidR="003133F5"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,</w:t>
            </w: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− маржинальна ціна балансуючої електричної енергії на розвантаження в зоні z за розрахунковий період t, грн/</w:t>
            </w:r>
            <w:proofErr w:type="spellStart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МВт·год</w:t>
            </w:r>
            <w:proofErr w:type="spellEnd"/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, яка визначається як середньозважена ціна за розрахунковий період t у кожній торговій зоні z,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за кожну ОРЧ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 розраховується за формулою</w:t>
            </w:r>
          </w:p>
          <w:p w:rsidR="003133F5" w:rsidRPr="001C0BEA" w:rsidRDefault="001C0BEA" w:rsidP="00213FC4">
            <w:pPr>
              <w:spacing w:line="240" w:lineRule="auto"/>
              <w:ind w:firstLine="30"/>
              <w:jc w:val="center"/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</w:rPr>
                <m:t xml:space="preserve"> </m:t>
              </m:r>
            </m:oMath>
            <w:r w:rsidR="003133F5" w:rsidRPr="001C0BEA">
              <w:rPr>
                <w:rFonts w:ascii="Times New Roman" w:eastAsiaTheme="majorEastAsia" w:hAnsi="Times New Roman" w:cs="Times New Roman"/>
                <w:kern w:val="2"/>
                <w:sz w:val="24"/>
                <w:szCs w:val="24"/>
              </w:rPr>
              <w:t xml:space="preserve">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ajorEastAsia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rtu∈t 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((</m:t>
                          </m:r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e∈z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Cs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 xml:space="preserve">e,z,rtu 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dn</m:t>
                                  </m:r>
                                </m:sup>
                              </m:sSubSup>
                            </m:e>
                          </m:nary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)∙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 xml:space="preserve"> MP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z,rtu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dn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)</m:t>
                          </m:r>
                        </m:e>
                      </m:nary>
                    </m:num>
                    <m:den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rtu∈t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  <w14:ligatures w14:val="standardContextual"/>
                                </w:rPr>
                              </m:ctrlPr>
                            </m:naryPr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kern w:val="2"/>
                                  <w:sz w:val="24"/>
                                  <w:szCs w:val="24"/>
                                </w:rPr>
                                <m:t>e∈z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ABE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 xml:space="preserve">e,z,rtu 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Times New Roman"/>
                                      <w:kern w:val="2"/>
                                      <w:sz w:val="24"/>
                                      <w:szCs w:val="24"/>
                                    </w:rPr>
                                    <m:t>dn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</w:rPr>
                <m:t>.</m:t>
              </m:r>
            </m:oMath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</w:pP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До розрахунку приймаються обсяги </w:t>
            </w:r>
            <w:hyperlink r:id="rId10" w:tgtFrame="_blank" w:history="1">
              <w:r w:rsidRPr="001C0BEA">
                <w:rPr>
                  <w:rStyle w:val="a4"/>
                  <w:rFonts w:ascii="Times New Roman" w:hAnsi="Times New Roman" w:cs="Times New Roman"/>
                  <w:b/>
                  <w:iCs/>
                  <w:color w:val="auto"/>
                  <w:kern w:val="2"/>
                  <w:sz w:val="24"/>
                  <w:szCs w:val="24"/>
                  <w:u w:val="none"/>
                </w:rPr>
                <w:t>активованої балансуючої електричної енергії</w:t>
              </w:r>
            </w:hyperlink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на розвантаження та маржинальні ціни балансуючої електричної енергії на розвантаження лише тих ОРЧ, у яких зона системи перебуває в профіциті.</w:t>
            </w:r>
          </w:p>
          <w:p w:rsidR="003133F5" w:rsidRPr="001C0BEA" w:rsidRDefault="003133F5" w:rsidP="001925B1">
            <w:pPr>
              <w:spacing w:line="240" w:lineRule="auto"/>
              <w:ind w:firstLine="567"/>
              <w:jc w:val="both"/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</w:pPr>
            <w:bookmarkStart w:id="3" w:name="_Hlk188879129"/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Якщо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>обсяг активованої балансуючої електричної енергії на розвантаження (</w:t>
            </w: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b/>
                      <w:bCs/>
                      <w:kern w:val="2"/>
                      <w:sz w:val="24"/>
                      <w:szCs w:val="24"/>
                      <w14:ligatures w14:val="standardContextual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rtu∈t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b/>
                          <w:bCs/>
                          <w:iCs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sSub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ABE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z,rtu </m:t>
                      </m:r>
                    </m:sub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dn</m:t>
                      </m:r>
                    </m:sup>
                  </m:sSubSup>
                </m:e>
              </m:nary>
            </m:oMath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)  протягом розрахункового періоду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дорівнює нулю, то маржинальна ціна балансуючої електричної енергії на розвантаження за розрахунковий період (</w:t>
            </w:r>
            <m:oMath>
              <m:sSubSup>
                <m:sSubSupPr>
                  <m:ctrl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MSP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  <m:r>
                <m:rPr>
                  <m:sty m:val="p"/>
                </m:rPr>
                <w:rPr>
                  <w:rFonts w:ascii="Cambria Math" w:eastAsiaTheme="majorEastAsia" w:hAnsi="Cambria Math" w:cs="Times New Roman"/>
                  <w:kern w:val="2"/>
                  <w:sz w:val="24"/>
                  <w:szCs w:val="24"/>
                  <w14:ligatures w14:val="standardContextual"/>
                </w:rPr>
                <m:t>)</m:t>
              </m:r>
            </m:oMath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 xml:space="preserve">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дорівнює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мінімальному значенню з маржинальних цін балансуючої електричної енергії на розвантаження (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MP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z,rtu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dn</m:t>
                  </m:r>
                </m:sup>
              </m:sSubSup>
            </m:oMath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) всіх ОРЧ цього </w:t>
            </w:r>
            <w:r w:rsidRPr="001C0BEA">
              <w:rPr>
                <w:rFonts w:ascii="Times New Roman" w:eastAsiaTheme="majorEastAsia" w:hAnsi="Times New Roman" w:cs="Times New Roman"/>
                <w:b/>
                <w:bCs/>
                <w:kern w:val="2"/>
                <w:sz w:val="24"/>
                <w:szCs w:val="24"/>
              </w:rPr>
              <w:t xml:space="preserve">розрахункового періоду, у </w:t>
            </w:r>
            <w:r w:rsidRPr="001C0BEA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яких </w:t>
            </w:r>
            <w:r w:rsidRPr="001C0BEA">
              <w:rPr>
                <w:rFonts w:ascii="Times New Roman" w:eastAsiaTheme="majorEastAsia" w:hAnsi="Times New Roman" w:cs="Times New Roman"/>
                <w:b/>
                <w:iCs/>
                <w:kern w:val="2"/>
                <w:sz w:val="24"/>
                <w:szCs w:val="24"/>
              </w:rPr>
              <w:t>зона системи перебувала в профіциті;</w:t>
            </w:r>
          </w:p>
          <w:bookmarkEnd w:id="3"/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3133F5" w:rsidRPr="001C0BEA" w:rsidRDefault="003133F5" w:rsidP="006B7C9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3) якщо зона системи є збалансованою впродовж розрахункового періоду, то нарахування та списання коштів за активовану балансуючу електричну енергію на завантаження та розвантаження за цей розрахунковий період у зоні розраховується за ціною купівлі-продажу електричної енергії на РДН за розрахунковий період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PDAM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z,t</m:t>
                  </m:r>
                </m:sub>
              </m:sSub>
            </m:oMath>
            <w:r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), тобто</w:t>
            </w:r>
          </w:p>
          <w:p w:rsidR="003133F5" w:rsidRPr="001C0BEA" w:rsidRDefault="001C0BEA" w:rsidP="00213FC4">
            <w:pPr>
              <w:spacing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 xml:space="preserve">CINSTQ 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</w:rPr>
                    <m:t>e,z,t</m:t>
                  </m:r>
                </m:sub>
              </m:sSub>
            </m:oMath>
            <w:r w:rsidR="003133F5"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=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kern w:val="2"/>
                      <w:sz w:val="24"/>
                      <w:szCs w:val="24"/>
                      <w14:ligatures w14:val="standardContextual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  <w14:ligatures w14:val="standardContextual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PDAM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&gt; 0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-PDAM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·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e,z,t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, якщо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INST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e,z,t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Cs/>
                              <w:kern w:val="2"/>
                              <w:sz w:val="24"/>
                              <w:szCs w:val="24"/>
                              <w14:ligatures w14:val="standardContextual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>FPQ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kern w:val="2"/>
                              <w:sz w:val="24"/>
                              <w:szCs w:val="24"/>
                            </w:rPr>
                            <m:t xml:space="preserve">e,z,t 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kern w:val="2"/>
                          <w:sz w:val="24"/>
                          <w:szCs w:val="24"/>
                        </w:rPr>
                        <m:t xml:space="preserve">&lt; 0  </m:t>
                      </m:r>
                    </m:e>
                  </m:eqArr>
                </m:e>
              </m:d>
            </m:oMath>
            <w:r w:rsidR="003133F5" w:rsidRPr="001C0BEA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</w:tr>
    </w:tbl>
    <w:p w:rsidR="006B7C9E" w:rsidRDefault="006B7C9E"/>
    <w:sectPr w:rsidR="006B7C9E" w:rsidSect="001C0BEA">
      <w:headerReference w:type="default" r:id="rId11"/>
      <w:pgSz w:w="16838" w:h="11906" w:orient="landscape" w:code="9"/>
      <w:pgMar w:top="680" w:right="567" w:bottom="680" w:left="56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8C3" w:rsidRDefault="004978C3" w:rsidP="001C0BEA">
      <w:pPr>
        <w:spacing w:after="0" w:line="240" w:lineRule="auto"/>
      </w:pPr>
      <w:r>
        <w:separator/>
      </w:r>
    </w:p>
  </w:endnote>
  <w:endnote w:type="continuationSeparator" w:id="0">
    <w:p w:rsidR="004978C3" w:rsidRDefault="004978C3" w:rsidP="001C0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8C3" w:rsidRDefault="004978C3" w:rsidP="001C0BEA">
      <w:pPr>
        <w:spacing w:after="0" w:line="240" w:lineRule="auto"/>
      </w:pPr>
      <w:r>
        <w:separator/>
      </w:r>
    </w:p>
  </w:footnote>
  <w:footnote w:type="continuationSeparator" w:id="0">
    <w:p w:rsidR="004978C3" w:rsidRDefault="004978C3" w:rsidP="001C0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9500054"/>
      <w:docPartObj>
        <w:docPartGallery w:val="Page Numbers (Top of Page)"/>
        <w:docPartUnique/>
      </w:docPartObj>
    </w:sdtPr>
    <w:sdtContent>
      <w:p w:rsidR="001C0BEA" w:rsidRDefault="001C0B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C0BEA" w:rsidRDefault="001C0BE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D2"/>
    <w:rsid w:val="000231C8"/>
    <w:rsid w:val="0008335F"/>
    <w:rsid w:val="000E311B"/>
    <w:rsid w:val="001334F0"/>
    <w:rsid w:val="001906F5"/>
    <w:rsid w:val="001925B1"/>
    <w:rsid w:val="001A6501"/>
    <w:rsid w:val="001C0BEA"/>
    <w:rsid w:val="00200F13"/>
    <w:rsid w:val="00213FC4"/>
    <w:rsid w:val="002625AB"/>
    <w:rsid w:val="003133F5"/>
    <w:rsid w:val="00415022"/>
    <w:rsid w:val="00466583"/>
    <w:rsid w:val="00493789"/>
    <w:rsid w:val="004978C3"/>
    <w:rsid w:val="004B3147"/>
    <w:rsid w:val="00510640"/>
    <w:rsid w:val="00575148"/>
    <w:rsid w:val="0060079D"/>
    <w:rsid w:val="00644EBB"/>
    <w:rsid w:val="006B7C9E"/>
    <w:rsid w:val="007312F2"/>
    <w:rsid w:val="008240D2"/>
    <w:rsid w:val="009C4B1D"/>
    <w:rsid w:val="009D166C"/>
    <w:rsid w:val="00A00F84"/>
    <w:rsid w:val="00AC409E"/>
    <w:rsid w:val="00B22038"/>
    <w:rsid w:val="00B74936"/>
    <w:rsid w:val="00BF3901"/>
    <w:rsid w:val="00D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04EB9"/>
  <w15:chartTrackingRefBased/>
  <w15:docId w15:val="{1FE01185-C7C3-49C5-9710-DC696122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C9E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B7C9E"/>
    <w:rPr>
      <w:color w:val="0000FF"/>
      <w:u w:val="single"/>
    </w:rPr>
  </w:style>
  <w:style w:type="paragraph" w:customStyle="1" w:styleId="rvps2">
    <w:name w:val="rvps2"/>
    <w:basedOn w:val="a"/>
    <w:qFormat/>
    <w:rsid w:val="009D1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9D1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j">
    <w:name w:val="tj"/>
    <w:basedOn w:val="a"/>
    <w:rsid w:val="001A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r">
    <w:name w:val="tr"/>
    <w:basedOn w:val="a"/>
    <w:rsid w:val="001A6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ard-blue-color">
    <w:name w:val="hard-blue-color"/>
    <w:basedOn w:val="a0"/>
    <w:rsid w:val="001A6501"/>
  </w:style>
  <w:style w:type="paragraph" w:styleId="a5">
    <w:name w:val="List Paragraph"/>
    <w:basedOn w:val="a"/>
    <w:uiPriority w:val="34"/>
    <w:qFormat/>
    <w:rsid w:val="001A6501"/>
    <w:pPr>
      <w:spacing w:line="259" w:lineRule="auto"/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13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133F5"/>
    <w:rPr>
      <w:rFonts w:ascii="Segoe UI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1C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C0BEA"/>
    <w:rPr>
      <w:lang w:val="uk-UA"/>
    </w:rPr>
  </w:style>
  <w:style w:type="paragraph" w:styleId="aa">
    <w:name w:val="footer"/>
    <w:basedOn w:val="a"/>
    <w:link w:val="ab"/>
    <w:uiPriority w:val="99"/>
    <w:unhideWhenUsed/>
    <w:rsid w:val="001C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C0BE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-pro.ligazakon.net/document/GK57693?ed=2024_11_26&amp;an=4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-pro.ligazakon.net/document/GK57693?ed=2024_11_26&amp;an=4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-pro.ligazakon.net/document/GK57693?ed=2024_11_26&amp;an=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-pro.ligazakon.net/document/GK57693?ed=2024_11_26&amp;an=4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C3BB5-64F2-452D-B6A4-000D6D13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Плахута</dc:creator>
  <cp:keywords/>
  <dc:description/>
  <cp:lastModifiedBy>Любов Плахута</cp:lastModifiedBy>
  <cp:revision>10</cp:revision>
  <cp:lastPrinted>2025-01-29T07:31:00Z</cp:lastPrinted>
  <dcterms:created xsi:type="dcterms:W3CDTF">2025-01-24T11:01:00Z</dcterms:created>
  <dcterms:modified xsi:type="dcterms:W3CDTF">2025-01-29T15:57:00Z</dcterms:modified>
</cp:coreProperties>
</file>