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FAE9F" w14:textId="2ACE9E57" w:rsidR="009C5B9B" w:rsidRPr="007A2081" w:rsidRDefault="009C5B9B" w:rsidP="009C5B9B">
      <w:pPr>
        <w:pStyle w:val="2"/>
        <w:spacing w:before="0" w:beforeAutospacing="0" w:after="0" w:afterAutospacing="0"/>
        <w:ind w:firstLine="709"/>
        <w:rPr>
          <w:b w:val="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03"/>
        <w:gridCol w:w="4435"/>
      </w:tblGrid>
      <w:tr w:rsidR="00873624" w:rsidRPr="007A2081" w14:paraId="073AFF21" w14:textId="77777777" w:rsidTr="00A1790E">
        <w:tc>
          <w:tcPr>
            <w:tcW w:w="5203" w:type="dxa"/>
          </w:tcPr>
          <w:p w14:paraId="370FEE42" w14:textId="77777777" w:rsidR="00873624" w:rsidRPr="007A2081" w:rsidRDefault="0087362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435" w:type="dxa"/>
            <w:hideMark/>
          </w:tcPr>
          <w:p w14:paraId="7934311D" w14:textId="77777777" w:rsidR="00873624" w:rsidRPr="007A2081" w:rsidRDefault="00873624">
            <w:pPr>
              <w:rPr>
                <w:sz w:val="28"/>
                <w:szCs w:val="28"/>
                <w:lang w:val="uk-UA"/>
              </w:rPr>
            </w:pPr>
            <w:r w:rsidRPr="007A2081">
              <w:rPr>
                <w:sz w:val="28"/>
                <w:szCs w:val="28"/>
                <w:lang w:val="uk-UA"/>
              </w:rPr>
              <w:t>ЗАТВЕРДЖЕНО</w:t>
            </w:r>
          </w:p>
          <w:p w14:paraId="624D2F40" w14:textId="28B4ECD8" w:rsidR="00873624" w:rsidRPr="007A2081" w:rsidRDefault="00873624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7A2081">
              <w:rPr>
                <w:sz w:val="28"/>
                <w:szCs w:val="28"/>
                <w:lang w:val="uk-UA"/>
              </w:rPr>
              <w:t xml:space="preserve">Постанова Національної </w:t>
            </w:r>
            <w:r w:rsidRPr="007A2081">
              <w:rPr>
                <w:bCs/>
                <w:iCs/>
                <w:sz w:val="28"/>
                <w:szCs w:val="28"/>
                <w:lang w:val="uk-UA"/>
              </w:rPr>
              <w:t>комісії, що здійснює державне регулювання у сферах енергетики та комунальних послу</w:t>
            </w:r>
            <w:r w:rsidR="004F7C5F">
              <w:rPr>
                <w:bCs/>
                <w:iCs/>
                <w:sz w:val="28"/>
                <w:szCs w:val="28"/>
                <w:lang w:val="uk-UA"/>
              </w:rPr>
              <w:t>г</w:t>
            </w:r>
          </w:p>
          <w:p w14:paraId="461AA50F" w14:textId="2A39ADC5" w:rsidR="00873624" w:rsidRPr="007A2081" w:rsidRDefault="00873624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7A2081">
              <w:rPr>
                <w:bCs/>
                <w:iCs/>
                <w:sz w:val="28"/>
                <w:szCs w:val="28"/>
                <w:lang w:val="uk-UA"/>
              </w:rPr>
              <w:t>___________</w:t>
            </w:r>
            <w:r w:rsidR="00A1790E" w:rsidRPr="007A2081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7A2081">
              <w:rPr>
                <w:bCs/>
                <w:iCs/>
                <w:sz w:val="28"/>
                <w:szCs w:val="28"/>
                <w:lang w:val="uk-UA"/>
              </w:rPr>
              <w:t>№ _________</w:t>
            </w:r>
          </w:p>
        </w:tc>
      </w:tr>
    </w:tbl>
    <w:p w14:paraId="7D5A3DD2" w14:textId="77777777" w:rsidR="00873624" w:rsidRPr="007A2081" w:rsidRDefault="00873624" w:rsidP="00873624">
      <w:pPr>
        <w:rPr>
          <w:b/>
          <w:sz w:val="28"/>
          <w:szCs w:val="28"/>
          <w:lang w:val="uk-UA"/>
        </w:rPr>
      </w:pPr>
    </w:p>
    <w:p w14:paraId="0E211AEA" w14:textId="77777777" w:rsidR="00873624" w:rsidRPr="007A2081" w:rsidRDefault="00873624" w:rsidP="00873624">
      <w:pPr>
        <w:pStyle w:val="rvps2"/>
        <w:tabs>
          <w:tab w:val="left" w:pos="426"/>
        </w:tabs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7A2081">
        <w:rPr>
          <w:b/>
          <w:sz w:val="28"/>
          <w:szCs w:val="28"/>
        </w:rPr>
        <w:t>Зміни</w:t>
      </w:r>
    </w:p>
    <w:p w14:paraId="05DE0810" w14:textId="531DD94B" w:rsidR="00873624" w:rsidRPr="007A2081" w:rsidRDefault="00873624" w:rsidP="00873624">
      <w:pPr>
        <w:pStyle w:val="rvps2"/>
        <w:tabs>
          <w:tab w:val="left" w:pos="426"/>
        </w:tabs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7A2081">
        <w:rPr>
          <w:b/>
          <w:sz w:val="28"/>
          <w:szCs w:val="28"/>
        </w:rPr>
        <w:t>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</w:p>
    <w:p w14:paraId="6772B0BA" w14:textId="77777777" w:rsidR="008C1A22" w:rsidRPr="007A2081" w:rsidRDefault="008C1A22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14:paraId="4AE3A9D4" w14:textId="1FEACD7D" w:rsidR="00194AE1" w:rsidRDefault="00194AE1" w:rsidP="00A1790E">
      <w:pPr>
        <w:pStyle w:val="rvps2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</w:rPr>
      </w:pPr>
      <w:r>
        <w:rPr>
          <w:sz w:val="28"/>
          <w:lang w:val="ru-RU"/>
        </w:rPr>
        <w:t>У глав</w:t>
      </w:r>
      <w:r>
        <w:rPr>
          <w:sz w:val="28"/>
        </w:rPr>
        <w:t xml:space="preserve">і </w:t>
      </w:r>
      <w:r w:rsidR="008351C4">
        <w:rPr>
          <w:sz w:val="28"/>
        </w:rPr>
        <w:t>3:</w:t>
      </w:r>
    </w:p>
    <w:p w14:paraId="0DDA0124" w14:textId="77777777" w:rsidR="008351C4" w:rsidRPr="00194AE1" w:rsidRDefault="008351C4" w:rsidP="008351C4">
      <w:pPr>
        <w:pStyle w:val="rvps2"/>
        <w:tabs>
          <w:tab w:val="left" w:pos="426"/>
        </w:tabs>
        <w:spacing w:before="0" w:beforeAutospacing="0" w:after="0" w:afterAutospacing="0"/>
        <w:ind w:left="567"/>
        <w:jc w:val="both"/>
        <w:textAlignment w:val="baseline"/>
        <w:rPr>
          <w:sz w:val="28"/>
        </w:rPr>
      </w:pPr>
    </w:p>
    <w:p w14:paraId="1195BAC1" w14:textId="7F15A941" w:rsidR="0061071F" w:rsidRPr="0061071F" w:rsidRDefault="008351C4" w:rsidP="008351C4">
      <w:pPr>
        <w:pStyle w:val="rvps2"/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</w:rPr>
      </w:pPr>
      <w:r w:rsidRPr="007A2081">
        <w:rPr>
          <w:sz w:val="28"/>
          <w:szCs w:val="28"/>
        </w:rPr>
        <w:t xml:space="preserve">пункт </w:t>
      </w:r>
      <w:r w:rsidR="00936934" w:rsidRPr="007A2081">
        <w:rPr>
          <w:sz w:val="28"/>
          <w:szCs w:val="28"/>
        </w:rPr>
        <w:t>3.4</w:t>
      </w:r>
      <w:r w:rsidR="00E8452C" w:rsidRPr="007A2081">
        <w:rPr>
          <w:sz w:val="28"/>
          <w:szCs w:val="28"/>
        </w:rPr>
        <w:t xml:space="preserve"> ви</w:t>
      </w:r>
      <w:r w:rsidR="00CE7709" w:rsidRPr="007A2081">
        <w:rPr>
          <w:sz w:val="28"/>
          <w:szCs w:val="28"/>
        </w:rPr>
        <w:t xml:space="preserve">класти </w:t>
      </w:r>
      <w:r w:rsidR="00B25FC4" w:rsidRPr="007A2081">
        <w:rPr>
          <w:sz w:val="28"/>
          <w:szCs w:val="28"/>
        </w:rPr>
        <w:t>в</w:t>
      </w:r>
      <w:r w:rsidR="00CE7709" w:rsidRPr="007A2081">
        <w:rPr>
          <w:sz w:val="28"/>
          <w:szCs w:val="28"/>
        </w:rPr>
        <w:t xml:space="preserve"> </w:t>
      </w:r>
      <w:r w:rsidR="003A3EEC">
        <w:rPr>
          <w:sz w:val="28"/>
          <w:szCs w:val="28"/>
        </w:rPr>
        <w:t>такій</w:t>
      </w:r>
      <w:r w:rsidR="00EC7C4F" w:rsidRPr="007A2081">
        <w:rPr>
          <w:sz w:val="28"/>
          <w:szCs w:val="28"/>
        </w:rPr>
        <w:t xml:space="preserve"> </w:t>
      </w:r>
      <w:r w:rsidR="00CE7709" w:rsidRPr="007A2081">
        <w:rPr>
          <w:sz w:val="28"/>
          <w:szCs w:val="28"/>
        </w:rPr>
        <w:t>редакції</w:t>
      </w:r>
      <w:r w:rsidR="0087733D" w:rsidRPr="007A2081">
        <w:rPr>
          <w:sz w:val="28"/>
          <w:szCs w:val="28"/>
        </w:rPr>
        <w:t>:</w:t>
      </w:r>
    </w:p>
    <w:p w14:paraId="638B215E" w14:textId="6B1E2A59" w:rsidR="00D409A0" w:rsidRDefault="00CE7709" w:rsidP="0061071F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7A2081">
        <w:rPr>
          <w:sz w:val="28"/>
          <w:szCs w:val="28"/>
        </w:rPr>
        <w:t>«</w:t>
      </w:r>
      <w:r w:rsidR="007A261C" w:rsidRPr="007A2081">
        <w:rPr>
          <w:sz w:val="28"/>
          <w:szCs w:val="28"/>
        </w:rPr>
        <w:t>3.4. Перелік технологічних операцій під час періодичних оглядів та технічних обстежень, поточного ремонту регламентується вимогами Правил технічної експлуатації систем газопостачання, затверджени</w:t>
      </w:r>
      <w:r w:rsidR="0067058A">
        <w:rPr>
          <w:sz w:val="28"/>
          <w:szCs w:val="28"/>
        </w:rPr>
        <w:t>х</w:t>
      </w:r>
      <w:r w:rsidR="007A261C" w:rsidRPr="007A2081">
        <w:rPr>
          <w:sz w:val="28"/>
          <w:szCs w:val="28"/>
        </w:rPr>
        <w:t xml:space="preserve"> наказом Міністерства енергетики України від 21 жовтня 2024 року № 402, зареєстровани</w:t>
      </w:r>
      <w:r w:rsidR="008C29FC">
        <w:rPr>
          <w:sz w:val="28"/>
          <w:szCs w:val="28"/>
        </w:rPr>
        <w:t>м</w:t>
      </w:r>
      <w:r w:rsidR="00FF2FB9" w:rsidRPr="002E2C2B">
        <w:rPr>
          <w:sz w:val="28"/>
          <w:szCs w:val="28"/>
        </w:rPr>
        <w:t>и</w:t>
      </w:r>
      <w:r w:rsidR="007A261C" w:rsidRPr="007A2081">
        <w:rPr>
          <w:sz w:val="28"/>
          <w:szCs w:val="28"/>
        </w:rPr>
        <w:t xml:space="preserve"> </w:t>
      </w:r>
      <w:r w:rsidR="0067058A">
        <w:rPr>
          <w:sz w:val="28"/>
          <w:szCs w:val="28"/>
        </w:rPr>
        <w:t>у</w:t>
      </w:r>
      <w:r w:rsidR="007A261C" w:rsidRPr="007A2081">
        <w:rPr>
          <w:sz w:val="28"/>
          <w:szCs w:val="28"/>
        </w:rPr>
        <w:t xml:space="preserve"> Міністерстві юстиції України 29 листопада 2024 року за №</w:t>
      </w:r>
      <w:r w:rsidR="00080CA5">
        <w:rPr>
          <w:sz w:val="28"/>
          <w:szCs w:val="28"/>
          <w:lang w:val="ru-RU"/>
        </w:rPr>
        <w:t> </w:t>
      </w:r>
      <w:r w:rsidR="007A261C" w:rsidRPr="007A2081">
        <w:rPr>
          <w:sz w:val="28"/>
          <w:szCs w:val="28"/>
        </w:rPr>
        <w:t>1816/43161 (далі – Правила).</w:t>
      </w:r>
      <w:r w:rsidRPr="007A2081">
        <w:rPr>
          <w:sz w:val="28"/>
        </w:rPr>
        <w:t>»</w:t>
      </w:r>
      <w:r w:rsidR="00586815">
        <w:rPr>
          <w:sz w:val="28"/>
        </w:rPr>
        <w:t>;</w:t>
      </w:r>
    </w:p>
    <w:p w14:paraId="6CDE4A55" w14:textId="77777777" w:rsidR="00004E9F" w:rsidRPr="007A2081" w:rsidRDefault="00004E9F" w:rsidP="0061071F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</w:p>
    <w:p w14:paraId="699A4636" w14:textId="24FB6DFF" w:rsidR="00D409A0" w:rsidRPr="00004E9F" w:rsidRDefault="00B27C65" w:rsidP="0062230D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2) </w:t>
      </w:r>
      <w:r w:rsidR="0067058A"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</w:rPr>
        <w:t>а</w:t>
      </w:r>
      <w:r w:rsidRPr="007A2081">
        <w:rPr>
          <w:sz w:val="28"/>
        </w:rPr>
        <w:t>бзац</w:t>
      </w:r>
      <w:r>
        <w:rPr>
          <w:sz w:val="28"/>
        </w:rPr>
        <w:t>і</w:t>
      </w:r>
      <w:r w:rsidRPr="007A2081">
        <w:rPr>
          <w:sz w:val="28"/>
        </w:rPr>
        <w:t xml:space="preserve"> двадцять четверт</w:t>
      </w:r>
      <w:r>
        <w:rPr>
          <w:sz w:val="28"/>
        </w:rPr>
        <w:t>ому</w:t>
      </w:r>
      <w:r w:rsidRPr="007A2081">
        <w:rPr>
          <w:sz w:val="28"/>
        </w:rPr>
        <w:t xml:space="preserve"> </w:t>
      </w:r>
      <w:r w:rsidRPr="007A2081">
        <w:rPr>
          <w:sz w:val="28"/>
          <w:szCs w:val="28"/>
        </w:rPr>
        <w:t>пункту 3.7</w:t>
      </w:r>
      <w:r>
        <w:rPr>
          <w:sz w:val="28"/>
          <w:szCs w:val="28"/>
        </w:rPr>
        <w:t xml:space="preserve"> </w:t>
      </w:r>
      <w:r w:rsidR="004420A5">
        <w:rPr>
          <w:sz w:val="28"/>
          <w:szCs w:val="28"/>
        </w:rPr>
        <w:t xml:space="preserve">знак та </w:t>
      </w:r>
      <w:r w:rsidR="00F73006">
        <w:rPr>
          <w:sz w:val="28"/>
          <w:szCs w:val="28"/>
        </w:rPr>
        <w:t>абревіатур</w:t>
      </w:r>
      <w:r w:rsidR="00CF120F">
        <w:rPr>
          <w:sz w:val="28"/>
          <w:szCs w:val="28"/>
        </w:rPr>
        <w:t>у</w:t>
      </w:r>
      <w:r>
        <w:rPr>
          <w:sz w:val="28"/>
          <w:szCs w:val="28"/>
        </w:rPr>
        <w:t xml:space="preserve"> «</w:t>
      </w:r>
      <w:r w:rsidR="00F73006">
        <w:rPr>
          <w:sz w:val="28"/>
          <w:szCs w:val="28"/>
        </w:rPr>
        <w:t xml:space="preserve">, </w:t>
      </w:r>
      <w:r>
        <w:rPr>
          <w:sz w:val="28"/>
          <w:szCs w:val="28"/>
        </w:rPr>
        <w:t>КБРТ» та</w:t>
      </w:r>
      <w:r w:rsidR="00F73006">
        <w:rPr>
          <w:sz w:val="28"/>
          <w:szCs w:val="28"/>
        </w:rPr>
        <w:t xml:space="preserve"> слово</w:t>
      </w:r>
      <w:r>
        <w:rPr>
          <w:sz w:val="28"/>
          <w:szCs w:val="28"/>
        </w:rPr>
        <w:t xml:space="preserve"> «</w:t>
      </w:r>
      <w:r w:rsidRPr="00D957F2">
        <w:rPr>
          <w:sz w:val="28"/>
          <w:szCs w:val="28"/>
        </w:rPr>
        <w:t>технічного</w:t>
      </w:r>
      <w:r>
        <w:rPr>
          <w:sz w:val="28"/>
          <w:szCs w:val="28"/>
        </w:rPr>
        <w:t>»</w:t>
      </w:r>
      <w:r w:rsidR="00CE6C07">
        <w:rPr>
          <w:sz w:val="28"/>
          <w:szCs w:val="28"/>
        </w:rPr>
        <w:t xml:space="preserve"> виключити</w:t>
      </w:r>
      <w:r w:rsidR="00EC2EF1" w:rsidRPr="007A2081">
        <w:rPr>
          <w:sz w:val="28"/>
          <w:szCs w:val="28"/>
        </w:rPr>
        <w:t>.</w:t>
      </w:r>
    </w:p>
    <w:p w14:paraId="0F79FECB" w14:textId="77777777" w:rsidR="00004E9F" w:rsidRPr="007A2081" w:rsidRDefault="00004E9F" w:rsidP="00004E9F">
      <w:pPr>
        <w:pStyle w:val="rvps2"/>
        <w:tabs>
          <w:tab w:val="left" w:pos="426"/>
        </w:tabs>
        <w:spacing w:before="0" w:beforeAutospacing="0" w:after="0" w:afterAutospacing="0"/>
        <w:ind w:left="567"/>
        <w:jc w:val="both"/>
        <w:textAlignment w:val="baseline"/>
        <w:rPr>
          <w:sz w:val="28"/>
        </w:rPr>
      </w:pPr>
    </w:p>
    <w:p w14:paraId="22EB2C06" w14:textId="3D145EA8" w:rsidR="003E32B4" w:rsidRDefault="003E32B4" w:rsidP="00586815">
      <w:pPr>
        <w:pStyle w:val="rvps2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lang w:val="ru-RU"/>
        </w:rPr>
      </w:pPr>
      <w:r w:rsidRPr="00586815">
        <w:rPr>
          <w:sz w:val="28"/>
          <w:lang w:val="ru-RU"/>
        </w:rPr>
        <w:t xml:space="preserve">У </w:t>
      </w:r>
      <w:r w:rsidRPr="00FF4700">
        <w:rPr>
          <w:sz w:val="28"/>
        </w:rPr>
        <w:t>главі</w:t>
      </w:r>
      <w:r w:rsidRPr="00586815">
        <w:rPr>
          <w:sz w:val="28"/>
          <w:lang w:val="ru-RU"/>
        </w:rPr>
        <w:t xml:space="preserve"> 6:</w:t>
      </w:r>
    </w:p>
    <w:p w14:paraId="51803184" w14:textId="77777777" w:rsidR="00586815" w:rsidRPr="00586815" w:rsidRDefault="00586815" w:rsidP="00586815">
      <w:pPr>
        <w:pStyle w:val="rvps2"/>
        <w:tabs>
          <w:tab w:val="left" w:pos="426"/>
        </w:tabs>
        <w:spacing w:before="0" w:beforeAutospacing="0" w:after="0" w:afterAutospacing="0"/>
        <w:ind w:left="567"/>
        <w:jc w:val="both"/>
        <w:textAlignment w:val="baseline"/>
        <w:rPr>
          <w:sz w:val="28"/>
          <w:lang w:val="ru-RU"/>
        </w:rPr>
      </w:pPr>
    </w:p>
    <w:p w14:paraId="7D38F6CD" w14:textId="12E89614" w:rsidR="0062230D" w:rsidRDefault="00C15D4A" w:rsidP="00463F01">
      <w:pPr>
        <w:pStyle w:val="rvps2"/>
        <w:numPr>
          <w:ilvl w:val="0"/>
          <w:numId w:val="9"/>
        </w:numPr>
        <w:tabs>
          <w:tab w:val="left" w:pos="426"/>
        </w:tabs>
        <w:spacing w:before="0" w:beforeAutospacing="0" w:after="0" w:afterAutospacing="0"/>
        <w:ind w:left="851" w:hanging="284"/>
        <w:jc w:val="both"/>
        <w:textAlignment w:val="baseline"/>
        <w:rPr>
          <w:sz w:val="28"/>
          <w:szCs w:val="28"/>
        </w:rPr>
      </w:pPr>
      <w:r w:rsidRPr="003E32B4">
        <w:rPr>
          <w:sz w:val="28"/>
          <w:szCs w:val="28"/>
        </w:rPr>
        <w:t xml:space="preserve">після </w:t>
      </w:r>
      <w:r w:rsidR="0018380D" w:rsidRPr="003E32B4">
        <w:rPr>
          <w:sz w:val="28"/>
          <w:szCs w:val="28"/>
        </w:rPr>
        <w:t>пункту 6.2</w:t>
      </w:r>
      <w:r w:rsidR="00CE583C" w:rsidRPr="003E32B4">
        <w:rPr>
          <w:sz w:val="28"/>
          <w:szCs w:val="28"/>
        </w:rPr>
        <w:t xml:space="preserve"> </w:t>
      </w:r>
      <w:r w:rsidRPr="003E32B4">
        <w:rPr>
          <w:sz w:val="28"/>
          <w:szCs w:val="28"/>
        </w:rPr>
        <w:t xml:space="preserve">доповнити новим </w:t>
      </w:r>
      <w:r w:rsidR="0018380D" w:rsidRPr="003E32B4">
        <w:rPr>
          <w:sz w:val="28"/>
          <w:szCs w:val="28"/>
        </w:rPr>
        <w:t>пунктом 6.3</w:t>
      </w:r>
      <w:r w:rsidRPr="003E32B4">
        <w:rPr>
          <w:sz w:val="28"/>
          <w:szCs w:val="28"/>
        </w:rPr>
        <w:t xml:space="preserve"> такого змісту:</w:t>
      </w:r>
    </w:p>
    <w:p w14:paraId="105EC04E" w14:textId="52FF6E69" w:rsidR="002D72E2" w:rsidRPr="003E32B4" w:rsidRDefault="000E681C" w:rsidP="003E32B4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3E32B4">
        <w:rPr>
          <w:sz w:val="28"/>
          <w:szCs w:val="28"/>
        </w:rPr>
        <w:t>«6.3. Оператор ГРМ подає розрахунки нормативних втрат/витрат природного газу окремо для кожної частини місць провадження господарської діяльності Оператора ГРМ, на яку встановлено тариф на послуги розподілу природного газу.»</w:t>
      </w:r>
      <w:r w:rsidR="00AF511A">
        <w:rPr>
          <w:sz w:val="28"/>
          <w:szCs w:val="28"/>
        </w:rPr>
        <w:t>.</w:t>
      </w:r>
    </w:p>
    <w:p w14:paraId="61718263" w14:textId="7F932946" w:rsidR="008364AE" w:rsidRDefault="00542359" w:rsidP="00A1790E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</w:t>
      </w:r>
      <w:r w:rsidR="0036163D" w:rsidRPr="007A2081">
        <w:rPr>
          <w:sz w:val="28"/>
          <w:szCs w:val="28"/>
        </w:rPr>
        <w:t xml:space="preserve"> </w:t>
      </w:r>
      <w:r w:rsidR="00CE583C" w:rsidRPr="007A2081">
        <w:rPr>
          <w:sz w:val="28"/>
          <w:szCs w:val="28"/>
        </w:rPr>
        <w:t xml:space="preserve">зв’язку з цим пункти 6.3 </w:t>
      </w:r>
      <w:r w:rsidR="004D7596" w:rsidRPr="007A2081">
        <w:rPr>
          <w:sz w:val="28"/>
          <w:szCs w:val="28"/>
        </w:rPr>
        <w:t>– 6.10</w:t>
      </w:r>
      <w:r w:rsidR="00A1790E" w:rsidRPr="007A2081">
        <w:rPr>
          <w:sz w:val="28"/>
          <w:szCs w:val="28"/>
        </w:rPr>
        <w:t xml:space="preserve"> </w:t>
      </w:r>
      <w:r w:rsidR="00CE583C" w:rsidRPr="007A2081">
        <w:rPr>
          <w:sz w:val="28"/>
          <w:szCs w:val="28"/>
        </w:rPr>
        <w:t xml:space="preserve">вважати відповідно </w:t>
      </w:r>
      <w:r w:rsidR="004D7596" w:rsidRPr="007A2081">
        <w:rPr>
          <w:sz w:val="28"/>
          <w:szCs w:val="28"/>
        </w:rPr>
        <w:t>пунктами 6.4 – 6.11</w:t>
      </w:r>
      <w:r w:rsidR="007D7864">
        <w:rPr>
          <w:sz w:val="28"/>
          <w:szCs w:val="28"/>
        </w:rPr>
        <w:t>;</w:t>
      </w:r>
    </w:p>
    <w:p w14:paraId="39EC7912" w14:textId="77777777" w:rsidR="007D7864" w:rsidRPr="007A2081" w:rsidRDefault="007D7864" w:rsidP="00A1790E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</w:p>
    <w:p w14:paraId="5E1F2C11" w14:textId="5285CD21" w:rsidR="008364AE" w:rsidRPr="007A2081" w:rsidRDefault="004D7596" w:rsidP="007D7864">
      <w:pPr>
        <w:pStyle w:val="rvps2"/>
        <w:numPr>
          <w:ilvl w:val="0"/>
          <w:numId w:val="9"/>
        </w:numPr>
        <w:tabs>
          <w:tab w:val="left" w:pos="851"/>
        </w:tabs>
        <w:spacing w:before="0" w:beforeAutospacing="0" w:after="0" w:afterAutospacing="0"/>
        <w:ind w:left="709" w:hanging="142"/>
        <w:jc w:val="both"/>
        <w:textAlignment w:val="baseline"/>
        <w:rPr>
          <w:sz w:val="28"/>
          <w:szCs w:val="28"/>
        </w:rPr>
      </w:pPr>
      <w:r w:rsidRPr="007A2081">
        <w:rPr>
          <w:sz w:val="28"/>
          <w:szCs w:val="28"/>
        </w:rPr>
        <w:t xml:space="preserve">пункт 6.4 викласти в </w:t>
      </w:r>
      <w:r w:rsidR="00305CD0">
        <w:rPr>
          <w:sz w:val="28"/>
          <w:szCs w:val="28"/>
        </w:rPr>
        <w:t>такій</w:t>
      </w:r>
      <w:r w:rsidRPr="007A2081">
        <w:rPr>
          <w:sz w:val="28"/>
          <w:szCs w:val="28"/>
        </w:rPr>
        <w:t xml:space="preserve"> редакції:</w:t>
      </w:r>
    </w:p>
    <w:p w14:paraId="43C5D263" w14:textId="79263C62" w:rsidR="0023494D" w:rsidRPr="007A2081" w:rsidRDefault="004D7596" w:rsidP="006E2292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A2081">
        <w:rPr>
          <w:sz w:val="28"/>
          <w:szCs w:val="28"/>
        </w:rPr>
        <w:t>«</w:t>
      </w:r>
      <w:r w:rsidR="00542359">
        <w:rPr>
          <w:sz w:val="28"/>
          <w:szCs w:val="28"/>
        </w:rPr>
        <w:t xml:space="preserve">6.4. </w:t>
      </w:r>
      <w:r w:rsidRPr="007A2081">
        <w:rPr>
          <w:sz w:val="28"/>
          <w:szCs w:val="28"/>
        </w:rPr>
        <w:t xml:space="preserve">Розрахунки </w:t>
      </w:r>
      <w:r w:rsidR="004328BE">
        <w:rPr>
          <w:sz w:val="28"/>
          <w:szCs w:val="28"/>
        </w:rPr>
        <w:t xml:space="preserve">разом </w:t>
      </w:r>
      <w:r w:rsidR="001D6FC5" w:rsidRPr="004328BE">
        <w:rPr>
          <w:sz w:val="28"/>
          <w:szCs w:val="28"/>
        </w:rPr>
        <w:t xml:space="preserve">із супровідним листом </w:t>
      </w:r>
      <w:r w:rsidRPr="007A2081">
        <w:rPr>
          <w:sz w:val="28"/>
          <w:szCs w:val="28"/>
        </w:rPr>
        <w:t xml:space="preserve">подаються Оператором ГРМ в електронному вигляді (файл Excel згідно з додатками </w:t>
      </w:r>
      <w:r w:rsidRPr="007646D6">
        <w:rPr>
          <w:sz w:val="28"/>
          <w:szCs w:val="28"/>
        </w:rPr>
        <w:t>22</w:t>
      </w:r>
      <w:r w:rsidR="0067058A" w:rsidRPr="007646D6">
        <w:rPr>
          <w:sz w:val="28"/>
          <w:szCs w:val="28"/>
        </w:rPr>
        <w:t xml:space="preserve"> </w:t>
      </w:r>
      <w:r w:rsidR="0067058A" w:rsidRPr="007646D6">
        <w:rPr>
          <w:sz w:val="28"/>
          <w:szCs w:val="28"/>
        </w:rPr>
        <w:sym w:font="Symbol" w:char="F02D"/>
      </w:r>
      <w:r w:rsidR="0067058A" w:rsidRPr="007646D6">
        <w:rPr>
          <w:sz w:val="28"/>
          <w:szCs w:val="28"/>
        </w:rPr>
        <w:t xml:space="preserve"> </w:t>
      </w:r>
      <w:r w:rsidRPr="007646D6">
        <w:rPr>
          <w:sz w:val="28"/>
          <w:szCs w:val="28"/>
        </w:rPr>
        <w:t>45</w:t>
      </w:r>
      <w:r w:rsidRPr="007A2081">
        <w:rPr>
          <w:sz w:val="28"/>
          <w:szCs w:val="28"/>
        </w:rPr>
        <w:t xml:space="preserve">) на адресу: vtvgas@nerc.gov.ua або на електронному носії </w:t>
      </w:r>
      <w:r w:rsidR="001D6FC5">
        <w:rPr>
          <w:sz w:val="28"/>
          <w:szCs w:val="28"/>
        </w:rPr>
        <w:t xml:space="preserve">з </w:t>
      </w:r>
      <w:r w:rsidRPr="007A2081">
        <w:rPr>
          <w:sz w:val="28"/>
          <w:szCs w:val="28"/>
        </w:rPr>
        <w:t xml:space="preserve">накладенням кваліфікованого електронного підпису керівника або уповноваженої ним особи (з наданням копії документа, що уповноважує особу підписувати зазначені документи) та/або кваліфікованої електронної печатки з дотриманням вимог законів України «Про </w:t>
      </w:r>
      <w:r w:rsidRPr="007A2081">
        <w:rPr>
          <w:sz w:val="28"/>
          <w:szCs w:val="28"/>
        </w:rPr>
        <w:lastRenderedPageBreak/>
        <w:t>електронні документи та електронний документообіг» та «Про електронну ідентифікацію та електронні довірчі послуги».»</w:t>
      </w:r>
      <w:r w:rsidR="00312685" w:rsidRPr="007A2081">
        <w:rPr>
          <w:sz w:val="28"/>
          <w:szCs w:val="28"/>
        </w:rPr>
        <w:t>;</w:t>
      </w:r>
    </w:p>
    <w:p w14:paraId="025EF0B1" w14:textId="6F791CC8" w:rsidR="0023494D" w:rsidRPr="00723C8A" w:rsidRDefault="00430C7E" w:rsidP="00DC0353">
      <w:pPr>
        <w:pStyle w:val="rvps2"/>
        <w:tabs>
          <w:tab w:val="left" w:pos="426"/>
        </w:tabs>
        <w:spacing w:before="240" w:beforeAutospacing="0" w:after="0" w:afterAutospacing="0"/>
        <w:ind w:firstLine="567"/>
        <w:jc w:val="both"/>
        <w:textAlignment w:val="baseline"/>
      </w:pPr>
      <w:r w:rsidRPr="00723C8A">
        <w:rPr>
          <w:sz w:val="28"/>
          <w:szCs w:val="28"/>
        </w:rPr>
        <w:t xml:space="preserve">3) </w:t>
      </w:r>
      <w:r w:rsidR="00312685" w:rsidRPr="00723C8A">
        <w:rPr>
          <w:sz w:val="28"/>
          <w:szCs w:val="28"/>
        </w:rPr>
        <w:t>пункт 6.</w:t>
      </w:r>
      <w:r w:rsidR="00D90D00" w:rsidRPr="00723C8A">
        <w:rPr>
          <w:sz w:val="28"/>
          <w:szCs w:val="28"/>
        </w:rPr>
        <w:t>10</w:t>
      </w:r>
      <w:r w:rsidR="00312685" w:rsidRPr="00723C8A">
        <w:rPr>
          <w:sz w:val="28"/>
          <w:szCs w:val="28"/>
        </w:rPr>
        <w:t xml:space="preserve"> </w:t>
      </w:r>
      <w:r w:rsidR="009A210C" w:rsidRPr="00723C8A">
        <w:rPr>
          <w:sz w:val="28"/>
          <w:szCs w:val="28"/>
        </w:rPr>
        <w:t>доповнити новим абзац</w:t>
      </w:r>
      <w:r w:rsidR="000200F6" w:rsidRPr="00723C8A">
        <w:rPr>
          <w:sz w:val="28"/>
          <w:szCs w:val="28"/>
        </w:rPr>
        <w:t>о</w:t>
      </w:r>
      <w:r w:rsidR="009A210C" w:rsidRPr="00723C8A">
        <w:rPr>
          <w:sz w:val="28"/>
          <w:szCs w:val="28"/>
        </w:rPr>
        <w:t xml:space="preserve">м </w:t>
      </w:r>
      <w:r w:rsidR="000200F6" w:rsidRPr="00723C8A">
        <w:rPr>
          <w:sz w:val="28"/>
          <w:szCs w:val="28"/>
        </w:rPr>
        <w:t>такого змісту</w:t>
      </w:r>
      <w:r w:rsidR="00312685" w:rsidRPr="00723C8A">
        <w:rPr>
          <w:sz w:val="28"/>
          <w:szCs w:val="28"/>
        </w:rPr>
        <w:t>:</w:t>
      </w:r>
      <w:r w:rsidR="00D90D00" w:rsidRPr="00723C8A">
        <w:t xml:space="preserve"> </w:t>
      </w:r>
    </w:p>
    <w:p w14:paraId="11D0C892" w14:textId="35384196" w:rsidR="00613203" w:rsidRPr="007A2081" w:rsidRDefault="00D90D00" w:rsidP="00DC0353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B01050">
        <w:rPr>
          <w:sz w:val="28"/>
          <w:szCs w:val="28"/>
        </w:rPr>
        <w:t>«</w:t>
      </w:r>
      <w:r w:rsidR="00DC0353" w:rsidRPr="00723C8A">
        <w:rPr>
          <w:sz w:val="28"/>
          <w:szCs w:val="28"/>
        </w:rPr>
        <w:t>Протягом дії воєнного стану в Україні та до кінця року</w:t>
      </w:r>
      <w:r w:rsidR="001732CD" w:rsidRPr="00723C8A">
        <w:rPr>
          <w:sz w:val="28"/>
          <w:szCs w:val="28"/>
        </w:rPr>
        <w:t>,</w:t>
      </w:r>
      <w:r w:rsidR="00DC0353" w:rsidRPr="00723C8A">
        <w:rPr>
          <w:sz w:val="28"/>
          <w:szCs w:val="28"/>
        </w:rPr>
        <w:t xml:space="preserve"> наступного за роком, </w:t>
      </w:r>
      <w:r w:rsidR="001732CD" w:rsidRPr="00723C8A">
        <w:rPr>
          <w:sz w:val="28"/>
          <w:szCs w:val="28"/>
        </w:rPr>
        <w:t>у</w:t>
      </w:r>
      <w:r w:rsidR="00DC0353" w:rsidRPr="00723C8A">
        <w:rPr>
          <w:sz w:val="28"/>
          <w:szCs w:val="28"/>
        </w:rPr>
        <w:t xml:space="preserve"> якому воєнний стан буде припинено або скасовано</w:t>
      </w:r>
      <w:r w:rsidR="001732CD" w:rsidRPr="00723C8A">
        <w:rPr>
          <w:sz w:val="28"/>
          <w:szCs w:val="28"/>
        </w:rPr>
        <w:t>,</w:t>
      </w:r>
      <w:r w:rsidR="00DC0353" w:rsidRPr="00723C8A">
        <w:rPr>
          <w:sz w:val="28"/>
          <w:szCs w:val="28"/>
        </w:rPr>
        <w:t xml:space="preserve"> положення </w:t>
      </w:r>
      <w:r w:rsidR="00CA1A74" w:rsidRPr="00723C8A">
        <w:rPr>
          <w:sz w:val="28"/>
          <w:szCs w:val="28"/>
        </w:rPr>
        <w:t xml:space="preserve">абзацу першого </w:t>
      </w:r>
      <w:r w:rsidR="00DC0353" w:rsidRPr="00723C8A">
        <w:rPr>
          <w:sz w:val="28"/>
          <w:szCs w:val="28"/>
        </w:rPr>
        <w:t>цього пункту не застосовуються. При цьому при встановленні розмірів нормативних втрат/витрат природного газу на наступний планований період</w:t>
      </w:r>
      <w:r w:rsidR="00FF2FB9" w:rsidRPr="00FF2FB9">
        <w:rPr>
          <w:sz w:val="28"/>
          <w:szCs w:val="28"/>
        </w:rPr>
        <w:t xml:space="preserve"> </w:t>
      </w:r>
      <w:r w:rsidR="00FF2FB9" w:rsidRPr="008936C6">
        <w:rPr>
          <w:sz w:val="28"/>
          <w:szCs w:val="28"/>
        </w:rPr>
        <w:t>НКРЕКП</w:t>
      </w:r>
      <w:r w:rsidR="00DC0353" w:rsidRPr="00723C8A">
        <w:rPr>
          <w:sz w:val="28"/>
          <w:szCs w:val="28"/>
        </w:rPr>
        <w:t xml:space="preserve"> враховує, що обсяг нормативних втрат/витрат природного газу на наступний період не може перевищувати обсяги нормативних втрат/витрат природного газу</w:t>
      </w:r>
      <w:bookmarkStart w:id="0" w:name="_GoBack"/>
      <w:r w:rsidR="00151B09">
        <w:rPr>
          <w:sz w:val="28"/>
          <w:szCs w:val="28"/>
        </w:rPr>
        <w:t>,</w:t>
      </w:r>
      <w:bookmarkEnd w:id="0"/>
      <w:r w:rsidR="00DC0353" w:rsidRPr="00723C8A">
        <w:rPr>
          <w:sz w:val="28"/>
          <w:szCs w:val="28"/>
        </w:rPr>
        <w:t xml:space="preserve"> встановлені </w:t>
      </w:r>
      <w:r w:rsidR="001732CD" w:rsidRPr="00723C8A">
        <w:rPr>
          <w:sz w:val="28"/>
          <w:szCs w:val="28"/>
        </w:rPr>
        <w:t>у</w:t>
      </w:r>
      <w:r w:rsidR="00DC0353" w:rsidRPr="00723C8A">
        <w:rPr>
          <w:sz w:val="28"/>
          <w:szCs w:val="28"/>
        </w:rPr>
        <w:t xml:space="preserve"> 2024 році</w:t>
      </w:r>
      <w:r w:rsidR="001732CD" w:rsidRPr="00723C8A">
        <w:rPr>
          <w:sz w:val="28"/>
          <w:szCs w:val="28"/>
        </w:rPr>
        <w:t>,</w:t>
      </w:r>
      <w:r w:rsidR="00DC0353" w:rsidRPr="00723C8A">
        <w:rPr>
          <w:sz w:val="28"/>
          <w:szCs w:val="28"/>
        </w:rPr>
        <w:t xml:space="preserve"> на 2025 рік</w:t>
      </w:r>
      <w:r w:rsidR="001732CD" w:rsidRPr="00723C8A">
        <w:rPr>
          <w:sz w:val="28"/>
          <w:szCs w:val="28"/>
        </w:rPr>
        <w:t>,</w:t>
      </w:r>
      <w:r w:rsidR="00DC0353" w:rsidRPr="00723C8A">
        <w:rPr>
          <w:sz w:val="28"/>
          <w:szCs w:val="28"/>
        </w:rPr>
        <w:t xml:space="preserve"> для відповідного Оператора ГРМ</w:t>
      </w:r>
      <w:r w:rsidR="000200F6" w:rsidRPr="00723C8A">
        <w:rPr>
          <w:sz w:val="28"/>
          <w:szCs w:val="28"/>
        </w:rPr>
        <w:t xml:space="preserve"> або частини місць провадження господарської діяльності Оператора ГРМ, на яку встановлено тариф на послуги розподілу природного газу</w:t>
      </w:r>
      <w:r w:rsidR="00DC0353" w:rsidRPr="00723C8A">
        <w:rPr>
          <w:sz w:val="28"/>
          <w:szCs w:val="28"/>
        </w:rPr>
        <w:t xml:space="preserve"> (крім випадків збільшення території місць провадження господарської діяльності).</w:t>
      </w:r>
      <w:r w:rsidRPr="00723C8A">
        <w:rPr>
          <w:sz w:val="28"/>
          <w:szCs w:val="28"/>
        </w:rPr>
        <w:t>».</w:t>
      </w:r>
    </w:p>
    <w:p w14:paraId="388BAAEE" w14:textId="0DC6729B" w:rsidR="00430C7E" w:rsidRDefault="00430C7E" w:rsidP="00430C7E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04D01592" w14:textId="49F94E25" w:rsidR="008050C7" w:rsidRPr="008050C7" w:rsidRDefault="00430C7E" w:rsidP="00430C7E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>
        <w:rPr>
          <w:sz w:val="28"/>
          <w:szCs w:val="28"/>
        </w:rPr>
        <w:t xml:space="preserve">3. </w:t>
      </w:r>
      <w:r w:rsidR="00C149B6">
        <w:rPr>
          <w:sz w:val="28"/>
          <w:szCs w:val="28"/>
        </w:rPr>
        <w:t>Доповнити новою главою</w:t>
      </w:r>
      <w:r w:rsidR="00A1790E" w:rsidRPr="008050C7">
        <w:rPr>
          <w:sz w:val="28"/>
          <w:szCs w:val="28"/>
        </w:rPr>
        <w:t xml:space="preserve"> </w:t>
      </w:r>
      <w:r w:rsidR="005A19B3" w:rsidRPr="008050C7">
        <w:rPr>
          <w:sz w:val="28"/>
          <w:szCs w:val="28"/>
        </w:rPr>
        <w:t>такого змісту:</w:t>
      </w:r>
    </w:p>
    <w:p w14:paraId="17C036AC" w14:textId="750F33A3" w:rsidR="00066B78" w:rsidRDefault="005A19B3" w:rsidP="004328BE">
      <w:pPr>
        <w:pStyle w:val="rvps2"/>
        <w:tabs>
          <w:tab w:val="left" w:pos="426"/>
        </w:tabs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8050C7">
        <w:rPr>
          <w:sz w:val="28"/>
          <w:szCs w:val="28"/>
        </w:rPr>
        <w:t>«</w:t>
      </w:r>
      <w:r w:rsidR="00066B78" w:rsidRPr="00305CD0">
        <w:rPr>
          <w:b/>
          <w:sz w:val="28"/>
          <w:szCs w:val="28"/>
        </w:rPr>
        <w:t xml:space="preserve">7. </w:t>
      </w:r>
      <w:r w:rsidR="001F7DCD">
        <w:rPr>
          <w:b/>
          <w:sz w:val="28"/>
          <w:szCs w:val="28"/>
        </w:rPr>
        <w:t>Особливості визначення нормативних втрат/витрат природного газу</w:t>
      </w:r>
      <w:r w:rsidR="00287C20">
        <w:rPr>
          <w:b/>
          <w:sz w:val="28"/>
          <w:szCs w:val="28"/>
        </w:rPr>
        <w:t xml:space="preserve"> для Операторів ГРМ, </w:t>
      </w:r>
      <w:r w:rsidR="00287C20" w:rsidRPr="00287C20">
        <w:rPr>
          <w:b/>
          <w:sz w:val="28"/>
          <w:szCs w:val="28"/>
        </w:rPr>
        <w:t>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</w:t>
      </w:r>
    </w:p>
    <w:p w14:paraId="43FE30C3" w14:textId="633CE3B5" w:rsidR="00066B78" w:rsidRDefault="00066B78" w:rsidP="000F4885">
      <w:pPr>
        <w:pStyle w:val="rvps2"/>
        <w:tabs>
          <w:tab w:val="left" w:pos="426"/>
        </w:tabs>
        <w:spacing w:before="24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7.</w:t>
      </w:r>
      <w:r w:rsidRPr="008050C7">
        <w:rPr>
          <w:sz w:val="28"/>
          <w:szCs w:val="28"/>
        </w:rPr>
        <w:t>1. Під час дії воєнного стану в Україні та до кінця року, наступного за роком, у якому воєнний стан буде припинено або скасовано, Оператор</w:t>
      </w:r>
      <w:r w:rsidR="007D6CAD">
        <w:rPr>
          <w:sz w:val="28"/>
          <w:szCs w:val="28"/>
        </w:rPr>
        <w:t>и</w:t>
      </w:r>
      <w:r w:rsidRPr="008050C7">
        <w:rPr>
          <w:sz w:val="28"/>
          <w:szCs w:val="28"/>
        </w:rPr>
        <w:t xml:space="preserve"> ГРМ, місце провадження господарської діяльності яких частково або повністю знаходиться </w:t>
      </w:r>
      <w:bookmarkStart w:id="1" w:name="_Hlk185852803"/>
      <w:r w:rsidRPr="008050C7">
        <w:rPr>
          <w:sz w:val="28"/>
          <w:szCs w:val="28"/>
        </w:rPr>
        <w:t>на тимчасово окупованій території України або території ведення активних бойових дій</w:t>
      </w:r>
      <w:bookmarkEnd w:id="1"/>
      <w:r w:rsidRPr="008050C7">
        <w:rPr>
          <w:sz w:val="28"/>
          <w:szCs w:val="28"/>
        </w:rPr>
        <w:t xml:space="preserve">, а саме </w:t>
      </w:r>
      <w:bookmarkStart w:id="2" w:name="_Hlk185853581"/>
      <w:r w:rsidRPr="008050C7">
        <w:rPr>
          <w:sz w:val="28"/>
          <w:szCs w:val="28"/>
        </w:rPr>
        <w:t>у Донецькій, Запорізькій, Луганській, Харківській та Херсонській областях</w:t>
      </w:r>
      <w:bookmarkEnd w:id="2"/>
      <w:r w:rsidRPr="008050C7">
        <w:rPr>
          <w:sz w:val="28"/>
          <w:szCs w:val="28"/>
        </w:rPr>
        <w:t>, здійсню</w:t>
      </w:r>
      <w:r w:rsidR="007D6CAD">
        <w:rPr>
          <w:sz w:val="28"/>
          <w:szCs w:val="28"/>
        </w:rPr>
        <w:t>ють</w:t>
      </w:r>
      <w:r w:rsidRPr="008050C7">
        <w:rPr>
          <w:sz w:val="28"/>
          <w:szCs w:val="28"/>
        </w:rPr>
        <w:t xml:space="preserve"> розрахунки обсягів нормативних та виробничо-технологічних втрат/витрат природного газу згідно з цією Методикою без урахування обсягів втрат/витрат природного газу в газорозподільній системі, яка частково або повністю знаходиться на тимчасово окупованій території України або території ведення активних бойових дій.</w:t>
      </w:r>
      <w:bookmarkStart w:id="3" w:name="_Hlk185853483"/>
    </w:p>
    <w:p w14:paraId="09A17F3C" w14:textId="31F87B62" w:rsidR="00066B78" w:rsidRDefault="00066B78" w:rsidP="000F4885">
      <w:pPr>
        <w:pStyle w:val="rvps2"/>
        <w:tabs>
          <w:tab w:val="left" w:pos="426"/>
        </w:tabs>
        <w:spacing w:before="24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7.</w:t>
      </w:r>
      <w:r w:rsidRPr="008050C7">
        <w:rPr>
          <w:sz w:val="28"/>
          <w:szCs w:val="28"/>
        </w:rPr>
        <w:t xml:space="preserve">2. Розмір нормативних та виробничо-технологічних втрат/витрат природного газу </w:t>
      </w:r>
      <w:bookmarkEnd w:id="3"/>
      <w:r w:rsidRPr="008050C7">
        <w:rPr>
          <w:sz w:val="28"/>
          <w:szCs w:val="28"/>
        </w:rPr>
        <w:t xml:space="preserve">на наступний планований період для Операторів ГРМ, визначених у пункті </w:t>
      </w:r>
      <w:r w:rsidR="007369B0" w:rsidRPr="007369B0">
        <w:rPr>
          <w:sz w:val="28"/>
          <w:szCs w:val="28"/>
        </w:rPr>
        <w:t xml:space="preserve">7.1 </w:t>
      </w:r>
      <w:r w:rsidRPr="008050C7">
        <w:rPr>
          <w:sz w:val="28"/>
          <w:szCs w:val="28"/>
        </w:rPr>
        <w:t xml:space="preserve">цієї глави, встановлюється </w:t>
      </w:r>
      <w:bookmarkStart w:id="4" w:name="_Hlk185853509"/>
      <w:r w:rsidRPr="008050C7">
        <w:rPr>
          <w:sz w:val="28"/>
          <w:szCs w:val="28"/>
        </w:rPr>
        <w:t>на рівні розрахунку</w:t>
      </w:r>
      <w:r w:rsidR="00ED1FAB">
        <w:rPr>
          <w:sz w:val="28"/>
          <w:szCs w:val="28"/>
        </w:rPr>
        <w:t>,</w:t>
      </w:r>
      <w:r w:rsidRPr="008050C7">
        <w:rPr>
          <w:sz w:val="28"/>
          <w:szCs w:val="28"/>
        </w:rPr>
        <w:t xml:space="preserve"> поданого відповідним Оператором ГРМ</w:t>
      </w:r>
      <w:r w:rsidR="00ED1FAB">
        <w:rPr>
          <w:sz w:val="28"/>
          <w:szCs w:val="28"/>
        </w:rPr>
        <w:t>,</w:t>
      </w:r>
      <w:r w:rsidRPr="008050C7">
        <w:rPr>
          <w:sz w:val="28"/>
          <w:szCs w:val="28"/>
        </w:rPr>
        <w:t xml:space="preserve"> </w:t>
      </w:r>
      <w:bookmarkEnd w:id="4"/>
      <w:r w:rsidRPr="008050C7">
        <w:rPr>
          <w:sz w:val="28"/>
          <w:szCs w:val="28"/>
        </w:rPr>
        <w:t xml:space="preserve">за умови відповідності наданих розрахунків вимогам Методики та </w:t>
      </w:r>
      <w:bookmarkStart w:id="5" w:name="_Hlk183100017"/>
      <w:r w:rsidRPr="008050C7">
        <w:rPr>
          <w:sz w:val="28"/>
          <w:szCs w:val="28"/>
        </w:rPr>
        <w:t xml:space="preserve">пункту </w:t>
      </w:r>
      <w:r w:rsidR="007369B0">
        <w:rPr>
          <w:sz w:val="28"/>
          <w:szCs w:val="28"/>
        </w:rPr>
        <w:t>7.</w:t>
      </w:r>
      <w:r w:rsidRPr="008050C7">
        <w:rPr>
          <w:sz w:val="28"/>
          <w:szCs w:val="28"/>
        </w:rPr>
        <w:t xml:space="preserve">1 цієї </w:t>
      </w:r>
      <w:bookmarkEnd w:id="5"/>
      <w:r w:rsidRPr="008050C7">
        <w:rPr>
          <w:sz w:val="28"/>
          <w:szCs w:val="28"/>
        </w:rPr>
        <w:t>глави.</w:t>
      </w:r>
      <w:bookmarkStart w:id="6" w:name="_Hlk187939852"/>
    </w:p>
    <w:p w14:paraId="24A23645" w14:textId="38A157BD" w:rsidR="00287C20" w:rsidRPr="002E2C2B" w:rsidRDefault="00723C8A" w:rsidP="00287C20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E2C2B">
        <w:rPr>
          <w:sz w:val="28"/>
          <w:szCs w:val="28"/>
        </w:rPr>
        <w:t xml:space="preserve">Цей пункт </w:t>
      </w:r>
      <w:r w:rsidR="00FE6A8F" w:rsidRPr="002E2C2B">
        <w:rPr>
          <w:sz w:val="28"/>
          <w:szCs w:val="28"/>
        </w:rPr>
        <w:t>не застосовується до</w:t>
      </w:r>
      <w:r w:rsidRPr="002E2C2B">
        <w:rPr>
          <w:sz w:val="28"/>
          <w:szCs w:val="28"/>
        </w:rPr>
        <w:t xml:space="preserve"> місц</w:t>
      </w:r>
      <w:r w:rsidR="00FE6A8F" w:rsidRPr="002E2C2B">
        <w:rPr>
          <w:sz w:val="28"/>
          <w:szCs w:val="28"/>
        </w:rPr>
        <w:t>ь</w:t>
      </w:r>
      <w:r w:rsidRPr="002E2C2B">
        <w:rPr>
          <w:sz w:val="28"/>
          <w:szCs w:val="28"/>
        </w:rPr>
        <w:t xml:space="preserve"> провадження господарської діяльності Оператора ГРМ, на які встановлені тарифи на послуги розподілу природного газу, крім зазначених </w:t>
      </w:r>
      <w:r w:rsidR="002C39E8">
        <w:rPr>
          <w:sz w:val="28"/>
          <w:szCs w:val="28"/>
        </w:rPr>
        <w:t>у</w:t>
      </w:r>
      <w:r w:rsidR="002C39E8" w:rsidRPr="002E2C2B">
        <w:rPr>
          <w:sz w:val="28"/>
          <w:szCs w:val="28"/>
        </w:rPr>
        <w:t xml:space="preserve"> </w:t>
      </w:r>
      <w:r w:rsidRPr="002E2C2B">
        <w:rPr>
          <w:sz w:val="28"/>
          <w:szCs w:val="28"/>
        </w:rPr>
        <w:t>пункті 7.1</w:t>
      </w:r>
      <w:r w:rsidR="00FE6A8F" w:rsidRPr="002E2C2B">
        <w:rPr>
          <w:sz w:val="28"/>
          <w:szCs w:val="28"/>
        </w:rPr>
        <w:t xml:space="preserve"> цієї глави.</w:t>
      </w:r>
    </w:p>
    <w:p w14:paraId="482DFFB3" w14:textId="77777777" w:rsidR="00E64679" w:rsidRPr="008050C7" w:rsidRDefault="00E64679" w:rsidP="00E64679">
      <w:pPr>
        <w:pStyle w:val="rvps2"/>
        <w:tabs>
          <w:tab w:val="left" w:pos="426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6A7D72BB" w14:textId="52491DBF" w:rsidR="007A7D4B" w:rsidRPr="008050C7" w:rsidRDefault="00066B78" w:rsidP="000F4885">
      <w:pPr>
        <w:pStyle w:val="rvps2"/>
        <w:tabs>
          <w:tab w:val="left" w:pos="426"/>
        </w:tabs>
        <w:spacing w:before="24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Pr="008050C7">
        <w:rPr>
          <w:sz w:val="28"/>
          <w:szCs w:val="28"/>
        </w:rPr>
        <w:t xml:space="preserve">3. НКРЕКП не встановлює розмір нормативних та виробничо-технологічних втрат/витрат природного газу на наступний планований період у разі невідповідності наданих розрахунків вимогам Методики та/або пункту </w:t>
      </w:r>
      <w:r w:rsidR="007369B0">
        <w:rPr>
          <w:sz w:val="28"/>
          <w:szCs w:val="28"/>
        </w:rPr>
        <w:t>7.</w:t>
      </w:r>
      <w:r w:rsidRPr="008050C7">
        <w:rPr>
          <w:sz w:val="28"/>
          <w:szCs w:val="28"/>
        </w:rPr>
        <w:t xml:space="preserve">1 цієї глави або ненадання Операторами ГРМ, визначеними у пункті </w:t>
      </w:r>
      <w:r w:rsidR="00D41BA5">
        <w:rPr>
          <w:sz w:val="28"/>
          <w:szCs w:val="28"/>
        </w:rPr>
        <w:t>7.</w:t>
      </w:r>
      <w:r w:rsidRPr="008050C7">
        <w:rPr>
          <w:sz w:val="28"/>
          <w:szCs w:val="28"/>
        </w:rPr>
        <w:t xml:space="preserve">1 цієї глави, розрахунків нормативних </w:t>
      </w:r>
      <w:r w:rsidRPr="007A2081">
        <w:rPr>
          <w:sz w:val="28"/>
          <w:szCs w:val="28"/>
        </w:rPr>
        <w:t>та виробничо-технологічних</w:t>
      </w:r>
      <w:r w:rsidRPr="008050C7">
        <w:rPr>
          <w:sz w:val="28"/>
          <w:szCs w:val="28"/>
        </w:rPr>
        <w:t xml:space="preserve"> втрат/витрат природного газу на планований період. </w:t>
      </w:r>
      <w:r w:rsidR="002E2C2B">
        <w:rPr>
          <w:sz w:val="28"/>
          <w:szCs w:val="28"/>
        </w:rPr>
        <w:t>У такому випадку</w:t>
      </w:r>
      <w:r w:rsidRPr="008050C7">
        <w:rPr>
          <w:sz w:val="28"/>
          <w:szCs w:val="28"/>
        </w:rPr>
        <w:t xml:space="preserve"> пункт 6.9 </w:t>
      </w:r>
      <w:r w:rsidR="007646D6">
        <w:rPr>
          <w:sz w:val="28"/>
          <w:szCs w:val="28"/>
        </w:rPr>
        <w:t xml:space="preserve">глави </w:t>
      </w:r>
      <w:r w:rsidR="003668DE">
        <w:rPr>
          <w:sz w:val="28"/>
          <w:szCs w:val="28"/>
        </w:rPr>
        <w:t xml:space="preserve">6 цієї </w:t>
      </w:r>
      <w:r w:rsidR="003668DE" w:rsidRPr="003668DE">
        <w:rPr>
          <w:sz w:val="28"/>
          <w:szCs w:val="28"/>
        </w:rPr>
        <w:t xml:space="preserve">Методики </w:t>
      </w:r>
      <w:r w:rsidRPr="008050C7">
        <w:rPr>
          <w:sz w:val="28"/>
          <w:szCs w:val="28"/>
        </w:rPr>
        <w:t>не застосовується.</w:t>
      </w:r>
      <w:bookmarkEnd w:id="6"/>
      <w:r w:rsidR="00F0731F" w:rsidRPr="008050C7">
        <w:rPr>
          <w:sz w:val="28"/>
          <w:szCs w:val="28"/>
        </w:rPr>
        <w:t>».</w:t>
      </w:r>
      <w:r w:rsidR="005A19B3" w:rsidRPr="007A2081">
        <w:rPr>
          <w:sz w:val="28"/>
          <w:szCs w:val="28"/>
        </w:rPr>
        <w:t xml:space="preserve"> </w:t>
      </w:r>
    </w:p>
    <w:p w14:paraId="186C28A2" w14:textId="383C08F7" w:rsidR="00E047F0" w:rsidRPr="007A2081" w:rsidRDefault="003C5BB8" w:rsidP="00E047F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7A2081">
        <w:rPr>
          <w:sz w:val="28"/>
        </w:rPr>
        <w:t xml:space="preserve"> </w:t>
      </w:r>
    </w:p>
    <w:p w14:paraId="34C23DD6" w14:textId="77777777" w:rsidR="0073372F" w:rsidRPr="007A2081" w:rsidRDefault="0073372F" w:rsidP="0019322C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14:paraId="1D552583" w14:textId="77777777" w:rsidR="002D16B0" w:rsidRDefault="002D16B0" w:rsidP="002D16B0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Директор Департаменту</w:t>
      </w:r>
    </w:p>
    <w:p w14:paraId="668CD460" w14:textId="77777777" w:rsidR="002D16B0" w:rsidRDefault="002D16B0" w:rsidP="002D16B0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із регулювання відносин</w:t>
      </w:r>
    </w:p>
    <w:p w14:paraId="43BC5325" w14:textId="77777777" w:rsidR="002D16B0" w:rsidRDefault="002D16B0" w:rsidP="002D16B0">
      <w:pPr>
        <w:pStyle w:val="2"/>
        <w:spacing w:before="0" w:beforeAutospacing="0" w:after="0" w:afterAutospacing="0"/>
        <w:jc w:val="both"/>
        <w:rPr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у нафтогазовій сфері </w:t>
      </w:r>
      <w:r>
        <w:rPr>
          <w:b w:val="0"/>
          <w:bCs w:val="0"/>
          <w:sz w:val="28"/>
          <w:szCs w:val="28"/>
          <w:lang w:val="uk-UA"/>
        </w:rPr>
        <w:tab/>
      </w:r>
      <w:r>
        <w:rPr>
          <w:b w:val="0"/>
          <w:bCs w:val="0"/>
          <w:sz w:val="28"/>
          <w:szCs w:val="28"/>
          <w:lang w:val="uk-UA"/>
        </w:rPr>
        <w:tab/>
      </w:r>
      <w:r>
        <w:rPr>
          <w:b w:val="0"/>
          <w:bCs w:val="0"/>
          <w:sz w:val="28"/>
          <w:szCs w:val="28"/>
          <w:lang w:val="uk-UA"/>
        </w:rPr>
        <w:tab/>
      </w:r>
      <w:r>
        <w:rPr>
          <w:b w:val="0"/>
          <w:bCs w:val="0"/>
          <w:sz w:val="28"/>
          <w:szCs w:val="28"/>
          <w:lang w:val="uk-UA"/>
        </w:rPr>
        <w:tab/>
        <w:t xml:space="preserve">               Олександр КОСЯНЧУК</w:t>
      </w:r>
    </w:p>
    <w:p w14:paraId="7DE87924" w14:textId="3FF461B5" w:rsidR="007B1EA2" w:rsidRPr="007A2081" w:rsidRDefault="007B1EA2" w:rsidP="002D16B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sectPr w:rsidR="007B1EA2" w:rsidRPr="007A2081" w:rsidSect="00C26E75">
      <w:headerReference w:type="default" r:id="rId8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86BB9" w14:textId="77777777" w:rsidR="00DF7148" w:rsidRDefault="00DF7148" w:rsidP="0054017F">
      <w:r>
        <w:separator/>
      </w:r>
    </w:p>
  </w:endnote>
  <w:endnote w:type="continuationSeparator" w:id="0">
    <w:p w14:paraId="05029F7E" w14:textId="77777777" w:rsidR="00DF7148" w:rsidRDefault="00DF7148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7FE05" w14:textId="77777777" w:rsidR="00DF7148" w:rsidRDefault="00DF7148" w:rsidP="0054017F">
      <w:r>
        <w:separator/>
      </w:r>
    </w:p>
  </w:footnote>
  <w:footnote w:type="continuationSeparator" w:id="0">
    <w:p w14:paraId="0095F654" w14:textId="77777777" w:rsidR="00DF7148" w:rsidRDefault="00DF7148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C475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14:paraId="4C86BCEE" w14:textId="77777777" w:rsidR="009A7826" w:rsidRDefault="009A78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43E9D"/>
    <w:multiLevelType w:val="hybridMultilevel"/>
    <w:tmpl w:val="D95089B6"/>
    <w:lvl w:ilvl="0" w:tplc="7278D9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5753A"/>
    <w:multiLevelType w:val="hybridMultilevel"/>
    <w:tmpl w:val="AD481CFC"/>
    <w:lvl w:ilvl="0" w:tplc="206AED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5D53B8"/>
    <w:multiLevelType w:val="hybridMultilevel"/>
    <w:tmpl w:val="5064869E"/>
    <w:lvl w:ilvl="0" w:tplc="5E0C66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721281"/>
    <w:multiLevelType w:val="hybridMultilevel"/>
    <w:tmpl w:val="29CCEEF2"/>
    <w:lvl w:ilvl="0" w:tplc="12F2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385FA3"/>
    <w:multiLevelType w:val="multilevel"/>
    <w:tmpl w:val="065C6D9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5" w15:restartNumberingAfterBreak="0">
    <w:nsid w:val="522A66AC"/>
    <w:multiLevelType w:val="hybridMultilevel"/>
    <w:tmpl w:val="2ED04BE6"/>
    <w:lvl w:ilvl="0" w:tplc="42C631C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7D476A2"/>
    <w:multiLevelType w:val="hybridMultilevel"/>
    <w:tmpl w:val="24B8FA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506E9"/>
    <w:multiLevelType w:val="hybridMultilevel"/>
    <w:tmpl w:val="D8A01B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50B28"/>
    <w:multiLevelType w:val="hybridMultilevel"/>
    <w:tmpl w:val="EDF20B64"/>
    <w:lvl w:ilvl="0" w:tplc="829E88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7F"/>
    <w:rsid w:val="00000F2C"/>
    <w:rsid w:val="00004E9F"/>
    <w:rsid w:val="000119E2"/>
    <w:rsid w:val="000200F6"/>
    <w:rsid w:val="00024348"/>
    <w:rsid w:val="00042617"/>
    <w:rsid w:val="000450D1"/>
    <w:rsid w:val="0004726F"/>
    <w:rsid w:val="00061B9C"/>
    <w:rsid w:val="00066B78"/>
    <w:rsid w:val="00075527"/>
    <w:rsid w:val="00077826"/>
    <w:rsid w:val="00080CA5"/>
    <w:rsid w:val="00082617"/>
    <w:rsid w:val="000842F2"/>
    <w:rsid w:val="00092726"/>
    <w:rsid w:val="000A026C"/>
    <w:rsid w:val="000B6C4A"/>
    <w:rsid w:val="000B7B56"/>
    <w:rsid w:val="000C64B3"/>
    <w:rsid w:val="000D7A53"/>
    <w:rsid w:val="000E2449"/>
    <w:rsid w:val="000E6327"/>
    <w:rsid w:val="000E681C"/>
    <w:rsid w:val="000F073B"/>
    <w:rsid w:val="000F18FB"/>
    <w:rsid w:val="000F1ECE"/>
    <w:rsid w:val="000F4885"/>
    <w:rsid w:val="00100B99"/>
    <w:rsid w:val="00112322"/>
    <w:rsid w:val="0012111C"/>
    <w:rsid w:val="00133F75"/>
    <w:rsid w:val="00134604"/>
    <w:rsid w:val="00140342"/>
    <w:rsid w:val="001453B4"/>
    <w:rsid w:val="00151B09"/>
    <w:rsid w:val="00163C02"/>
    <w:rsid w:val="00163DB5"/>
    <w:rsid w:val="0016498C"/>
    <w:rsid w:val="001724EC"/>
    <w:rsid w:val="001732CD"/>
    <w:rsid w:val="0018380D"/>
    <w:rsid w:val="0018531D"/>
    <w:rsid w:val="00191E45"/>
    <w:rsid w:val="0019322C"/>
    <w:rsid w:val="00194874"/>
    <w:rsid w:val="00194AE1"/>
    <w:rsid w:val="001A0421"/>
    <w:rsid w:val="001A626B"/>
    <w:rsid w:val="001B36F8"/>
    <w:rsid w:val="001B3F3F"/>
    <w:rsid w:val="001C3806"/>
    <w:rsid w:val="001D6FC5"/>
    <w:rsid w:val="001E142F"/>
    <w:rsid w:val="001E1C4B"/>
    <w:rsid w:val="001E45A7"/>
    <w:rsid w:val="001E50EB"/>
    <w:rsid w:val="001F00BD"/>
    <w:rsid w:val="001F1AE9"/>
    <w:rsid w:val="001F1E2C"/>
    <w:rsid w:val="001F7DCD"/>
    <w:rsid w:val="002015C7"/>
    <w:rsid w:val="002208A9"/>
    <w:rsid w:val="0023494D"/>
    <w:rsid w:val="00234976"/>
    <w:rsid w:val="002440EF"/>
    <w:rsid w:val="0026442D"/>
    <w:rsid w:val="002823A6"/>
    <w:rsid w:val="002841ED"/>
    <w:rsid w:val="00286511"/>
    <w:rsid w:val="00287C20"/>
    <w:rsid w:val="002A78E2"/>
    <w:rsid w:val="002B6701"/>
    <w:rsid w:val="002C39E8"/>
    <w:rsid w:val="002D16B0"/>
    <w:rsid w:val="002D356E"/>
    <w:rsid w:val="002D72E2"/>
    <w:rsid w:val="002E087F"/>
    <w:rsid w:val="002E1096"/>
    <w:rsid w:val="002E2C2B"/>
    <w:rsid w:val="002E713A"/>
    <w:rsid w:val="002F3620"/>
    <w:rsid w:val="002F3D94"/>
    <w:rsid w:val="002F4CFF"/>
    <w:rsid w:val="00305CD0"/>
    <w:rsid w:val="00312685"/>
    <w:rsid w:val="003205CB"/>
    <w:rsid w:val="00323A4C"/>
    <w:rsid w:val="003269AF"/>
    <w:rsid w:val="00354720"/>
    <w:rsid w:val="00355BF2"/>
    <w:rsid w:val="0036163D"/>
    <w:rsid w:val="00364C0D"/>
    <w:rsid w:val="003668DE"/>
    <w:rsid w:val="00377C85"/>
    <w:rsid w:val="00393C74"/>
    <w:rsid w:val="003A3996"/>
    <w:rsid w:val="003A3EEC"/>
    <w:rsid w:val="003A3FE3"/>
    <w:rsid w:val="003A4470"/>
    <w:rsid w:val="003A4A0C"/>
    <w:rsid w:val="003C5BB8"/>
    <w:rsid w:val="003D355F"/>
    <w:rsid w:val="003E32B4"/>
    <w:rsid w:val="003F594B"/>
    <w:rsid w:val="003F77E7"/>
    <w:rsid w:val="00404124"/>
    <w:rsid w:val="00425803"/>
    <w:rsid w:val="00430C7E"/>
    <w:rsid w:val="00431111"/>
    <w:rsid w:val="004328BE"/>
    <w:rsid w:val="004403B2"/>
    <w:rsid w:val="004420A5"/>
    <w:rsid w:val="00453D7A"/>
    <w:rsid w:val="004542C6"/>
    <w:rsid w:val="00456DDA"/>
    <w:rsid w:val="00463F01"/>
    <w:rsid w:val="00464750"/>
    <w:rsid w:val="00466D7D"/>
    <w:rsid w:val="00477F2A"/>
    <w:rsid w:val="00493EA9"/>
    <w:rsid w:val="004A3F0F"/>
    <w:rsid w:val="004B122F"/>
    <w:rsid w:val="004C274C"/>
    <w:rsid w:val="004D367B"/>
    <w:rsid w:val="004D7596"/>
    <w:rsid w:val="004F197C"/>
    <w:rsid w:val="004F5708"/>
    <w:rsid w:val="004F7C5F"/>
    <w:rsid w:val="00506360"/>
    <w:rsid w:val="005079F6"/>
    <w:rsid w:val="0052283B"/>
    <w:rsid w:val="00523594"/>
    <w:rsid w:val="0052512D"/>
    <w:rsid w:val="0054017F"/>
    <w:rsid w:val="00542359"/>
    <w:rsid w:val="00550C29"/>
    <w:rsid w:val="005520D0"/>
    <w:rsid w:val="0056099F"/>
    <w:rsid w:val="00566EFE"/>
    <w:rsid w:val="00572673"/>
    <w:rsid w:val="00577955"/>
    <w:rsid w:val="0058182F"/>
    <w:rsid w:val="005849B2"/>
    <w:rsid w:val="00584C26"/>
    <w:rsid w:val="00586815"/>
    <w:rsid w:val="00596EA3"/>
    <w:rsid w:val="005A19B3"/>
    <w:rsid w:val="005A5997"/>
    <w:rsid w:val="005A7400"/>
    <w:rsid w:val="005B2324"/>
    <w:rsid w:val="005B6E4A"/>
    <w:rsid w:val="005C0FC3"/>
    <w:rsid w:val="005C1783"/>
    <w:rsid w:val="005E27E4"/>
    <w:rsid w:val="005E2C35"/>
    <w:rsid w:val="005F5B6E"/>
    <w:rsid w:val="005F63AA"/>
    <w:rsid w:val="00601709"/>
    <w:rsid w:val="00604329"/>
    <w:rsid w:val="00605E16"/>
    <w:rsid w:val="0061071F"/>
    <w:rsid w:val="00610C93"/>
    <w:rsid w:val="00613203"/>
    <w:rsid w:val="0062230D"/>
    <w:rsid w:val="006229B1"/>
    <w:rsid w:val="00625D00"/>
    <w:rsid w:val="00633731"/>
    <w:rsid w:val="0065372C"/>
    <w:rsid w:val="006539FF"/>
    <w:rsid w:val="00660AE0"/>
    <w:rsid w:val="0067058A"/>
    <w:rsid w:val="00672800"/>
    <w:rsid w:val="00675C82"/>
    <w:rsid w:val="0069543A"/>
    <w:rsid w:val="006A55E2"/>
    <w:rsid w:val="006B08CF"/>
    <w:rsid w:val="006B6DF3"/>
    <w:rsid w:val="006C63E9"/>
    <w:rsid w:val="006D2834"/>
    <w:rsid w:val="006E0A53"/>
    <w:rsid w:val="006E2292"/>
    <w:rsid w:val="006E4097"/>
    <w:rsid w:val="006E62E5"/>
    <w:rsid w:val="006F1311"/>
    <w:rsid w:val="006F513E"/>
    <w:rsid w:val="0071628C"/>
    <w:rsid w:val="00717BBB"/>
    <w:rsid w:val="00717F05"/>
    <w:rsid w:val="00723C8A"/>
    <w:rsid w:val="00726915"/>
    <w:rsid w:val="007272D2"/>
    <w:rsid w:val="00731B3A"/>
    <w:rsid w:val="0073372F"/>
    <w:rsid w:val="007369B0"/>
    <w:rsid w:val="0076049F"/>
    <w:rsid w:val="00761FFF"/>
    <w:rsid w:val="007646D6"/>
    <w:rsid w:val="00767055"/>
    <w:rsid w:val="00774A27"/>
    <w:rsid w:val="00774B00"/>
    <w:rsid w:val="00776022"/>
    <w:rsid w:val="007811F0"/>
    <w:rsid w:val="00784A38"/>
    <w:rsid w:val="00786257"/>
    <w:rsid w:val="00790BD7"/>
    <w:rsid w:val="00791ECF"/>
    <w:rsid w:val="007A2081"/>
    <w:rsid w:val="007A261C"/>
    <w:rsid w:val="007A6E06"/>
    <w:rsid w:val="007A7D4B"/>
    <w:rsid w:val="007B1374"/>
    <w:rsid w:val="007B1EA2"/>
    <w:rsid w:val="007B1FA5"/>
    <w:rsid w:val="007C2894"/>
    <w:rsid w:val="007D6CAD"/>
    <w:rsid w:val="007D7864"/>
    <w:rsid w:val="007E6335"/>
    <w:rsid w:val="007F0975"/>
    <w:rsid w:val="007F1107"/>
    <w:rsid w:val="007F1BF6"/>
    <w:rsid w:val="007F470F"/>
    <w:rsid w:val="00801C25"/>
    <w:rsid w:val="00802D11"/>
    <w:rsid w:val="008050C7"/>
    <w:rsid w:val="008315FE"/>
    <w:rsid w:val="008351C4"/>
    <w:rsid w:val="008364AE"/>
    <w:rsid w:val="00836A40"/>
    <w:rsid w:val="00836BE1"/>
    <w:rsid w:val="00842EB9"/>
    <w:rsid w:val="00851865"/>
    <w:rsid w:val="00851FB2"/>
    <w:rsid w:val="008623F8"/>
    <w:rsid w:val="00862F97"/>
    <w:rsid w:val="00867721"/>
    <w:rsid w:val="00873624"/>
    <w:rsid w:val="00874618"/>
    <w:rsid w:val="0087733D"/>
    <w:rsid w:val="008828B8"/>
    <w:rsid w:val="00883864"/>
    <w:rsid w:val="00883A01"/>
    <w:rsid w:val="00885EF6"/>
    <w:rsid w:val="008936C6"/>
    <w:rsid w:val="008A3B43"/>
    <w:rsid w:val="008C1A22"/>
    <w:rsid w:val="008C29FC"/>
    <w:rsid w:val="008C66C5"/>
    <w:rsid w:val="008D1DE4"/>
    <w:rsid w:val="008D3506"/>
    <w:rsid w:val="008D6C25"/>
    <w:rsid w:val="008E02E7"/>
    <w:rsid w:val="008F0C7C"/>
    <w:rsid w:val="00902F5D"/>
    <w:rsid w:val="00905664"/>
    <w:rsid w:val="00913816"/>
    <w:rsid w:val="00914595"/>
    <w:rsid w:val="00925E1F"/>
    <w:rsid w:val="00933E96"/>
    <w:rsid w:val="00934BEA"/>
    <w:rsid w:val="00936934"/>
    <w:rsid w:val="0095163C"/>
    <w:rsid w:val="0095793C"/>
    <w:rsid w:val="009662C4"/>
    <w:rsid w:val="00976002"/>
    <w:rsid w:val="00984614"/>
    <w:rsid w:val="00984E82"/>
    <w:rsid w:val="00990B19"/>
    <w:rsid w:val="009A210C"/>
    <w:rsid w:val="009A46F7"/>
    <w:rsid w:val="009A7826"/>
    <w:rsid w:val="009C4770"/>
    <w:rsid w:val="009C5B9B"/>
    <w:rsid w:val="009D03D3"/>
    <w:rsid w:val="009D1A40"/>
    <w:rsid w:val="009D4687"/>
    <w:rsid w:val="00A033CC"/>
    <w:rsid w:val="00A063DC"/>
    <w:rsid w:val="00A110F7"/>
    <w:rsid w:val="00A1283E"/>
    <w:rsid w:val="00A15FE5"/>
    <w:rsid w:val="00A1790E"/>
    <w:rsid w:val="00A23998"/>
    <w:rsid w:val="00A3598A"/>
    <w:rsid w:val="00A37DC6"/>
    <w:rsid w:val="00A52D62"/>
    <w:rsid w:val="00A57643"/>
    <w:rsid w:val="00A74819"/>
    <w:rsid w:val="00A8183D"/>
    <w:rsid w:val="00A8627D"/>
    <w:rsid w:val="00A8772F"/>
    <w:rsid w:val="00A93048"/>
    <w:rsid w:val="00A948D9"/>
    <w:rsid w:val="00A96306"/>
    <w:rsid w:val="00AA1E95"/>
    <w:rsid w:val="00AA298B"/>
    <w:rsid w:val="00AA52E6"/>
    <w:rsid w:val="00AA5D11"/>
    <w:rsid w:val="00AD6879"/>
    <w:rsid w:val="00AD7D83"/>
    <w:rsid w:val="00AE69E0"/>
    <w:rsid w:val="00AF4B68"/>
    <w:rsid w:val="00AF511A"/>
    <w:rsid w:val="00AF5A62"/>
    <w:rsid w:val="00B01050"/>
    <w:rsid w:val="00B01C9C"/>
    <w:rsid w:val="00B023FB"/>
    <w:rsid w:val="00B12C70"/>
    <w:rsid w:val="00B25FC4"/>
    <w:rsid w:val="00B2635A"/>
    <w:rsid w:val="00B27C65"/>
    <w:rsid w:val="00B5337F"/>
    <w:rsid w:val="00B570CC"/>
    <w:rsid w:val="00B67466"/>
    <w:rsid w:val="00B7172D"/>
    <w:rsid w:val="00B73694"/>
    <w:rsid w:val="00B73DE4"/>
    <w:rsid w:val="00B84328"/>
    <w:rsid w:val="00B8543C"/>
    <w:rsid w:val="00B860E1"/>
    <w:rsid w:val="00BB19DE"/>
    <w:rsid w:val="00BD7BA7"/>
    <w:rsid w:val="00BE4B78"/>
    <w:rsid w:val="00BE5691"/>
    <w:rsid w:val="00BE67DA"/>
    <w:rsid w:val="00BF2850"/>
    <w:rsid w:val="00BF46D7"/>
    <w:rsid w:val="00BF4874"/>
    <w:rsid w:val="00C114E0"/>
    <w:rsid w:val="00C149B6"/>
    <w:rsid w:val="00C14D6E"/>
    <w:rsid w:val="00C15D4A"/>
    <w:rsid w:val="00C1716D"/>
    <w:rsid w:val="00C176A8"/>
    <w:rsid w:val="00C209D8"/>
    <w:rsid w:val="00C26E75"/>
    <w:rsid w:val="00C30375"/>
    <w:rsid w:val="00C30B60"/>
    <w:rsid w:val="00C32E80"/>
    <w:rsid w:val="00C34A20"/>
    <w:rsid w:val="00C35390"/>
    <w:rsid w:val="00C41A2D"/>
    <w:rsid w:val="00C45BB5"/>
    <w:rsid w:val="00C56908"/>
    <w:rsid w:val="00C57BF6"/>
    <w:rsid w:val="00C63E83"/>
    <w:rsid w:val="00C70350"/>
    <w:rsid w:val="00C73045"/>
    <w:rsid w:val="00C73D6A"/>
    <w:rsid w:val="00CA1A74"/>
    <w:rsid w:val="00CC1D66"/>
    <w:rsid w:val="00CC655E"/>
    <w:rsid w:val="00CC69C0"/>
    <w:rsid w:val="00CC6AAF"/>
    <w:rsid w:val="00CD0343"/>
    <w:rsid w:val="00CD108D"/>
    <w:rsid w:val="00CD24DF"/>
    <w:rsid w:val="00CE583C"/>
    <w:rsid w:val="00CE5D7A"/>
    <w:rsid w:val="00CE6C07"/>
    <w:rsid w:val="00CE7709"/>
    <w:rsid w:val="00CF120F"/>
    <w:rsid w:val="00CF3B47"/>
    <w:rsid w:val="00D129EE"/>
    <w:rsid w:val="00D21AC8"/>
    <w:rsid w:val="00D409A0"/>
    <w:rsid w:val="00D41BA5"/>
    <w:rsid w:val="00D571B3"/>
    <w:rsid w:val="00D74868"/>
    <w:rsid w:val="00D772ED"/>
    <w:rsid w:val="00D80327"/>
    <w:rsid w:val="00D83B7E"/>
    <w:rsid w:val="00D90D00"/>
    <w:rsid w:val="00D96BE2"/>
    <w:rsid w:val="00DA5048"/>
    <w:rsid w:val="00DA5155"/>
    <w:rsid w:val="00DA5E24"/>
    <w:rsid w:val="00DA6115"/>
    <w:rsid w:val="00DB0F00"/>
    <w:rsid w:val="00DB2629"/>
    <w:rsid w:val="00DB761B"/>
    <w:rsid w:val="00DC0353"/>
    <w:rsid w:val="00DC0403"/>
    <w:rsid w:val="00DC48A7"/>
    <w:rsid w:val="00DC7E09"/>
    <w:rsid w:val="00DD0529"/>
    <w:rsid w:val="00DD4AE3"/>
    <w:rsid w:val="00DE27AC"/>
    <w:rsid w:val="00DE7E43"/>
    <w:rsid w:val="00DF7148"/>
    <w:rsid w:val="00E047F0"/>
    <w:rsid w:val="00E067B6"/>
    <w:rsid w:val="00E11E3A"/>
    <w:rsid w:val="00E14700"/>
    <w:rsid w:val="00E15B8C"/>
    <w:rsid w:val="00E20771"/>
    <w:rsid w:val="00E232D2"/>
    <w:rsid w:val="00E31CDD"/>
    <w:rsid w:val="00E3550E"/>
    <w:rsid w:val="00E44822"/>
    <w:rsid w:val="00E47982"/>
    <w:rsid w:val="00E55BB8"/>
    <w:rsid w:val="00E5716D"/>
    <w:rsid w:val="00E62338"/>
    <w:rsid w:val="00E63868"/>
    <w:rsid w:val="00E64679"/>
    <w:rsid w:val="00E654E9"/>
    <w:rsid w:val="00E66CFE"/>
    <w:rsid w:val="00E71368"/>
    <w:rsid w:val="00E77B19"/>
    <w:rsid w:val="00E8452C"/>
    <w:rsid w:val="00E8514A"/>
    <w:rsid w:val="00E91848"/>
    <w:rsid w:val="00E96B05"/>
    <w:rsid w:val="00EA4C2B"/>
    <w:rsid w:val="00EB0DCF"/>
    <w:rsid w:val="00EB5EA4"/>
    <w:rsid w:val="00EB73B9"/>
    <w:rsid w:val="00EB7528"/>
    <w:rsid w:val="00EC2EF1"/>
    <w:rsid w:val="00EC3FBC"/>
    <w:rsid w:val="00EC7C4F"/>
    <w:rsid w:val="00ED1DBD"/>
    <w:rsid w:val="00ED1FAB"/>
    <w:rsid w:val="00ED3FCE"/>
    <w:rsid w:val="00EE7C05"/>
    <w:rsid w:val="00EF0A73"/>
    <w:rsid w:val="00EF3C86"/>
    <w:rsid w:val="00F05176"/>
    <w:rsid w:val="00F0731F"/>
    <w:rsid w:val="00F26A70"/>
    <w:rsid w:val="00F4140E"/>
    <w:rsid w:val="00F71BA7"/>
    <w:rsid w:val="00F727BA"/>
    <w:rsid w:val="00F73006"/>
    <w:rsid w:val="00F82C04"/>
    <w:rsid w:val="00F84861"/>
    <w:rsid w:val="00F86434"/>
    <w:rsid w:val="00F9055E"/>
    <w:rsid w:val="00F9272E"/>
    <w:rsid w:val="00FA7F8C"/>
    <w:rsid w:val="00FB5F86"/>
    <w:rsid w:val="00FB655B"/>
    <w:rsid w:val="00FC5A4B"/>
    <w:rsid w:val="00FD0787"/>
    <w:rsid w:val="00FE6A8F"/>
    <w:rsid w:val="00FF2FB9"/>
    <w:rsid w:val="00FF4208"/>
    <w:rsid w:val="00FF4700"/>
    <w:rsid w:val="00FF5470"/>
    <w:rsid w:val="00FF67CA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624C32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locked="1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paragraph" w:styleId="af">
    <w:name w:val="annotation subject"/>
    <w:basedOn w:val="aa"/>
    <w:next w:val="aa"/>
    <w:link w:val="af0"/>
    <w:rsid w:val="005F63AA"/>
    <w:rPr>
      <w:rFonts w:ascii="Times New Roman" w:hAnsi="Times New Roman"/>
      <w:b/>
      <w:bCs/>
    </w:rPr>
  </w:style>
  <w:style w:type="character" w:customStyle="1" w:styleId="af0">
    <w:name w:val="Тема примітки Знак"/>
    <w:basedOn w:val="ab"/>
    <w:link w:val="af"/>
    <w:rsid w:val="005F63AA"/>
    <w:rPr>
      <w:rFonts w:ascii="Times New Roman" w:eastAsia="Calibri" w:hAnsi="Times New Roman"/>
      <w:b/>
      <w:bCs/>
      <w:lang w:val="ru-RU" w:eastAsia="ru-RU" w:bidi="ar-SA"/>
    </w:rPr>
  </w:style>
  <w:style w:type="character" w:styleId="af1">
    <w:name w:val="Hyperlink"/>
    <w:basedOn w:val="a0"/>
    <w:uiPriority w:val="99"/>
    <w:unhideWhenUsed/>
    <w:rsid w:val="006B08CF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7BBEB-B592-4BD4-906A-E07FCF40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606</Words>
  <Characters>4093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Николай Бодин</cp:lastModifiedBy>
  <cp:revision>6</cp:revision>
  <cp:lastPrinted>2023-09-25T12:31:00Z</cp:lastPrinted>
  <dcterms:created xsi:type="dcterms:W3CDTF">2025-01-22T07:53:00Z</dcterms:created>
  <dcterms:modified xsi:type="dcterms:W3CDTF">2025-01-24T10:11:00Z</dcterms:modified>
</cp:coreProperties>
</file>