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A6D51B" w14:textId="77777777" w:rsidR="00D454A2" w:rsidRPr="002F6E39" w:rsidRDefault="00D454A2" w:rsidP="00D454A2">
      <w:pPr>
        <w:pStyle w:val="1"/>
        <w:spacing w:before="1"/>
        <w:ind w:left="460" w:right="299" w:firstLine="541"/>
        <w:jc w:val="center"/>
      </w:pPr>
      <w:r w:rsidRPr="002F6E39">
        <w:t>АНАЛІЗ ВПЛИВУ</w:t>
      </w:r>
    </w:p>
    <w:p w14:paraId="1E4A697E" w14:textId="41425BA7" w:rsidR="00D454A2" w:rsidRPr="002F6E39" w:rsidRDefault="00D454A2" w:rsidP="00D454A2">
      <w:pPr>
        <w:pStyle w:val="1"/>
        <w:spacing w:before="1"/>
        <w:ind w:left="460" w:right="299" w:firstLine="541"/>
        <w:jc w:val="center"/>
        <w:rPr>
          <w:w w:val="110"/>
        </w:rPr>
      </w:pPr>
      <w:proofErr w:type="spellStart"/>
      <w:r w:rsidRPr="002F6E39">
        <w:t>проєкту</w:t>
      </w:r>
      <w:proofErr w:type="spellEnd"/>
      <w:r w:rsidRPr="002F6E39">
        <w:t xml:space="preserve"> постанови НКРЕКП «</w:t>
      </w:r>
      <w:r w:rsidR="00D750A2" w:rsidRPr="002F6E39">
        <w:rPr>
          <w:rStyle w:val="rvts23"/>
          <w:color w:val="000000"/>
        </w:rPr>
        <w:t>Про затвердження Змін 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w:t>
      </w:r>
      <w:r w:rsidRPr="002F6E39">
        <w:t>», що ма</w:t>
      </w:r>
      <w:r w:rsidR="00FF318B" w:rsidRPr="002F6E39">
        <w:t>є</w:t>
      </w:r>
      <w:r w:rsidRPr="002F6E39">
        <w:t xml:space="preserve"> ознаки регуляторного </w:t>
      </w:r>
      <w:proofErr w:type="spellStart"/>
      <w:r w:rsidRPr="002F6E39">
        <w:rPr>
          <w:w w:val="110"/>
        </w:rPr>
        <w:t>акта</w:t>
      </w:r>
      <w:proofErr w:type="spellEnd"/>
    </w:p>
    <w:p w14:paraId="27BDC3D8" w14:textId="77777777" w:rsidR="00D454A2" w:rsidRPr="002F6E39" w:rsidRDefault="00D454A2" w:rsidP="00D454A2">
      <w:pPr>
        <w:pStyle w:val="a3"/>
        <w:spacing w:before="10"/>
        <w:rPr>
          <w:sz w:val="32"/>
        </w:rPr>
      </w:pPr>
    </w:p>
    <w:p w14:paraId="360EEA5E" w14:textId="77777777" w:rsidR="00D454A2" w:rsidRPr="002F6E39" w:rsidRDefault="00D454A2" w:rsidP="0005234D">
      <w:pPr>
        <w:pStyle w:val="a9"/>
        <w:numPr>
          <w:ilvl w:val="1"/>
          <w:numId w:val="3"/>
        </w:numPr>
        <w:tabs>
          <w:tab w:val="left" w:pos="3726"/>
        </w:tabs>
        <w:ind w:hanging="363"/>
        <w:jc w:val="center"/>
        <w:rPr>
          <w:b/>
        </w:rPr>
      </w:pPr>
      <w:r w:rsidRPr="002F6E39">
        <w:rPr>
          <w:b/>
          <w:sz w:val="28"/>
        </w:rPr>
        <w:t>Визначення проблеми</w:t>
      </w:r>
    </w:p>
    <w:p w14:paraId="7541FB20" w14:textId="77777777" w:rsidR="00D454A2" w:rsidRPr="002F6E39" w:rsidRDefault="00D454A2" w:rsidP="00F46893">
      <w:pPr>
        <w:pStyle w:val="a3"/>
        <w:spacing w:before="6"/>
        <w:ind w:firstLine="709"/>
        <w:jc w:val="both"/>
      </w:pPr>
    </w:p>
    <w:p w14:paraId="5A24E641" w14:textId="1CA7E879" w:rsidR="00D750A2" w:rsidRPr="002F6E39" w:rsidRDefault="00D750A2" w:rsidP="00D750A2">
      <w:pPr>
        <w:ind w:firstLine="851"/>
        <w:jc w:val="both"/>
        <w:rPr>
          <w:sz w:val="28"/>
          <w:szCs w:val="28"/>
        </w:rPr>
      </w:pPr>
      <w:r w:rsidRPr="002F6E39">
        <w:rPr>
          <w:sz w:val="28"/>
          <w:szCs w:val="28"/>
        </w:rPr>
        <w:t>Відповідно до частини першої статті 1 Закону України «Про Національну комісію, що здійснює державне регулювання у сферах енергетики та комунальних послуг» (далі – Закон) Національна комісія, що здійснює державне регулювання у сферах енергетики та комунальних послуг (далі – НКРЕКП, Регулятор)</w:t>
      </w:r>
      <w:r w:rsidR="00D75E93">
        <w:rPr>
          <w:sz w:val="28"/>
          <w:szCs w:val="28"/>
        </w:rPr>
        <w:t>,</w:t>
      </w:r>
      <w:r w:rsidRPr="002F6E39">
        <w:rPr>
          <w:sz w:val="28"/>
          <w:szCs w:val="28"/>
        </w:rPr>
        <w:t xml:space="preserve"> здійснює державне регулювання, моніторинг та контроль за діяльністю суб’єктів господарювання у сферах енергетики та комунальних послуг.</w:t>
      </w:r>
    </w:p>
    <w:p w14:paraId="6F241B0A" w14:textId="77777777" w:rsidR="00D750A2" w:rsidRPr="002F6E39" w:rsidRDefault="00D750A2" w:rsidP="00D750A2">
      <w:pPr>
        <w:ind w:firstLine="851"/>
        <w:jc w:val="both"/>
        <w:rPr>
          <w:sz w:val="28"/>
          <w:szCs w:val="28"/>
        </w:rPr>
      </w:pPr>
      <w:r w:rsidRPr="002F6E39">
        <w:rPr>
          <w:sz w:val="28"/>
          <w:szCs w:val="28"/>
        </w:rPr>
        <w:t>Відповідно до пункту 3 частини першої статті 17 Закону, для ефективного виконання завдань державного регулювання у сферах енергетики та комунальних послуг Регулятор розробляє та затверджує нормативно-правові акти, зокрема порядок (методику) визначення розміру штрафів, які накладаються Регулятором. Такий порядок має враховувати, що при визначенні розміру штрафу беруться до уваги характер, тривалість та серйозність порушення, розмір заподіяної шкоди та розмір потенційного доходу, який міг бути отриманий внаслідок порушення.</w:t>
      </w:r>
    </w:p>
    <w:p w14:paraId="572E33A3" w14:textId="3A55F824" w:rsidR="00D750A2" w:rsidRPr="002F6E39" w:rsidRDefault="00D750A2" w:rsidP="00D750A2">
      <w:pPr>
        <w:ind w:firstLine="851"/>
        <w:jc w:val="both"/>
        <w:rPr>
          <w:sz w:val="28"/>
          <w:szCs w:val="28"/>
        </w:rPr>
      </w:pPr>
      <w:r w:rsidRPr="002F6E39">
        <w:rPr>
          <w:sz w:val="28"/>
          <w:szCs w:val="28"/>
        </w:rPr>
        <w:t>Порядок (методика) визначення розміру штрафів, які накладаються Національною комісією, що здійснює державне регулювання у сферах енергетики та комунальних послуг</w:t>
      </w:r>
      <w:r w:rsidR="008B7958" w:rsidRPr="002F6E39">
        <w:rPr>
          <w:sz w:val="28"/>
          <w:szCs w:val="28"/>
        </w:rPr>
        <w:t>,</w:t>
      </w:r>
      <w:r w:rsidRPr="002F6E39">
        <w:rPr>
          <w:sz w:val="28"/>
          <w:szCs w:val="28"/>
        </w:rPr>
        <w:t xml:space="preserve"> затверджений постановою НКРЕКП від 29.09.2023 № 1800 (далі – Порядок).</w:t>
      </w:r>
    </w:p>
    <w:p w14:paraId="219F713A" w14:textId="128CC5D1" w:rsidR="00641944" w:rsidRPr="002F6E39" w:rsidRDefault="0053168F" w:rsidP="00D750A2">
      <w:pPr>
        <w:ind w:firstLine="851"/>
        <w:jc w:val="both"/>
        <w:rPr>
          <w:sz w:val="28"/>
          <w:szCs w:val="28"/>
        </w:rPr>
      </w:pPr>
      <w:r w:rsidRPr="002F6E39">
        <w:rPr>
          <w:sz w:val="28"/>
          <w:szCs w:val="28"/>
        </w:rPr>
        <w:t xml:space="preserve">З метою уточнення розрахунку суми штрафу, зокрема в частині накладення штрафу за відмову у проведенні перевірки, введення критерію «досвід ліцензіатів НКРЕКП» та уточнення інших положень </w:t>
      </w:r>
      <w:r w:rsidR="00D750A2" w:rsidRPr="002F6E39">
        <w:rPr>
          <w:sz w:val="28"/>
          <w:szCs w:val="28"/>
        </w:rPr>
        <w:t xml:space="preserve">Порядку, Департаментом ліцензійного контролю підготовлено </w:t>
      </w:r>
      <w:proofErr w:type="spellStart"/>
      <w:r w:rsidR="00D750A2" w:rsidRPr="002F6E39">
        <w:rPr>
          <w:sz w:val="28"/>
          <w:szCs w:val="28"/>
        </w:rPr>
        <w:t>проєкт</w:t>
      </w:r>
      <w:proofErr w:type="spellEnd"/>
      <w:r w:rsidR="003E754C" w:rsidRPr="002F6E39">
        <w:rPr>
          <w:sz w:val="28"/>
          <w:szCs w:val="28"/>
        </w:rPr>
        <w:t xml:space="preserve"> постанови «</w:t>
      </w:r>
      <w:r w:rsidR="003E754C" w:rsidRPr="002F6E39">
        <w:rPr>
          <w:rStyle w:val="rvts23"/>
          <w:color w:val="000000"/>
          <w:sz w:val="28"/>
          <w:szCs w:val="28"/>
        </w:rPr>
        <w:t>Про затвердження Змін 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w:t>
      </w:r>
      <w:r w:rsidR="003E754C" w:rsidRPr="002F6E39">
        <w:rPr>
          <w:sz w:val="28"/>
          <w:szCs w:val="28"/>
        </w:rPr>
        <w:t xml:space="preserve"> (далі – Проект постанови)</w:t>
      </w:r>
      <w:r w:rsidR="00F155D4" w:rsidRPr="002F6E39">
        <w:rPr>
          <w:sz w:val="28"/>
          <w:szCs w:val="28"/>
        </w:rPr>
        <w:t>.</w:t>
      </w:r>
    </w:p>
    <w:p w14:paraId="0E2A4DB1" w14:textId="77777777" w:rsidR="00D454A2" w:rsidRPr="002F6E39" w:rsidRDefault="00D454A2" w:rsidP="00E87EED">
      <w:pPr>
        <w:pStyle w:val="a3"/>
        <w:ind w:firstLine="851"/>
      </w:pPr>
      <w:r w:rsidRPr="002F6E39">
        <w:t>Основні групи (підгрупи), на які проблеми справляють вплив:</w:t>
      </w:r>
    </w:p>
    <w:p w14:paraId="07F348CF" w14:textId="77777777" w:rsidR="00D454A2" w:rsidRPr="002F6E39" w:rsidRDefault="00D454A2" w:rsidP="00D454A2">
      <w:pPr>
        <w:pStyle w:val="a3"/>
        <w:spacing w:before="5"/>
        <w:jc w:val="center"/>
        <w:rPr>
          <w:sz w:val="29"/>
        </w:rPr>
      </w:pPr>
    </w:p>
    <w:tbl>
      <w:tblPr>
        <w:tblStyle w:val="TableNormal"/>
        <w:tblW w:w="5000" w:type="pct"/>
        <w:tblBorders>
          <w:top w:val="single" w:sz="6" w:space="0" w:color="1C1C1C"/>
          <w:left w:val="single" w:sz="6" w:space="0" w:color="1C1C1C"/>
          <w:bottom w:val="single" w:sz="6" w:space="0" w:color="1C1C1C"/>
          <w:right w:val="single" w:sz="6" w:space="0" w:color="1C1C1C"/>
          <w:insideH w:val="single" w:sz="6" w:space="0" w:color="1C1C1C"/>
          <w:insideV w:val="single" w:sz="6" w:space="0" w:color="1C1C1C"/>
        </w:tblBorders>
        <w:tblLook w:val="01E0" w:firstRow="1" w:lastRow="1" w:firstColumn="1" w:lastColumn="1" w:noHBand="0" w:noVBand="0"/>
      </w:tblPr>
      <w:tblGrid>
        <w:gridCol w:w="3679"/>
        <w:gridCol w:w="4744"/>
        <w:gridCol w:w="1199"/>
      </w:tblGrid>
      <w:tr w:rsidR="00D454A2" w:rsidRPr="002F6E39" w14:paraId="78662AA5" w14:textId="77777777" w:rsidTr="00E87EED">
        <w:trPr>
          <w:trHeight w:val="20"/>
        </w:trPr>
        <w:tc>
          <w:tcPr>
            <w:tcW w:w="1912" w:type="pct"/>
            <w:vAlign w:val="center"/>
          </w:tcPr>
          <w:p w14:paraId="1B3CE7F2" w14:textId="77777777" w:rsidR="00D454A2" w:rsidRPr="002F6E39" w:rsidRDefault="00D454A2" w:rsidP="00E87EED">
            <w:pPr>
              <w:pStyle w:val="TableParagraph"/>
              <w:ind w:left="948"/>
              <w:rPr>
                <w:b/>
                <w:sz w:val="24"/>
                <w:szCs w:val="24"/>
              </w:rPr>
            </w:pPr>
            <w:r w:rsidRPr="002F6E39">
              <w:rPr>
                <w:b/>
                <w:sz w:val="24"/>
                <w:szCs w:val="24"/>
              </w:rPr>
              <w:t>Групи (підгрупи)</w:t>
            </w:r>
          </w:p>
        </w:tc>
        <w:tc>
          <w:tcPr>
            <w:tcW w:w="2465" w:type="pct"/>
            <w:vAlign w:val="center"/>
          </w:tcPr>
          <w:p w14:paraId="0A9AF1FA" w14:textId="77777777" w:rsidR="00D454A2" w:rsidRPr="002F6E39" w:rsidRDefault="00D454A2" w:rsidP="00E87EED">
            <w:pPr>
              <w:pStyle w:val="TableParagraph"/>
              <w:ind w:left="2088" w:right="2060"/>
              <w:jc w:val="center"/>
              <w:rPr>
                <w:b/>
                <w:sz w:val="24"/>
                <w:szCs w:val="24"/>
              </w:rPr>
            </w:pPr>
            <w:r w:rsidRPr="002F6E39">
              <w:rPr>
                <w:b/>
                <w:sz w:val="24"/>
                <w:szCs w:val="24"/>
              </w:rPr>
              <w:t>Так</w:t>
            </w:r>
          </w:p>
        </w:tc>
        <w:tc>
          <w:tcPr>
            <w:tcW w:w="623" w:type="pct"/>
            <w:vAlign w:val="center"/>
          </w:tcPr>
          <w:p w14:paraId="7541CD19" w14:textId="77777777" w:rsidR="00D454A2" w:rsidRPr="002F6E39" w:rsidRDefault="00D454A2" w:rsidP="00E87EED">
            <w:pPr>
              <w:pStyle w:val="TableParagraph"/>
              <w:ind w:left="176"/>
              <w:jc w:val="center"/>
              <w:rPr>
                <w:b/>
                <w:sz w:val="24"/>
                <w:szCs w:val="24"/>
              </w:rPr>
            </w:pPr>
            <w:proofErr w:type="spellStart"/>
            <w:r w:rsidRPr="002F6E39">
              <w:rPr>
                <w:b/>
                <w:sz w:val="24"/>
                <w:szCs w:val="24"/>
              </w:rPr>
              <w:t>Hi</w:t>
            </w:r>
            <w:proofErr w:type="spellEnd"/>
          </w:p>
        </w:tc>
      </w:tr>
      <w:tr w:rsidR="00D454A2" w:rsidRPr="002F6E39" w14:paraId="4D47553C" w14:textId="77777777" w:rsidTr="00E87EED">
        <w:trPr>
          <w:trHeight w:val="20"/>
        </w:trPr>
        <w:tc>
          <w:tcPr>
            <w:tcW w:w="1912" w:type="pct"/>
            <w:vAlign w:val="center"/>
          </w:tcPr>
          <w:p w14:paraId="027EF1CF" w14:textId="77777777" w:rsidR="00D454A2" w:rsidRPr="002F6E39" w:rsidRDefault="00D454A2" w:rsidP="00E87EED">
            <w:pPr>
              <w:pStyle w:val="TableParagraph"/>
              <w:rPr>
                <w:sz w:val="24"/>
                <w:szCs w:val="24"/>
              </w:rPr>
            </w:pPr>
            <w:r w:rsidRPr="002F6E39">
              <w:rPr>
                <w:sz w:val="24"/>
                <w:szCs w:val="24"/>
              </w:rPr>
              <w:t>Громадяни</w:t>
            </w:r>
          </w:p>
        </w:tc>
        <w:tc>
          <w:tcPr>
            <w:tcW w:w="2465" w:type="pct"/>
            <w:vAlign w:val="center"/>
          </w:tcPr>
          <w:p w14:paraId="5B0F3B09" w14:textId="77777777" w:rsidR="00D454A2" w:rsidRPr="002F6E39" w:rsidRDefault="00D454A2" w:rsidP="00E87EED">
            <w:pPr>
              <w:pStyle w:val="TableParagraph"/>
              <w:ind w:left="0"/>
              <w:rPr>
                <w:sz w:val="24"/>
                <w:szCs w:val="24"/>
              </w:rPr>
            </w:pPr>
          </w:p>
        </w:tc>
        <w:tc>
          <w:tcPr>
            <w:tcW w:w="623" w:type="pct"/>
            <w:vAlign w:val="center"/>
          </w:tcPr>
          <w:p w14:paraId="7258A1E2" w14:textId="77777777" w:rsidR="00D454A2" w:rsidRPr="002F6E39" w:rsidRDefault="00D454A2" w:rsidP="00E87EED">
            <w:pPr>
              <w:pStyle w:val="TableParagraph"/>
              <w:ind w:left="176"/>
              <w:jc w:val="center"/>
              <w:rPr>
                <w:sz w:val="24"/>
                <w:szCs w:val="24"/>
              </w:rPr>
            </w:pPr>
            <w:proofErr w:type="spellStart"/>
            <w:r w:rsidRPr="002F6E39">
              <w:rPr>
                <w:sz w:val="24"/>
                <w:szCs w:val="24"/>
              </w:rPr>
              <w:t>Hi</w:t>
            </w:r>
            <w:proofErr w:type="spellEnd"/>
          </w:p>
        </w:tc>
      </w:tr>
      <w:tr w:rsidR="00D454A2" w:rsidRPr="002F6E39" w14:paraId="51662767" w14:textId="77777777" w:rsidTr="00E87EED">
        <w:trPr>
          <w:trHeight w:val="20"/>
        </w:trPr>
        <w:tc>
          <w:tcPr>
            <w:tcW w:w="1912" w:type="pct"/>
            <w:vAlign w:val="center"/>
          </w:tcPr>
          <w:p w14:paraId="449DBBA2" w14:textId="77777777" w:rsidR="00D454A2" w:rsidRPr="002F6E39" w:rsidRDefault="00D454A2" w:rsidP="00E87EED">
            <w:pPr>
              <w:pStyle w:val="TableParagraph"/>
              <w:ind w:left="124"/>
              <w:rPr>
                <w:sz w:val="24"/>
                <w:szCs w:val="24"/>
              </w:rPr>
            </w:pPr>
            <w:r w:rsidRPr="002F6E39">
              <w:rPr>
                <w:w w:val="105"/>
                <w:sz w:val="24"/>
                <w:szCs w:val="24"/>
              </w:rPr>
              <w:t>Держава</w:t>
            </w:r>
          </w:p>
        </w:tc>
        <w:tc>
          <w:tcPr>
            <w:tcW w:w="2465" w:type="pct"/>
            <w:vAlign w:val="center"/>
          </w:tcPr>
          <w:p w14:paraId="723411B6" w14:textId="77777777" w:rsidR="00084B76" w:rsidRPr="002F6E39" w:rsidRDefault="00084B76" w:rsidP="00E87EED">
            <w:pPr>
              <w:pStyle w:val="TableParagraph"/>
              <w:ind w:left="119" w:right="66"/>
              <w:jc w:val="both"/>
              <w:rPr>
                <w:sz w:val="24"/>
                <w:szCs w:val="24"/>
              </w:rPr>
            </w:pPr>
            <w:r w:rsidRPr="002F6E39">
              <w:rPr>
                <w:sz w:val="24"/>
                <w:szCs w:val="24"/>
              </w:rPr>
              <w:t>Так</w:t>
            </w:r>
          </w:p>
          <w:p w14:paraId="5298677B" w14:textId="34BC9801" w:rsidR="00AB1ECB" w:rsidRPr="002F6E39" w:rsidRDefault="00B271DF" w:rsidP="00E87EED">
            <w:pPr>
              <w:pStyle w:val="TableParagraph"/>
              <w:ind w:left="121" w:right="66" w:firstLine="1"/>
              <w:jc w:val="both"/>
              <w:rPr>
                <w:sz w:val="24"/>
                <w:szCs w:val="24"/>
              </w:rPr>
            </w:pPr>
            <w:r w:rsidRPr="002F6E39">
              <w:rPr>
                <w:sz w:val="24"/>
                <w:szCs w:val="24"/>
              </w:rPr>
              <w:t>Необхідність доопрацювання механізму</w:t>
            </w:r>
            <w:r w:rsidR="0053168F" w:rsidRPr="002F6E39">
              <w:rPr>
                <w:sz w:val="24"/>
                <w:szCs w:val="24"/>
              </w:rPr>
              <w:t xml:space="preserve"> застосування санкцій до ліцензіатів НКРЕКП, які за критерієм «величина ліцензіата» відносяться до малих ліцензіатів</w:t>
            </w:r>
            <w:r w:rsidRPr="002F6E39">
              <w:rPr>
                <w:sz w:val="24"/>
                <w:szCs w:val="24"/>
              </w:rPr>
              <w:t>, посилення відповідальності за відмову у проведенні перевірки</w:t>
            </w:r>
          </w:p>
        </w:tc>
        <w:tc>
          <w:tcPr>
            <w:tcW w:w="623" w:type="pct"/>
            <w:vAlign w:val="center"/>
          </w:tcPr>
          <w:p w14:paraId="3BC6B6F8" w14:textId="77777777" w:rsidR="00D454A2" w:rsidRPr="002F6E39" w:rsidRDefault="00D454A2" w:rsidP="00E87EED">
            <w:pPr>
              <w:pStyle w:val="TableParagraph"/>
              <w:ind w:left="176"/>
              <w:jc w:val="center"/>
              <w:rPr>
                <w:sz w:val="24"/>
                <w:szCs w:val="24"/>
              </w:rPr>
            </w:pPr>
          </w:p>
        </w:tc>
      </w:tr>
      <w:tr w:rsidR="00085CA5" w:rsidRPr="002F6E39" w14:paraId="1E6FF770" w14:textId="77777777" w:rsidTr="00E87EED">
        <w:trPr>
          <w:trHeight w:val="20"/>
        </w:trPr>
        <w:tc>
          <w:tcPr>
            <w:tcW w:w="1912" w:type="pct"/>
            <w:vAlign w:val="center"/>
          </w:tcPr>
          <w:p w14:paraId="5702760E" w14:textId="77777777" w:rsidR="00085CA5" w:rsidRPr="002F6E39" w:rsidRDefault="00085CA5" w:rsidP="00E87EED">
            <w:pPr>
              <w:pStyle w:val="TableParagraph"/>
              <w:ind w:left="118"/>
              <w:rPr>
                <w:sz w:val="24"/>
                <w:szCs w:val="24"/>
              </w:rPr>
            </w:pPr>
            <w:proofErr w:type="spellStart"/>
            <w:r w:rsidRPr="002F6E39">
              <w:rPr>
                <w:sz w:val="24"/>
                <w:szCs w:val="24"/>
              </w:rPr>
              <w:lastRenderedPageBreak/>
              <w:t>Cyб’єкти</w:t>
            </w:r>
            <w:proofErr w:type="spellEnd"/>
            <w:r w:rsidRPr="002F6E39">
              <w:rPr>
                <w:sz w:val="24"/>
                <w:szCs w:val="24"/>
              </w:rPr>
              <w:t xml:space="preserve"> господарювання</w:t>
            </w:r>
          </w:p>
        </w:tc>
        <w:tc>
          <w:tcPr>
            <w:tcW w:w="2465" w:type="pct"/>
            <w:vAlign w:val="center"/>
          </w:tcPr>
          <w:p w14:paraId="1477D68C" w14:textId="77777777" w:rsidR="00084B76" w:rsidRPr="002F6E39" w:rsidRDefault="00084B76" w:rsidP="00E87EED">
            <w:pPr>
              <w:pStyle w:val="TableParagraph"/>
              <w:ind w:left="119" w:right="66"/>
              <w:jc w:val="both"/>
              <w:rPr>
                <w:sz w:val="24"/>
                <w:szCs w:val="24"/>
              </w:rPr>
            </w:pPr>
            <w:r w:rsidRPr="002F6E39">
              <w:rPr>
                <w:sz w:val="24"/>
                <w:szCs w:val="24"/>
              </w:rPr>
              <w:t>Так</w:t>
            </w:r>
          </w:p>
          <w:p w14:paraId="546E7C12" w14:textId="21AA0D00" w:rsidR="00085CA5" w:rsidRPr="002F6E39" w:rsidRDefault="00B271DF" w:rsidP="00E87EED">
            <w:pPr>
              <w:pStyle w:val="TableParagraph"/>
              <w:ind w:left="119" w:right="66"/>
              <w:jc w:val="both"/>
              <w:rPr>
                <w:sz w:val="24"/>
                <w:szCs w:val="24"/>
              </w:rPr>
            </w:pPr>
            <w:r w:rsidRPr="002F6E39">
              <w:rPr>
                <w:sz w:val="24"/>
                <w:szCs w:val="24"/>
              </w:rPr>
              <w:t>Застосування диференційованого підходу до ліцензіатів в залежності від часу провадження ними господарської діяльності у відповідній сфері (впровадження критерію «досвід ліцензіатів НКРЕКП»)</w:t>
            </w:r>
          </w:p>
        </w:tc>
        <w:tc>
          <w:tcPr>
            <w:tcW w:w="623" w:type="pct"/>
            <w:vAlign w:val="center"/>
          </w:tcPr>
          <w:p w14:paraId="2D9A95C2" w14:textId="77777777" w:rsidR="00085CA5" w:rsidRPr="002F6E39" w:rsidRDefault="00085CA5" w:rsidP="00E87EED">
            <w:pPr>
              <w:pStyle w:val="TableParagraph"/>
              <w:ind w:left="0"/>
              <w:rPr>
                <w:sz w:val="24"/>
                <w:szCs w:val="24"/>
              </w:rPr>
            </w:pPr>
          </w:p>
        </w:tc>
      </w:tr>
    </w:tbl>
    <w:p w14:paraId="487453DC" w14:textId="77777777" w:rsidR="00E528D5" w:rsidRPr="002F6E39" w:rsidRDefault="00E528D5" w:rsidP="00E528D5">
      <w:pPr>
        <w:pStyle w:val="a9"/>
        <w:tabs>
          <w:tab w:val="left" w:pos="445"/>
        </w:tabs>
        <w:spacing w:line="228" w:lineRule="auto"/>
        <w:ind w:left="237" w:right="136" w:firstLine="0"/>
        <w:jc w:val="both"/>
        <w:rPr>
          <w:sz w:val="28"/>
        </w:rPr>
      </w:pPr>
    </w:p>
    <w:p w14:paraId="31C20666" w14:textId="77777777" w:rsidR="00D454A2" w:rsidRPr="002F6E39" w:rsidRDefault="00D454A2" w:rsidP="00D454A2">
      <w:pPr>
        <w:pStyle w:val="a9"/>
        <w:numPr>
          <w:ilvl w:val="1"/>
          <w:numId w:val="3"/>
        </w:numPr>
        <w:tabs>
          <w:tab w:val="left" w:pos="3726"/>
        </w:tabs>
        <w:ind w:hanging="363"/>
        <w:jc w:val="center"/>
        <w:rPr>
          <w:b/>
          <w:sz w:val="28"/>
        </w:rPr>
      </w:pPr>
      <w:r w:rsidRPr="002F6E39">
        <w:rPr>
          <w:b/>
          <w:w w:val="105"/>
          <w:sz w:val="28"/>
        </w:rPr>
        <w:t>Цілі державного</w:t>
      </w:r>
      <w:r w:rsidRPr="002F6E39">
        <w:rPr>
          <w:b/>
          <w:spacing w:val="26"/>
          <w:w w:val="105"/>
          <w:sz w:val="28"/>
        </w:rPr>
        <w:t xml:space="preserve"> </w:t>
      </w:r>
      <w:r w:rsidRPr="002F6E39">
        <w:rPr>
          <w:b/>
          <w:w w:val="105"/>
          <w:sz w:val="28"/>
        </w:rPr>
        <w:t>регулювання</w:t>
      </w:r>
    </w:p>
    <w:p w14:paraId="7B7C4AF9" w14:textId="77777777" w:rsidR="00D454A2" w:rsidRPr="002F6E39" w:rsidRDefault="00D454A2" w:rsidP="00D454A2">
      <w:pPr>
        <w:pStyle w:val="a3"/>
        <w:spacing w:before="6"/>
        <w:rPr>
          <w:sz w:val="27"/>
        </w:rPr>
      </w:pPr>
    </w:p>
    <w:p w14:paraId="6A551D14" w14:textId="6DAA417C" w:rsidR="009C53F2" w:rsidRPr="002F6E39" w:rsidRDefault="00196DDF" w:rsidP="00A97A55">
      <w:pPr>
        <w:pStyle w:val="a3"/>
        <w:ind w:right="137" w:firstLine="851"/>
        <w:jc w:val="both"/>
      </w:pPr>
      <w:r w:rsidRPr="002F6E39">
        <w:t xml:space="preserve">Основною метою прийняття </w:t>
      </w:r>
      <w:proofErr w:type="spellStart"/>
      <w:r w:rsidR="0086765D" w:rsidRPr="002F6E39">
        <w:t>П</w:t>
      </w:r>
      <w:r w:rsidRPr="002F6E39">
        <w:t>роєкту</w:t>
      </w:r>
      <w:proofErr w:type="spellEnd"/>
      <w:r w:rsidRPr="002F6E39">
        <w:t xml:space="preserve"> </w:t>
      </w:r>
      <w:r w:rsidR="0086765D" w:rsidRPr="002F6E39">
        <w:t xml:space="preserve">постанови </w:t>
      </w:r>
      <w:r w:rsidRPr="002F6E39">
        <w:t xml:space="preserve">є </w:t>
      </w:r>
      <w:r w:rsidR="00B271DF" w:rsidRPr="002F6E39">
        <w:t>уточнення розрахунку суми штрафу, зокрема в частині накладення штрафу за відмову у проведенні перевірки, введення критерію «досвід ліцензіатів НКРЕКП» та уточнення інших положень Порядку</w:t>
      </w:r>
      <w:r w:rsidR="00255B73" w:rsidRPr="002F6E39">
        <w:t>.</w:t>
      </w:r>
    </w:p>
    <w:p w14:paraId="5E497463" w14:textId="77777777" w:rsidR="0085062D" w:rsidRPr="002F6E39" w:rsidRDefault="0085062D" w:rsidP="00D454A2">
      <w:pPr>
        <w:pStyle w:val="a3"/>
        <w:spacing w:before="9"/>
        <w:rPr>
          <w:sz w:val="27"/>
        </w:rPr>
      </w:pPr>
    </w:p>
    <w:p w14:paraId="4302D7ED" w14:textId="77777777" w:rsidR="00D454A2" w:rsidRPr="002F6E39" w:rsidRDefault="00D454A2" w:rsidP="00E97C1A">
      <w:pPr>
        <w:pStyle w:val="a9"/>
        <w:numPr>
          <w:ilvl w:val="1"/>
          <w:numId w:val="3"/>
        </w:numPr>
        <w:tabs>
          <w:tab w:val="left" w:pos="1245"/>
        </w:tabs>
        <w:spacing w:before="1"/>
        <w:ind w:left="1244" w:firstLine="0"/>
        <w:jc w:val="center"/>
        <w:rPr>
          <w:b/>
          <w:sz w:val="28"/>
        </w:rPr>
      </w:pPr>
      <w:r w:rsidRPr="002F6E39">
        <w:rPr>
          <w:b/>
          <w:w w:val="105"/>
          <w:sz w:val="28"/>
        </w:rPr>
        <w:t>Визначення та оцінка</w:t>
      </w:r>
      <w:r w:rsidR="0005234D" w:rsidRPr="002F6E39">
        <w:rPr>
          <w:b/>
          <w:w w:val="105"/>
          <w:sz w:val="28"/>
        </w:rPr>
        <w:t xml:space="preserve"> </w:t>
      </w:r>
      <w:r w:rsidRPr="002F6E39">
        <w:rPr>
          <w:b/>
          <w:w w:val="105"/>
          <w:sz w:val="28"/>
        </w:rPr>
        <w:t>альтернативних способів досягнення</w:t>
      </w:r>
      <w:r w:rsidRPr="002F6E39">
        <w:rPr>
          <w:b/>
          <w:spacing w:val="8"/>
          <w:w w:val="105"/>
          <w:sz w:val="28"/>
        </w:rPr>
        <w:t xml:space="preserve"> </w:t>
      </w:r>
      <w:r w:rsidRPr="002F6E39">
        <w:rPr>
          <w:b/>
          <w:w w:val="105"/>
          <w:sz w:val="28"/>
        </w:rPr>
        <w:t>цілей</w:t>
      </w:r>
    </w:p>
    <w:p w14:paraId="5F227065" w14:textId="77777777" w:rsidR="00D454A2" w:rsidRPr="002F6E39" w:rsidRDefault="00D454A2" w:rsidP="00D454A2">
      <w:pPr>
        <w:pStyle w:val="a3"/>
        <w:spacing w:before="5"/>
        <w:rPr>
          <w:sz w:val="27"/>
        </w:rPr>
      </w:pPr>
    </w:p>
    <w:p w14:paraId="473EAF9A" w14:textId="77777777" w:rsidR="00D454A2" w:rsidRPr="002F6E39" w:rsidRDefault="00D454A2" w:rsidP="00D454A2">
      <w:pPr>
        <w:pStyle w:val="a9"/>
        <w:numPr>
          <w:ilvl w:val="0"/>
          <w:numId w:val="2"/>
        </w:numPr>
        <w:tabs>
          <w:tab w:val="left" w:pos="1134"/>
        </w:tabs>
        <w:spacing w:before="1" w:after="16"/>
        <w:ind w:hanging="360"/>
        <w:rPr>
          <w:sz w:val="28"/>
        </w:rPr>
      </w:pPr>
      <w:r w:rsidRPr="002F6E39">
        <w:rPr>
          <w:sz w:val="28"/>
        </w:rPr>
        <w:t>Визначення альтернативних</w:t>
      </w:r>
      <w:r w:rsidRPr="002F6E39">
        <w:rPr>
          <w:spacing w:val="-46"/>
          <w:sz w:val="28"/>
        </w:rPr>
        <w:t xml:space="preserve"> </w:t>
      </w:r>
      <w:r w:rsidRPr="002F6E39">
        <w:rPr>
          <w:sz w:val="28"/>
        </w:rPr>
        <w:t>способів</w:t>
      </w:r>
    </w:p>
    <w:p w14:paraId="4AE389C6" w14:textId="77777777" w:rsidR="00D454A2" w:rsidRPr="002F6E39" w:rsidRDefault="00D454A2" w:rsidP="00D454A2">
      <w:pPr>
        <w:pStyle w:val="a9"/>
        <w:tabs>
          <w:tab w:val="left" w:pos="1134"/>
        </w:tabs>
        <w:spacing w:before="1" w:after="16"/>
        <w:ind w:firstLine="0"/>
      </w:pPr>
    </w:p>
    <w:tbl>
      <w:tblPr>
        <w:tblStyle w:val="TableNormal"/>
        <w:tblW w:w="5000" w:type="pct"/>
        <w:tblBorders>
          <w:top w:val="single" w:sz="6" w:space="0" w:color="1C1C1C"/>
          <w:left w:val="single" w:sz="6" w:space="0" w:color="1C1C1C"/>
          <w:bottom w:val="single" w:sz="6" w:space="0" w:color="1C1C1C"/>
          <w:right w:val="single" w:sz="6" w:space="0" w:color="1C1C1C"/>
          <w:insideH w:val="single" w:sz="6" w:space="0" w:color="1C1C1C"/>
          <w:insideV w:val="single" w:sz="6" w:space="0" w:color="1C1C1C"/>
        </w:tblBorders>
        <w:tblLook w:val="01E0" w:firstRow="1" w:lastRow="1" w:firstColumn="1" w:lastColumn="1" w:noHBand="0" w:noVBand="0"/>
      </w:tblPr>
      <w:tblGrid>
        <w:gridCol w:w="2400"/>
        <w:gridCol w:w="7222"/>
      </w:tblGrid>
      <w:tr w:rsidR="00D454A2" w:rsidRPr="002F6E39" w14:paraId="26AC5FDC" w14:textId="77777777" w:rsidTr="00DB24AA">
        <w:trPr>
          <w:trHeight w:val="263"/>
        </w:trPr>
        <w:tc>
          <w:tcPr>
            <w:tcW w:w="1247" w:type="pct"/>
          </w:tcPr>
          <w:p w14:paraId="1629612D" w14:textId="77777777" w:rsidR="00D454A2" w:rsidRPr="002F6E39" w:rsidRDefault="00D454A2" w:rsidP="003032D0">
            <w:pPr>
              <w:jc w:val="center"/>
              <w:rPr>
                <w:b/>
                <w:sz w:val="24"/>
                <w:szCs w:val="24"/>
              </w:rPr>
            </w:pPr>
            <w:r w:rsidRPr="002F6E39">
              <w:rPr>
                <w:b/>
                <w:sz w:val="24"/>
                <w:szCs w:val="24"/>
              </w:rPr>
              <w:t>Вид альтернативи</w:t>
            </w:r>
          </w:p>
        </w:tc>
        <w:tc>
          <w:tcPr>
            <w:tcW w:w="3753" w:type="pct"/>
          </w:tcPr>
          <w:p w14:paraId="4C81B292" w14:textId="77777777" w:rsidR="00D454A2" w:rsidRPr="002F6E39" w:rsidRDefault="00D454A2" w:rsidP="003032D0">
            <w:pPr>
              <w:jc w:val="center"/>
              <w:rPr>
                <w:b/>
                <w:sz w:val="24"/>
                <w:szCs w:val="24"/>
              </w:rPr>
            </w:pPr>
            <w:r w:rsidRPr="002F6E39">
              <w:rPr>
                <w:b/>
                <w:sz w:val="24"/>
                <w:szCs w:val="24"/>
              </w:rPr>
              <w:t>Опис альтернативи</w:t>
            </w:r>
          </w:p>
        </w:tc>
      </w:tr>
      <w:tr w:rsidR="00D454A2" w:rsidRPr="002F6E39" w14:paraId="04351294" w14:textId="77777777" w:rsidTr="00DB24AA">
        <w:trPr>
          <w:trHeight w:val="468"/>
        </w:trPr>
        <w:tc>
          <w:tcPr>
            <w:tcW w:w="1247" w:type="pct"/>
          </w:tcPr>
          <w:p w14:paraId="3DE64613" w14:textId="77777777" w:rsidR="00D454A2" w:rsidRPr="002F6E39" w:rsidRDefault="00D454A2" w:rsidP="003032D0">
            <w:pPr>
              <w:rPr>
                <w:b/>
                <w:sz w:val="24"/>
                <w:szCs w:val="24"/>
              </w:rPr>
            </w:pPr>
            <w:r w:rsidRPr="002F6E39">
              <w:rPr>
                <w:b/>
                <w:sz w:val="24"/>
                <w:szCs w:val="24"/>
              </w:rPr>
              <w:t>Альтернатива 1</w:t>
            </w:r>
          </w:p>
          <w:p w14:paraId="461B27DC" w14:textId="77777777" w:rsidR="00DB7DFB" w:rsidRPr="002F6E39" w:rsidRDefault="00DB7DFB" w:rsidP="003032D0">
            <w:pPr>
              <w:rPr>
                <w:b/>
                <w:sz w:val="24"/>
                <w:szCs w:val="24"/>
              </w:rPr>
            </w:pPr>
          </w:p>
          <w:p w14:paraId="1AD4FE69" w14:textId="77777777" w:rsidR="00D454A2" w:rsidRPr="002F6E39" w:rsidRDefault="00D454A2" w:rsidP="003032D0">
            <w:pPr>
              <w:rPr>
                <w:sz w:val="24"/>
                <w:szCs w:val="24"/>
              </w:rPr>
            </w:pPr>
            <w:r w:rsidRPr="002F6E39">
              <w:rPr>
                <w:sz w:val="24"/>
                <w:szCs w:val="24"/>
              </w:rPr>
              <w:t>Збереження чинного регулювання</w:t>
            </w:r>
          </w:p>
        </w:tc>
        <w:tc>
          <w:tcPr>
            <w:tcW w:w="3753" w:type="pct"/>
          </w:tcPr>
          <w:p w14:paraId="7830D3AA" w14:textId="7E581B87" w:rsidR="00D454A2" w:rsidRPr="002F6E39" w:rsidRDefault="00196DDF" w:rsidP="0059555F">
            <w:pPr>
              <w:ind w:left="138" w:right="142"/>
              <w:jc w:val="both"/>
              <w:rPr>
                <w:sz w:val="24"/>
                <w:szCs w:val="24"/>
              </w:rPr>
            </w:pPr>
            <w:r w:rsidRPr="002F6E39">
              <w:rPr>
                <w:sz w:val="24"/>
                <w:szCs w:val="24"/>
              </w:rPr>
              <w:t xml:space="preserve">Не вносити жодних змін до Порядку. Не </w:t>
            </w:r>
            <w:r w:rsidR="000D2EAD" w:rsidRPr="002F6E39">
              <w:rPr>
                <w:sz w:val="24"/>
                <w:szCs w:val="24"/>
              </w:rPr>
              <w:t>буде доопрацювано механізм застосування санкцій до ліцензіатів НКРЕКП, які за критерієм «величина ліцензіата» відносяться до малих ліцензіатів, не буде забезпечено посилення відповідальності за відмову у проведенні перевірки. Не буде забезпечено застосування диференційованого підходу до ліцензіатів в залежності від часу провадження ними господарської діяльності у відповідній сфері (впровадження критерію «досвід ліцензіатів НКРЕКП»)</w:t>
            </w:r>
          </w:p>
        </w:tc>
      </w:tr>
      <w:tr w:rsidR="00D454A2" w:rsidRPr="002F6E39" w14:paraId="1EE041F5" w14:textId="77777777" w:rsidTr="00DB24AA">
        <w:trPr>
          <w:trHeight w:val="1252"/>
        </w:trPr>
        <w:tc>
          <w:tcPr>
            <w:tcW w:w="1247" w:type="pct"/>
          </w:tcPr>
          <w:p w14:paraId="031667F3" w14:textId="77777777" w:rsidR="00D454A2" w:rsidRPr="002F6E39" w:rsidRDefault="00D454A2" w:rsidP="003032D0">
            <w:pPr>
              <w:rPr>
                <w:b/>
                <w:sz w:val="24"/>
                <w:szCs w:val="24"/>
              </w:rPr>
            </w:pPr>
            <w:r w:rsidRPr="002F6E39">
              <w:rPr>
                <w:b/>
                <w:sz w:val="24"/>
                <w:szCs w:val="24"/>
              </w:rPr>
              <w:t xml:space="preserve">Альтернатива </w:t>
            </w:r>
            <w:r w:rsidR="0084657B" w:rsidRPr="002F6E39">
              <w:rPr>
                <w:b/>
                <w:sz w:val="24"/>
                <w:szCs w:val="24"/>
              </w:rPr>
              <w:t>2</w:t>
            </w:r>
          </w:p>
          <w:p w14:paraId="0D9E80E4" w14:textId="23767965" w:rsidR="00D454A2" w:rsidRPr="002F6E39" w:rsidRDefault="00D454A2" w:rsidP="003032D0">
            <w:pPr>
              <w:rPr>
                <w:sz w:val="24"/>
                <w:szCs w:val="24"/>
              </w:rPr>
            </w:pPr>
          </w:p>
          <w:p w14:paraId="246211E5" w14:textId="77777777" w:rsidR="00D454A2" w:rsidRPr="002F6E39" w:rsidRDefault="00847546" w:rsidP="003032D0">
            <w:pPr>
              <w:rPr>
                <w:sz w:val="24"/>
                <w:szCs w:val="24"/>
              </w:rPr>
            </w:pPr>
            <w:r w:rsidRPr="002F6E39">
              <w:rPr>
                <w:sz w:val="24"/>
                <w:szCs w:val="24"/>
              </w:rPr>
              <w:t xml:space="preserve">Внесення змін до чинного регуляторного </w:t>
            </w:r>
            <w:proofErr w:type="spellStart"/>
            <w:r w:rsidRPr="002F6E39">
              <w:rPr>
                <w:sz w:val="24"/>
                <w:szCs w:val="24"/>
              </w:rPr>
              <w:t>акта</w:t>
            </w:r>
            <w:proofErr w:type="spellEnd"/>
          </w:p>
        </w:tc>
        <w:tc>
          <w:tcPr>
            <w:tcW w:w="3753" w:type="pct"/>
          </w:tcPr>
          <w:p w14:paraId="61554260" w14:textId="0EEAAAEC" w:rsidR="00D454A2" w:rsidRPr="002F6E39" w:rsidRDefault="00D454A2" w:rsidP="008012F6">
            <w:pPr>
              <w:ind w:left="138" w:right="142"/>
              <w:jc w:val="both"/>
              <w:rPr>
                <w:sz w:val="24"/>
                <w:szCs w:val="24"/>
              </w:rPr>
            </w:pPr>
            <w:r w:rsidRPr="002F6E39">
              <w:rPr>
                <w:sz w:val="24"/>
                <w:szCs w:val="24"/>
              </w:rPr>
              <w:t xml:space="preserve">Прийняття </w:t>
            </w:r>
            <w:proofErr w:type="spellStart"/>
            <w:r w:rsidR="00701873" w:rsidRPr="002F6E39">
              <w:rPr>
                <w:sz w:val="24"/>
                <w:szCs w:val="24"/>
              </w:rPr>
              <w:t>Проєкту</w:t>
            </w:r>
            <w:proofErr w:type="spellEnd"/>
            <w:r w:rsidR="00701873" w:rsidRPr="002F6E39">
              <w:rPr>
                <w:sz w:val="24"/>
                <w:szCs w:val="24"/>
              </w:rPr>
              <w:t xml:space="preserve"> </w:t>
            </w:r>
            <w:r w:rsidRPr="002F6E39">
              <w:rPr>
                <w:sz w:val="24"/>
                <w:szCs w:val="24"/>
              </w:rPr>
              <w:t xml:space="preserve">постанови </w:t>
            </w:r>
            <w:r w:rsidR="00780454" w:rsidRPr="002F6E39">
              <w:rPr>
                <w:sz w:val="24"/>
                <w:szCs w:val="24"/>
              </w:rPr>
              <w:t xml:space="preserve">дозволить </w:t>
            </w:r>
            <w:r w:rsidR="000D2EAD" w:rsidRPr="002F6E39">
              <w:rPr>
                <w:sz w:val="24"/>
                <w:szCs w:val="24"/>
              </w:rPr>
              <w:t>уточнити розрахунок суми штрафу, зокрема в частині накладення штрафу за відмову у проведенні перевірки, введення критерію «досвід ліцензіатів НКРЕКП»</w:t>
            </w:r>
          </w:p>
        </w:tc>
      </w:tr>
    </w:tbl>
    <w:p w14:paraId="1C4F08C2" w14:textId="77777777" w:rsidR="0085062D" w:rsidRPr="002F6E39" w:rsidRDefault="0085062D" w:rsidP="00D454A2">
      <w:pPr>
        <w:pStyle w:val="a9"/>
        <w:tabs>
          <w:tab w:val="left" w:pos="1134"/>
        </w:tabs>
        <w:ind w:firstLine="0"/>
        <w:rPr>
          <w:sz w:val="28"/>
          <w:szCs w:val="28"/>
        </w:rPr>
      </w:pPr>
    </w:p>
    <w:p w14:paraId="1F0FA929" w14:textId="77777777" w:rsidR="00D454A2" w:rsidRPr="002F6E39" w:rsidRDefault="00D454A2" w:rsidP="00D454A2">
      <w:pPr>
        <w:pStyle w:val="a9"/>
        <w:numPr>
          <w:ilvl w:val="0"/>
          <w:numId w:val="2"/>
        </w:numPr>
        <w:tabs>
          <w:tab w:val="left" w:pos="1134"/>
        </w:tabs>
        <w:ind w:hanging="357"/>
        <w:rPr>
          <w:sz w:val="28"/>
          <w:szCs w:val="28"/>
        </w:rPr>
      </w:pPr>
      <w:r w:rsidRPr="002F6E39">
        <w:rPr>
          <w:sz w:val="28"/>
          <w:szCs w:val="28"/>
        </w:rPr>
        <w:t>Оцінка вибраних альтернативних способів досягнення</w:t>
      </w:r>
      <w:r w:rsidRPr="002F6E39">
        <w:rPr>
          <w:spacing w:val="47"/>
          <w:sz w:val="28"/>
          <w:szCs w:val="28"/>
        </w:rPr>
        <w:t xml:space="preserve"> </w:t>
      </w:r>
      <w:r w:rsidRPr="002F6E39">
        <w:rPr>
          <w:sz w:val="28"/>
          <w:szCs w:val="28"/>
        </w:rPr>
        <w:t>цілей</w:t>
      </w:r>
    </w:p>
    <w:p w14:paraId="36D94397" w14:textId="77777777" w:rsidR="00D454A2" w:rsidRPr="002F6E39" w:rsidRDefault="00D454A2" w:rsidP="00D454A2">
      <w:pPr>
        <w:pStyle w:val="a3"/>
        <w:spacing w:before="10"/>
      </w:pPr>
    </w:p>
    <w:p w14:paraId="4802CC73" w14:textId="77777777" w:rsidR="00D454A2" w:rsidRPr="002F6E39" w:rsidRDefault="00D454A2" w:rsidP="00D454A2">
      <w:pPr>
        <w:pStyle w:val="a9"/>
        <w:numPr>
          <w:ilvl w:val="0"/>
          <w:numId w:val="1"/>
        </w:numPr>
        <w:tabs>
          <w:tab w:val="left" w:pos="1134"/>
        </w:tabs>
        <w:spacing w:before="1" w:after="16"/>
        <w:ind w:hanging="360"/>
        <w:rPr>
          <w:sz w:val="28"/>
          <w:szCs w:val="28"/>
        </w:rPr>
      </w:pPr>
      <w:r w:rsidRPr="002F6E39">
        <w:rPr>
          <w:sz w:val="28"/>
          <w:szCs w:val="28"/>
        </w:rPr>
        <w:t>Оцінка впливу на сферу інтересів</w:t>
      </w:r>
      <w:r w:rsidRPr="002F6E39">
        <w:rPr>
          <w:spacing w:val="59"/>
          <w:sz w:val="28"/>
          <w:szCs w:val="28"/>
        </w:rPr>
        <w:t xml:space="preserve"> </w:t>
      </w:r>
      <w:r w:rsidRPr="002F6E39">
        <w:rPr>
          <w:sz w:val="28"/>
          <w:szCs w:val="28"/>
        </w:rPr>
        <w:t>держави:</w:t>
      </w:r>
    </w:p>
    <w:p w14:paraId="2E6A3464" w14:textId="77777777" w:rsidR="00D454A2" w:rsidRPr="002F6E39" w:rsidRDefault="00D454A2" w:rsidP="00D454A2">
      <w:pPr>
        <w:pStyle w:val="a9"/>
        <w:tabs>
          <w:tab w:val="left" w:pos="1134"/>
        </w:tabs>
        <w:spacing w:before="1" w:after="16"/>
        <w:ind w:firstLine="0"/>
        <w:rPr>
          <w:sz w:val="28"/>
          <w:szCs w:val="28"/>
        </w:rPr>
      </w:pPr>
    </w:p>
    <w:tbl>
      <w:tblPr>
        <w:tblStyle w:val="TableNormal"/>
        <w:tblW w:w="5000" w:type="pct"/>
        <w:tblBorders>
          <w:top w:val="single" w:sz="6" w:space="0" w:color="232323"/>
          <w:left w:val="single" w:sz="6" w:space="0" w:color="232323"/>
          <w:bottom w:val="single" w:sz="6" w:space="0" w:color="232323"/>
          <w:right w:val="single" w:sz="6" w:space="0" w:color="232323"/>
          <w:insideH w:val="single" w:sz="6" w:space="0" w:color="232323"/>
          <w:insideV w:val="single" w:sz="6" w:space="0" w:color="232323"/>
        </w:tblBorders>
        <w:tblLook w:val="01E0" w:firstRow="1" w:lastRow="1" w:firstColumn="1" w:lastColumn="1" w:noHBand="0" w:noVBand="0"/>
      </w:tblPr>
      <w:tblGrid>
        <w:gridCol w:w="2473"/>
        <w:gridCol w:w="3831"/>
        <w:gridCol w:w="3318"/>
      </w:tblGrid>
      <w:tr w:rsidR="00D454A2" w:rsidRPr="002F6E39" w14:paraId="06FC8359" w14:textId="77777777" w:rsidTr="00DB24AA">
        <w:trPr>
          <w:trHeight w:val="253"/>
        </w:trPr>
        <w:tc>
          <w:tcPr>
            <w:tcW w:w="1285" w:type="pct"/>
            <w:vAlign w:val="center"/>
          </w:tcPr>
          <w:p w14:paraId="3B68A749" w14:textId="77777777" w:rsidR="00D454A2" w:rsidRPr="002F6E39" w:rsidRDefault="00D454A2" w:rsidP="003032D0">
            <w:pPr>
              <w:jc w:val="center"/>
              <w:rPr>
                <w:b/>
                <w:sz w:val="24"/>
              </w:rPr>
            </w:pPr>
            <w:r w:rsidRPr="002F6E39">
              <w:rPr>
                <w:b/>
                <w:sz w:val="24"/>
              </w:rPr>
              <w:t>Вид альтернативи</w:t>
            </w:r>
          </w:p>
        </w:tc>
        <w:tc>
          <w:tcPr>
            <w:tcW w:w="1991" w:type="pct"/>
            <w:vAlign w:val="center"/>
          </w:tcPr>
          <w:p w14:paraId="38E675E2" w14:textId="77777777" w:rsidR="00D454A2" w:rsidRPr="002F6E39" w:rsidRDefault="00D454A2" w:rsidP="003032D0">
            <w:pPr>
              <w:jc w:val="center"/>
              <w:rPr>
                <w:b/>
                <w:sz w:val="24"/>
              </w:rPr>
            </w:pPr>
            <w:r w:rsidRPr="002F6E39">
              <w:rPr>
                <w:b/>
                <w:sz w:val="24"/>
              </w:rPr>
              <w:t>Вигоди</w:t>
            </w:r>
          </w:p>
        </w:tc>
        <w:tc>
          <w:tcPr>
            <w:tcW w:w="1724" w:type="pct"/>
            <w:vAlign w:val="center"/>
          </w:tcPr>
          <w:p w14:paraId="7C453B2F" w14:textId="77777777" w:rsidR="00D454A2" w:rsidRPr="002F6E39" w:rsidRDefault="00D454A2" w:rsidP="003032D0">
            <w:pPr>
              <w:jc w:val="center"/>
              <w:rPr>
                <w:b/>
                <w:sz w:val="24"/>
              </w:rPr>
            </w:pPr>
            <w:r w:rsidRPr="002F6E39">
              <w:rPr>
                <w:b/>
                <w:sz w:val="24"/>
              </w:rPr>
              <w:t>Витрати</w:t>
            </w:r>
          </w:p>
        </w:tc>
      </w:tr>
      <w:tr w:rsidR="00D454A2" w:rsidRPr="002F6E39" w14:paraId="1A7FCC4A" w14:textId="77777777" w:rsidTr="00DB24AA">
        <w:trPr>
          <w:trHeight w:val="1103"/>
        </w:trPr>
        <w:tc>
          <w:tcPr>
            <w:tcW w:w="1285" w:type="pct"/>
            <w:vAlign w:val="center"/>
          </w:tcPr>
          <w:p w14:paraId="204797D2" w14:textId="77777777" w:rsidR="00D454A2" w:rsidRPr="002F6E39" w:rsidRDefault="00D454A2" w:rsidP="00640434">
            <w:pPr>
              <w:ind w:left="127" w:right="65"/>
              <w:jc w:val="both"/>
              <w:rPr>
                <w:b/>
                <w:sz w:val="24"/>
              </w:rPr>
            </w:pPr>
            <w:r w:rsidRPr="002F6E39">
              <w:rPr>
                <w:b/>
                <w:sz w:val="24"/>
              </w:rPr>
              <w:t>Альтернатива 1</w:t>
            </w:r>
          </w:p>
          <w:p w14:paraId="75980663" w14:textId="77777777" w:rsidR="00D454A2" w:rsidRPr="002F6E39" w:rsidRDefault="00D454A2" w:rsidP="00640434">
            <w:pPr>
              <w:ind w:left="127" w:right="65"/>
              <w:jc w:val="both"/>
              <w:rPr>
                <w:sz w:val="24"/>
              </w:rPr>
            </w:pPr>
            <w:r w:rsidRPr="002F6E39">
              <w:rPr>
                <w:sz w:val="24"/>
              </w:rPr>
              <w:t>Збереження чинного регулювання</w:t>
            </w:r>
          </w:p>
        </w:tc>
        <w:tc>
          <w:tcPr>
            <w:tcW w:w="1991" w:type="pct"/>
            <w:vAlign w:val="center"/>
          </w:tcPr>
          <w:p w14:paraId="6439FF85" w14:textId="77777777" w:rsidR="00D454A2" w:rsidRPr="002F6E39" w:rsidRDefault="00D454A2" w:rsidP="003032D0">
            <w:pPr>
              <w:jc w:val="both"/>
              <w:rPr>
                <w:sz w:val="24"/>
              </w:rPr>
            </w:pPr>
            <w:r w:rsidRPr="002F6E39">
              <w:rPr>
                <w:sz w:val="24"/>
              </w:rPr>
              <w:t>Відсутні</w:t>
            </w:r>
          </w:p>
        </w:tc>
        <w:tc>
          <w:tcPr>
            <w:tcW w:w="1724" w:type="pct"/>
            <w:vAlign w:val="center"/>
          </w:tcPr>
          <w:p w14:paraId="200C7F63" w14:textId="0186480D" w:rsidR="00D454A2" w:rsidRPr="002F6E39" w:rsidRDefault="00196DDF" w:rsidP="00814DC2">
            <w:pPr>
              <w:ind w:left="65" w:right="142"/>
              <w:jc w:val="both"/>
              <w:rPr>
                <w:sz w:val="24"/>
                <w:highlight w:val="yellow"/>
              </w:rPr>
            </w:pPr>
            <w:r w:rsidRPr="002F6E39">
              <w:rPr>
                <w:sz w:val="24"/>
                <w:szCs w:val="24"/>
              </w:rPr>
              <w:t>Не забезпечить можлив</w:t>
            </w:r>
            <w:r w:rsidR="00F430DE" w:rsidRPr="002F6E39">
              <w:rPr>
                <w:sz w:val="24"/>
                <w:szCs w:val="24"/>
              </w:rPr>
              <w:t>о</w:t>
            </w:r>
            <w:r w:rsidRPr="002F6E39">
              <w:rPr>
                <w:sz w:val="24"/>
                <w:szCs w:val="24"/>
              </w:rPr>
              <w:t>ст</w:t>
            </w:r>
            <w:r w:rsidR="00F430DE" w:rsidRPr="002F6E39">
              <w:rPr>
                <w:sz w:val="24"/>
                <w:szCs w:val="24"/>
              </w:rPr>
              <w:t>і</w:t>
            </w:r>
            <w:r w:rsidRPr="002F6E39">
              <w:rPr>
                <w:sz w:val="24"/>
                <w:szCs w:val="24"/>
              </w:rPr>
              <w:t xml:space="preserve"> </w:t>
            </w:r>
            <w:r w:rsidR="001041EE" w:rsidRPr="002F6E39">
              <w:rPr>
                <w:sz w:val="24"/>
                <w:szCs w:val="24"/>
              </w:rPr>
              <w:t>доопрацюван</w:t>
            </w:r>
            <w:r w:rsidR="002F6E39" w:rsidRPr="002F6E39">
              <w:rPr>
                <w:sz w:val="24"/>
                <w:szCs w:val="24"/>
              </w:rPr>
              <w:t>ня</w:t>
            </w:r>
            <w:r w:rsidR="001041EE" w:rsidRPr="002F6E39">
              <w:rPr>
                <w:sz w:val="24"/>
                <w:szCs w:val="24"/>
              </w:rPr>
              <w:t xml:space="preserve"> механізм</w:t>
            </w:r>
            <w:r w:rsidR="002F6E39" w:rsidRPr="002F6E39">
              <w:rPr>
                <w:sz w:val="24"/>
                <w:szCs w:val="24"/>
              </w:rPr>
              <w:t>у</w:t>
            </w:r>
            <w:r w:rsidR="001041EE" w:rsidRPr="002F6E39">
              <w:rPr>
                <w:sz w:val="24"/>
                <w:szCs w:val="24"/>
              </w:rPr>
              <w:t xml:space="preserve"> застосування санкцій до ліцензіатів НКРЕКП, які за критерієм «величина ліцензіата» відносяться до малих ліцензіатів, не буде забезпечено посилення відповідальності за відмову у проведенні перевірки. Не буде </w:t>
            </w:r>
            <w:r w:rsidR="001041EE" w:rsidRPr="002F6E39">
              <w:rPr>
                <w:sz w:val="24"/>
                <w:szCs w:val="24"/>
              </w:rPr>
              <w:lastRenderedPageBreak/>
              <w:t>забезпечено застосування диференційованого підходу до ліцензіатів в залежності від часу провадження ними господарської діяльності у відповідній сфері (впровадження критерію «досвід ліцензіатів НКРЕКП»)</w:t>
            </w:r>
          </w:p>
        </w:tc>
      </w:tr>
      <w:tr w:rsidR="00D454A2" w:rsidRPr="002F6E39" w14:paraId="5D4DAEAF" w14:textId="77777777" w:rsidTr="00DB24AA">
        <w:trPr>
          <w:trHeight w:val="2010"/>
        </w:trPr>
        <w:tc>
          <w:tcPr>
            <w:tcW w:w="1285" w:type="pct"/>
            <w:vAlign w:val="center"/>
          </w:tcPr>
          <w:p w14:paraId="33CCE5C3" w14:textId="77777777" w:rsidR="00D454A2" w:rsidRPr="002F6E39" w:rsidRDefault="00D454A2" w:rsidP="00640434">
            <w:pPr>
              <w:ind w:left="127" w:right="65"/>
              <w:jc w:val="both"/>
              <w:rPr>
                <w:b/>
                <w:sz w:val="24"/>
              </w:rPr>
            </w:pPr>
            <w:r w:rsidRPr="002F6E39">
              <w:rPr>
                <w:b/>
                <w:sz w:val="24"/>
              </w:rPr>
              <w:lastRenderedPageBreak/>
              <w:t xml:space="preserve">Альтернатива </w:t>
            </w:r>
            <w:r w:rsidR="00F6179F" w:rsidRPr="002F6E39">
              <w:rPr>
                <w:b/>
                <w:sz w:val="24"/>
              </w:rPr>
              <w:t>2</w:t>
            </w:r>
          </w:p>
          <w:p w14:paraId="003807FD" w14:textId="77777777" w:rsidR="00D454A2" w:rsidRPr="002F6E39" w:rsidRDefault="00D454A2" w:rsidP="00640434">
            <w:pPr>
              <w:ind w:left="127" w:right="65"/>
              <w:jc w:val="both"/>
              <w:rPr>
                <w:sz w:val="24"/>
              </w:rPr>
            </w:pPr>
          </w:p>
          <w:p w14:paraId="009719C7" w14:textId="77777777" w:rsidR="00D454A2" w:rsidRPr="002F6E39" w:rsidRDefault="00847546" w:rsidP="00640434">
            <w:pPr>
              <w:ind w:left="127" w:right="65"/>
              <w:jc w:val="both"/>
              <w:rPr>
                <w:sz w:val="24"/>
              </w:rPr>
            </w:pPr>
            <w:r w:rsidRPr="002F6E39">
              <w:rPr>
                <w:sz w:val="24"/>
              </w:rPr>
              <w:t xml:space="preserve">Внесення змін до чинного регуляторного </w:t>
            </w:r>
            <w:proofErr w:type="spellStart"/>
            <w:r w:rsidRPr="002F6E39">
              <w:rPr>
                <w:sz w:val="24"/>
              </w:rPr>
              <w:t>акта</w:t>
            </w:r>
            <w:proofErr w:type="spellEnd"/>
          </w:p>
        </w:tc>
        <w:tc>
          <w:tcPr>
            <w:tcW w:w="1991" w:type="pct"/>
            <w:vAlign w:val="center"/>
          </w:tcPr>
          <w:p w14:paraId="3FC4A8DB" w14:textId="461E6978" w:rsidR="00D454A2" w:rsidRPr="002F6E39" w:rsidRDefault="002F6E39" w:rsidP="00527E89">
            <w:pPr>
              <w:ind w:left="77" w:right="63"/>
              <w:jc w:val="both"/>
              <w:rPr>
                <w:sz w:val="24"/>
                <w:szCs w:val="24"/>
              </w:rPr>
            </w:pPr>
            <w:r w:rsidRPr="002F6E39">
              <w:rPr>
                <w:sz w:val="24"/>
              </w:rPr>
              <w:t>Дозволить уточнити розрахунок суми штрафу, зокрема в частині накладення штрафу за відмову у проведенні перевірки, забезпечить введення критерію «досвід ліцензіатів НКРЕКП»</w:t>
            </w:r>
          </w:p>
        </w:tc>
        <w:tc>
          <w:tcPr>
            <w:tcW w:w="1724" w:type="pct"/>
            <w:vAlign w:val="center"/>
          </w:tcPr>
          <w:p w14:paraId="768EBF4C" w14:textId="77777777" w:rsidR="00D454A2" w:rsidRPr="002F6E39" w:rsidRDefault="00D454A2" w:rsidP="00670ABE">
            <w:pPr>
              <w:ind w:left="65"/>
              <w:jc w:val="both"/>
              <w:rPr>
                <w:sz w:val="24"/>
              </w:rPr>
            </w:pPr>
            <w:r w:rsidRPr="002F6E39">
              <w:rPr>
                <w:sz w:val="24"/>
              </w:rPr>
              <w:t>Відсутні</w:t>
            </w:r>
          </w:p>
        </w:tc>
      </w:tr>
    </w:tbl>
    <w:p w14:paraId="083354F5" w14:textId="77777777" w:rsidR="00BF152E" w:rsidRPr="002F6E39" w:rsidRDefault="00BF152E" w:rsidP="00D454A2">
      <w:pPr>
        <w:pStyle w:val="a3"/>
        <w:spacing w:before="9"/>
      </w:pPr>
    </w:p>
    <w:p w14:paraId="344EE544" w14:textId="77777777" w:rsidR="00D454A2" w:rsidRPr="002F6E39" w:rsidRDefault="00D454A2" w:rsidP="00D454A2">
      <w:pPr>
        <w:pStyle w:val="a9"/>
        <w:numPr>
          <w:ilvl w:val="0"/>
          <w:numId w:val="1"/>
        </w:numPr>
        <w:tabs>
          <w:tab w:val="left" w:pos="1134"/>
        </w:tabs>
        <w:spacing w:before="88"/>
        <w:ind w:hanging="357"/>
        <w:rPr>
          <w:sz w:val="28"/>
        </w:rPr>
      </w:pPr>
      <w:r w:rsidRPr="002F6E39">
        <w:rPr>
          <w:sz w:val="28"/>
        </w:rPr>
        <w:t>Оцінка впливу на сферу інтересів</w:t>
      </w:r>
      <w:r w:rsidRPr="002F6E39">
        <w:rPr>
          <w:spacing w:val="51"/>
          <w:sz w:val="28"/>
        </w:rPr>
        <w:t xml:space="preserve"> </w:t>
      </w:r>
      <w:r w:rsidRPr="002F6E39">
        <w:rPr>
          <w:sz w:val="28"/>
        </w:rPr>
        <w:t>громадян:</w:t>
      </w:r>
    </w:p>
    <w:p w14:paraId="51BE2643" w14:textId="77777777" w:rsidR="00D454A2" w:rsidRPr="002F6E39" w:rsidRDefault="00D454A2" w:rsidP="00D454A2">
      <w:pPr>
        <w:pStyle w:val="a3"/>
        <w:spacing w:before="4"/>
      </w:pPr>
    </w:p>
    <w:tbl>
      <w:tblPr>
        <w:tblStyle w:val="TableNormal"/>
        <w:tblW w:w="5000" w:type="pct"/>
        <w:tblBorders>
          <w:top w:val="single" w:sz="6" w:space="0" w:color="2B2B2B"/>
          <w:left w:val="single" w:sz="6" w:space="0" w:color="2B2B2B"/>
          <w:bottom w:val="single" w:sz="6" w:space="0" w:color="2B2B2B"/>
          <w:right w:val="single" w:sz="6" w:space="0" w:color="2B2B2B"/>
          <w:insideH w:val="single" w:sz="6" w:space="0" w:color="2B2B2B"/>
          <w:insideV w:val="single" w:sz="6" w:space="0" w:color="2B2B2B"/>
        </w:tblBorders>
        <w:tblLook w:val="01E0" w:firstRow="1" w:lastRow="1" w:firstColumn="1" w:lastColumn="1" w:noHBand="0" w:noVBand="0"/>
      </w:tblPr>
      <w:tblGrid>
        <w:gridCol w:w="2505"/>
        <w:gridCol w:w="4003"/>
        <w:gridCol w:w="3114"/>
      </w:tblGrid>
      <w:tr w:rsidR="00D454A2" w:rsidRPr="002F6E39" w14:paraId="4B08EB62" w14:textId="77777777" w:rsidTr="00A7751E">
        <w:trPr>
          <w:trHeight w:val="263"/>
        </w:trPr>
        <w:tc>
          <w:tcPr>
            <w:tcW w:w="1302" w:type="pct"/>
            <w:vAlign w:val="center"/>
          </w:tcPr>
          <w:p w14:paraId="06CEB9E6" w14:textId="77777777" w:rsidR="00D454A2" w:rsidRPr="002F6E39" w:rsidRDefault="00D454A2" w:rsidP="003032D0">
            <w:pPr>
              <w:jc w:val="center"/>
              <w:rPr>
                <w:b/>
                <w:sz w:val="24"/>
              </w:rPr>
            </w:pPr>
            <w:r w:rsidRPr="002F6E39">
              <w:rPr>
                <w:b/>
                <w:sz w:val="24"/>
              </w:rPr>
              <w:t>Вид альтернативи</w:t>
            </w:r>
          </w:p>
        </w:tc>
        <w:tc>
          <w:tcPr>
            <w:tcW w:w="2080" w:type="pct"/>
            <w:vAlign w:val="center"/>
          </w:tcPr>
          <w:p w14:paraId="43BE7310" w14:textId="77777777" w:rsidR="00D454A2" w:rsidRPr="002F6E39" w:rsidRDefault="00D454A2" w:rsidP="003032D0">
            <w:pPr>
              <w:jc w:val="center"/>
              <w:rPr>
                <w:b/>
                <w:sz w:val="24"/>
              </w:rPr>
            </w:pPr>
            <w:r w:rsidRPr="002F6E39">
              <w:rPr>
                <w:b/>
                <w:sz w:val="24"/>
              </w:rPr>
              <w:t>Вигоди</w:t>
            </w:r>
          </w:p>
        </w:tc>
        <w:tc>
          <w:tcPr>
            <w:tcW w:w="1618" w:type="pct"/>
            <w:vAlign w:val="center"/>
          </w:tcPr>
          <w:p w14:paraId="7C5103BA" w14:textId="77777777" w:rsidR="00D454A2" w:rsidRPr="002F6E39" w:rsidRDefault="00D454A2" w:rsidP="003032D0">
            <w:pPr>
              <w:jc w:val="center"/>
              <w:rPr>
                <w:b/>
                <w:sz w:val="24"/>
              </w:rPr>
            </w:pPr>
            <w:r w:rsidRPr="002F6E39">
              <w:rPr>
                <w:b/>
                <w:sz w:val="24"/>
              </w:rPr>
              <w:t>Витрати</w:t>
            </w:r>
          </w:p>
        </w:tc>
      </w:tr>
      <w:tr w:rsidR="00847546" w:rsidRPr="002F6E39" w14:paraId="745EEFE5" w14:textId="77777777" w:rsidTr="00A7751E">
        <w:trPr>
          <w:trHeight w:val="753"/>
        </w:trPr>
        <w:tc>
          <w:tcPr>
            <w:tcW w:w="1302" w:type="pct"/>
            <w:vAlign w:val="center"/>
          </w:tcPr>
          <w:p w14:paraId="303AEF56" w14:textId="77777777" w:rsidR="00847546" w:rsidRPr="002F6E39" w:rsidRDefault="00847546" w:rsidP="00847546">
            <w:pPr>
              <w:jc w:val="both"/>
              <w:rPr>
                <w:b/>
                <w:sz w:val="24"/>
              </w:rPr>
            </w:pPr>
            <w:r w:rsidRPr="002F6E39">
              <w:rPr>
                <w:b/>
                <w:sz w:val="24"/>
              </w:rPr>
              <w:t>Альтернатива 1</w:t>
            </w:r>
          </w:p>
          <w:p w14:paraId="5FFC7CD3" w14:textId="77777777" w:rsidR="00847546" w:rsidRPr="002F6E39" w:rsidRDefault="00847546" w:rsidP="00847546">
            <w:pPr>
              <w:jc w:val="both"/>
              <w:rPr>
                <w:sz w:val="24"/>
              </w:rPr>
            </w:pPr>
            <w:r w:rsidRPr="002F6E39">
              <w:rPr>
                <w:sz w:val="24"/>
              </w:rPr>
              <w:t>Збереження чинного регулювання</w:t>
            </w:r>
          </w:p>
        </w:tc>
        <w:tc>
          <w:tcPr>
            <w:tcW w:w="2080" w:type="pct"/>
            <w:vAlign w:val="center"/>
          </w:tcPr>
          <w:p w14:paraId="744D8889" w14:textId="77777777" w:rsidR="00847546" w:rsidRPr="002F6E39" w:rsidRDefault="00847546" w:rsidP="00847546">
            <w:pPr>
              <w:rPr>
                <w:sz w:val="24"/>
              </w:rPr>
            </w:pPr>
            <w:r w:rsidRPr="002F6E39">
              <w:rPr>
                <w:sz w:val="24"/>
              </w:rPr>
              <w:t>Відсутні</w:t>
            </w:r>
          </w:p>
        </w:tc>
        <w:tc>
          <w:tcPr>
            <w:tcW w:w="1618" w:type="pct"/>
            <w:vAlign w:val="center"/>
          </w:tcPr>
          <w:p w14:paraId="5D7BE076" w14:textId="77777777" w:rsidR="00847546" w:rsidRPr="002F6E39" w:rsidRDefault="004A1320" w:rsidP="00847546">
            <w:pPr>
              <w:rPr>
                <w:sz w:val="24"/>
              </w:rPr>
            </w:pPr>
            <w:r w:rsidRPr="002F6E39">
              <w:rPr>
                <w:sz w:val="24"/>
              </w:rPr>
              <w:t>Відсутні</w:t>
            </w:r>
          </w:p>
        </w:tc>
      </w:tr>
      <w:tr w:rsidR="00847546" w:rsidRPr="002F6E39" w14:paraId="4457550E" w14:textId="77777777" w:rsidTr="00A7751E">
        <w:trPr>
          <w:trHeight w:val="751"/>
        </w:trPr>
        <w:tc>
          <w:tcPr>
            <w:tcW w:w="1302" w:type="pct"/>
            <w:vAlign w:val="center"/>
          </w:tcPr>
          <w:p w14:paraId="79262D02" w14:textId="77777777" w:rsidR="00847546" w:rsidRPr="002F6E39" w:rsidRDefault="00847546" w:rsidP="00847546">
            <w:pPr>
              <w:jc w:val="both"/>
              <w:rPr>
                <w:b/>
                <w:sz w:val="24"/>
              </w:rPr>
            </w:pPr>
            <w:r w:rsidRPr="002F6E39">
              <w:rPr>
                <w:b/>
                <w:sz w:val="24"/>
              </w:rPr>
              <w:t xml:space="preserve">Альтернатива </w:t>
            </w:r>
            <w:r w:rsidR="00E81FBA" w:rsidRPr="002F6E39">
              <w:rPr>
                <w:b/>
                <w:sz w:val="24"/>
              </w:rPr>
              <w:t>2</w:t>
            </w:r>
          </w:p>
          <w:p w14:paraId="47A8026B" w14:textId="77777777" w:rsidR="00847546" w:rsidRPr="002F6E39" w:rsidRDefault="00847546" w:rsidP="00847546">
            <w:pPr>
              <w:jc w:val="both"/>
              <w:rPr>
                <w:sz w:val="14"/>
              </w:rPr>
            </w:pPr>
          </w:p>
          <w:p w14:paraId="1371948C" w14:textId="77777777" w:rsidR="00847546" w:rsidRPr="002F6E39" w:rsidRDefault="00847546" w:rsidP="00847546">
            <w:pPr>
              <w:jc w:val="both"/>
              <w:rPr>
                <w:sz w:val="24"/>
              </w:rPr>
            </w:pPr>
            <w:r w:rsidRPr="002F6E39">
              <w:rPr>
                <w:sz w:val="24"/>
              </w:rPr>
              <w:t xml:space="preserve">Внесення змін до чинного регуляторного </w:t>
            </w:r>
            <w:proofErr w:type="spellStart"/>
            <w:r w:rsidRPr="002F6E39">
              <w:rPr>
                <w:sz w:val="24"/>
              </w:rPr>
              <w:t>акта</w:t>
            </w:r>
            <w:proofErr w:type="spellEnd"/>
          </w:p>
        </w:tc>
        <w:tc>
          <w:tcPr>
            <w:tcW w:w="2080" w:type="pct"/>
            <w:vAlign w:val="center"/>
          </w:tcPr>
          <w:p w14:paraId="075C71E4" w14:textId="77777777" w:rsidR="00847546" w:rsidRPr="002F6E39" w:rsidRDefault="00C52F1A" w:rsidP="00847546">
            <w:pPr>
              <w:ind w:right="229"/>
              <w:jc w:val="both"/>
              <w:rPr>
                <w:sz w:val="24"/>
              </w:rPr>
            </w:pPr>
            <w:r w:rsidRPr="002F6E39">
              <w:rPr>
                <w:sz w:val="24"/>
              </w:rPr>
              <w:t>Відсутні</w:t>
            </w:r>
          </w:p>
        </w:tc>
        <w:tc>
          <w:tcPr>
            <w:tcW w:w="1618" w:type="pct"/>
            <w:vAlign w:val="center"/>
          </w:tcPr>
          <w:p w14:paraId="0089DFB2" w14:textId="77777777" w:rsidR="00847546" w:rsidRPr="002F6E39" w:rsidRDefault="00847546" w:rsidP="00847546">
            <w:pPr>
              <w:rPr>
                <w:sz w:val="24"/>
              </w:rPr>
            </w:pPr>
            <w:r w:rsidRPr="002F6E39">
              <w:rPr>
                <w:sz w:val="24"/>
              </w:rPr>
              <w:t>Відсутні</w:t>
            </w:r>
          </w:p>
        </w:tc>
      </w:tr>
    </w:tbl>
    <w:p w14:paraId="6566C610" w14:textId="77777777" w:rsidR="00D454A2" w:rsidRPr="002F6E39" w:rsidRDefault="00D454A2" w:rsidP="00D454A2">
      <w:pPr>
        <w:pStyle w:val="a3"/>
        <w:spacing w:before="9"/>
      </w:pPr>
    </w:p>
    <w:p w14:paraId="32C94029" w14:textId="77777777" w:rsidR="00D454A2" w:rsidRPr="002F6E39" w:rsidRDefault="00D454A2" w:rsidP="00D454A2">
      <w:pPr>
        <w:pStyle w:val="a9"/>
        <w:numPr>
          <w:ilvl w:val="0"/>
          <w:numId w:val="1"/>
        </w:numPr>
        <w:tabs>
          <w:tab w:val="left" w:pos="1134"/>
        </w:tabs>
        <w:spacing w:before="88"/>
        <w:ind w:hanging="358"/>
        <w:rPr>
          <w:sz w:val="28"/>
          <w:szCs w:val="28"/>
        </w:rPr>
      </w:pPr>
      <w:r w:rsidRPr="002F6E39">
        <w:rPr>
          <w:sz w:val="28"/>
          <w:szCs w:val="28"/>
        </w:rPr>
        <w:t xml:space="preserve">Оцінка впливу на сферу інтересів </w:t>
      </w:r>
      <w:proofErr w:type="spellStart"/>
      <w:r w:rsidRPr="002F6E39">
        <w:rPr>
          <w:sz w:val="28"/>
          <w:szCs w:val="28"/>
        </w:rPr>
        <w:t>cyб</w:t>
      </w:r>
      <w:r w:rsidR="00473687" w:rsidRPr="002F6E39">
        <w:rPr>
          <w:sz w:val="28"/>
          <w:szCs w:val="28"/>
        </w:rPr>
        <w:t>’</w:t>
      </w:r>
      <w:r w:rsidRPr="002F6E39">
        <w:rPr>
          <w:sz w:val="28"/>
          <w:szCs w:val="28"/>
        </w:rPr>
        <w:t>єктів</w:t>
      </w:r>
      <w:proofErr w:type="spellEnd"/>
      <w:r w:rsidRPr="002F6E39">
        <w:rPr>
          <w:spacing w:val="53"/>
          <w:sz w:val="28"/>
          <w:szCs w:val="28"/>
        </w:rPr>
        <w:t xml:space="preserve"> </w:t>
      </w:r>
      <w:r w:rsidRPr="002F6E39">
        <w:rPr>
          <w:sz w:val="28"/>
          <w:szCs w:val="28"/>
        </w:rPr>
        <w:t>господарювання:</w:t>
      </w:r>
    </w:p>
    <w:p w14:paraId="6DAF3165" w14:textId="77777777" w:rsidR="00D454A2" w:rsidRPr="002F6E39" w:rsidRDefault="00D454A2" w:rsidP="00D454A2">
      <w:pPr>
        <w:pStyle w:val="a3"/>
      </w:pPr>
    </w:p>
    <w:tbl>
      <w:tblPr>
        <w:tblStyle w:val="TableNormal"/>
        <w:tblW w:w="5000" w:type="pct"/>
        <w:tblBorders>
          <w:top w:val="single" w:sz="6" w:space="0" w:color="131313"/>
          <w:left w:val="single" w:sz="6" w:space="0" w:color="131313"/>
          <w:bottom w:val="single" w:sz="6" w:space="0" w:color="131313"/>
          <w:right w:val="single" w:sz="6" w:space="0" w:color="131313"/>
          <w:insideH w:val="single" w:sz="6" w:space="0" w:color="131313"/>
          <w:insideV w:val="single" w:sz="6" w:space="0" w:color="131313"/>
        </w:tblBorders>
        <w:tblLook w:val="01E0" w:firstRow="1" w:lastRow="1" w:firstColumn="1" w:lastColumn="1" w:noHBand="0" w:noVBand="0"/>
      </w:tblPr>
      <w:tblGrid>
        <w:gridCol w:w="2505"/>
        <w:gridCol w:w="3880"/>
        <w:gridCol w:w="3237"/>
      </w:tblGrid>
      <w:tr w:rsidR="00D454A2" w:rsidRPr="002F6E39" w14:paraId="68514A5F" w14:textId="77777777" w:rsidTr="002B2E21">
        <w:trPr>
          <w:trHeight w:val="258"/>
        </w:trPr>
        <w:tc>
          <w:tcPr>
            <w:tcW w:w="1302" w:type="pct"/>
            <w:vAlign w:val="center"/>
          </w:tcPr>
          <w:p w14:paraId="7506DAFC" w14:textId="77777777" w:rsidR="00D454A2" w:rsidRPr="002F6E39" w:rsidRDefault="00D454A2" w:rsidP="003032D0">
            <w:pPr>
              <w:jc w:val="center"/>
              <w:rPr>
                <w:b/>
                <w:sz w:val="24"/>
              </w:rPr>
            </w:pPr>
            <w:r w:rsidRPr="002F6E39">
              <w:rPr>
                <w:b/>
                <w:sz w:val="24"/>
              </w:rPr>
              <w:t>Вид альтернативи</w:t>
            </w:r>
          </w:p>
        </w:tc>
        <w:tc>
          <w:tcPr>
            <w:tcW w:w="2016" w:type="pct"/>
            <w:vAlign w:val="center"/>
          </w:tcPr>
          <w:p w14:paraId="230BF9F2" w14:textId="77777777" w:rsidR="00D454A2" w:rsidRPr="002F6E39" w:rsidRDefault="00D454A2" w:rsidP="003032D0">
            <w:pPr>
              <w:jc w:val="center"/>
              <w:rPr>
                <w:b/>
                <w:sz w:val="24"/>
              </w:rPr>
            </w:pPr>
            <w:r w:rsidRPr="002F6E39">
              <w:rPr>
                <w:b/>
                <w:sz w:val="24"/>
              </w:rPr>
              <w:t>Вигоди</w:t>
            </w:r>
          </w:p>
        </w:tc>
        <w:tc>
          <w:tcPr>
            <w:tcW w:w="1682" w:type="pct"/>
            <w:vAlign w:val="center"/>
          </w:tcPr>
          <w:p w14:paraId="1D809142" w14:textId="77777777" w:rsidR="00D454A2" w:rsidRPr="002F6E39" w:rsidRDefault="00D454A2" w:rsidP="003032D0">
            <w:pPr>
              <w:jc w:val="center"/>
              <w:rPr>
                <w:b/>
                <w:sz w:val="24"/>
              </w:rPr>
            </w:pPr>
            <w:r w:rsidRPr="002F6E39">
              <w:rPr>
                <w:b/>
                <w:sz w:val="24"/>
              </w:rPr>
              <w:t>Витрати</w:t>
            </w:r>
          </w:p>
        </w:tc>
      </w:tr>
      <w:tr w:rsidR="00847546" w:rsidRPr="002F6E39" w14:paraId="71442A00" w14:textId="77777777" w:rsidTr="002B2E21">
        <w:trPr>
          <w:trHeight w:val="757"/>
        </w:trPr>
        <w:tc>
          <w:tcPr>
            <w:tcW w:w="1302" w:type="pct"/>
            <w:vAlign w:val="center"/>
          </w:tcPr>
          <w:p w14:paraId="119EFD99" w14:textId="77777777" w:rsidR="00847546" w:rsidRPr="002F6E39" w:rsidRDefault="00847546" w:rsidP="001B35D7">
            <w:pPr>
              <w:ind w:left="127" w:right="95"/>
              <w:jc w:val="both"/>
              <w:rPr>
                <w:b/>
                <w:sz w:val="24"/>
              </w:rPr>
            </w:pPr>
            <w:r w:rsidRPr="002F6E39">
              <w:rPr>
                <w:b/>
                <w:sz w:val="24"/>
              </w:rPr>
              <w:t>Альтернатива 1</w:t>
            </w:r>
          </w:p>
          <w:p w14:paraId="1B739D51" w14:textId="77777777" w:rsidR="00847546" w:rsidRPr="002F6E39" w:rsidRDefault="00847546" w:rsidP="001B35D7">
            <w:pPr>
              <w:ind w:left="127" w:right="95"/>
              <w:jc w:val="both"/>
              <w:rPr>
                <w:sz w:val="24"/>
              </w:rPr>
            </w:pPr>
            <w:r w:rsidRPr="002F6E39">
              <w:rPr>
                <w:sz w:val="24"/>
              </w:rPr>
              <w:t>Збереження чинного регулювання</w:t>
            </w:r>
          </w:p>
        </w:tc>
        <w:tc>
          <w:tcPr>
            <w:tcW w:w="2016" w:type="pct"/>
            <w:vAlign w:val="center"/>
          </w:tcPr>
          <w:p w14:paraId="3D66F1E3" w14:textId="77777777" w:rsidR="00847546" w:rsidRPr="002F6E39" w:rsidRDefault="00847546" w:rsidP="00152CDC">
            <w:pPr>
              <w:ind w:left="175" w:right="153"/>
              <w:rPr>
                <w:sz w:val="24"/>
              </w:rPr>
            </w:pPr>
            <w:r w:rsidRPr="002F6E39">
              <w:rPr>
                <w:sz w:val="24"/>
              </w:rPr>
              <w:t>Відсутні</w:t>
            </w:r>
          </w:p>
        </w:tc>
        <w:tc>
          <w:tcPr>
            <w:tcW w:w="1682" w:type="pct"/>
            <w:vAlign w:val="center"/>
          </w:tcPr>
          <w:p w14:paraId="315A538E" w14:textId="03F1BEA4" w:rsidR="00847546" w:rsidRPr="002F6E39" w:rsidRDefault="002827C2" w:rsidP="00814DC2">
            <w:pPr>
              <w:ind w:left="131" w:right="133"/>
              <w:rPr>
                <w:sz w:val="24"/>
              </w:rPr>
            </w:pPr>
            <w:r w:rsidRPr="002F6E39">
              <w:rPr>
                <w:sz w:val="24"/>
                <w:szCs w:val="24"/>
              </w:rPr>
              <w:t xml:space="preserve">Існуючий механізм </w:t>
            </w:r>
            <w:r w:rsidR="008E5EF4" w:rsidRPr="008E5EF4">
              <w:rPr>
                <w:sz w:val="24"/>
                <w:szCs w:val="24"/>
              </w:rPr>
              <w:t>застосування санкцій до ліцензіатів НКРЕКП, які за критерієм «величина ліцензіата» відносяться до малих ліцензіатів</w:t>
            </w:r>
            <w:r w:rsidR="00F430DE" w:rsidRPr="002F6E39">
              <w:rPr>
                <w:sz w:val="24"/>
                <w:szCs w:val="24"/>
              </w:rPr>
              <w:t xml:space="preserve"> потребує уточнення</w:t>
            </w:r>
          </w:p>
        </w:tc>
      </w:tr>
      <w:tr w:rsidR="00847546" w:rsidRPr="002F6E39" w14:paraId="4C668D03" w14:textId="77777777" w:rsidTr="002B2E21">
        <w:trPr>
          <w:trHeight w:val="1506"/>
        </w:trPr>
        <w:tc>
          <w:tcPr>
            <w:tcW w:w="1302" w:type="pct"/>
            <w:vAlign w:val="center"/>
          </w:tcPr>
          <w:p w14:paraId="5F0C43C6" w14:textId="77777777" w:rsidR="00847546" w:rsidRPr="002F6E39" w:rsidRDefault="00847546" w:rsidP="001B35D7">
            <w:pPr>
              <w:ind w:left="127" w:right="95"/>
              <w:jc w:val="both"/>
              <w:rPr>
                <w:b/>
                <w:sz w:val="24"/>
              </w:rPr>
            </w:pPr>
            <w:r w:rsidRPr="002F6E39">
              <w:rPr>
                <w:b/>
                <w:sz w:val="24"/>
              </w:rPr>
              <w:t xml:space="preserve">Альтернатива </w:t>
            </w:r>
            <w:r w:rsidR="000063E0" w:rsidRPr="002F6E39">
              <w:rPr>
                <w:b/>
                <w:sz w:val="24"/>
              </w:rPr>
              <w:t>2</w:t>
            </w:r>
          </w:p>
          <w:p w14:paraId="77E79B67" w14:textId="77777777" w:rsidR="00847546" w:rsidRPr="002F6E39" w:rsidRDefault="00847546" w:rsidP="001B35D7">
            <w:pPr>
              <w:ind w:left="127" w:right="95"/>
              <w:jc w:val="both"/>
              <w:rPr>
                <w:sz w:val="24"/>
              </w:rPr>
            </w:pPr>
          </w:p>
          <w:p w14:paraId="0B41BB07" w14:textId="77777777" w:rsidR="00847546" w:rsidRPr="002F6E39" w:rsidRDefault="00847546" w:rsidP="001B35D7">
            <w:pPr>
              <w:ind w:left="127" w:right="95"/>
              <w:jc w:val="both"/>
              <w:rPr>
                <w:sz w:val="24"/>
              </w:rPr>
            </w:pPr>
            <w:r w:rsidRPr="002F6E39">
              <w:rPr>
                <w:sz w:val="24"/>
              </w:rPr>
              <w:t xml:space="preserve">Внесення змін до чинного регуляторного </w:t>
            </w:r>
            <w:proofErr w:type="spellStart"/>
            <w:r w:rsidRPr="002F6E39">
              <w:rPr>
                <w:sz w:val="24"/>
              </w:rPr>
              <w:t>акта</w:t>
            </w:r>
            <w:proofErr w:type="spellEnd"/>
          </w:p>
        </w:tc>
        <w:tc>
          <w:tcPr>
            <w:tcW w:w="2016" w:type="pct"/>
            <w:vAlign w:val="center"/>
          </w:tcPr>
          <w:p w14:paraId="73B0B1B7" w14:textId="7ED5C164" w:rsidR="00847546" w:rsidRPr="002F6E39" w:rsidRDefault="008E5EF4" w:rsidP="00152CDC">
            <w:pPr>
              <w:ind w:left="175" w:right="153"/>
              <w:jc w:val="both"/>
              <w:rPr>
                <w:sz w:val="24"/>
              </w:rPr>
            </w:pPr>
            <w:r w:rsidRPr="008E5EF4">
              <w:rPr>
                <w:sz w:val="24"/>
              </w:rPr>
              <w:t>Застосування диференційованого підходу до ліцензіатів в залежності від часу провадження ними господарської діяльності у відповідній сфері (впровадження критерію «досвід ліцензіатів НКРЕКП»)</w:t>
            </w:r>
          </w:p>
        </w:tc>
        <w:tc>
          <w:tcPr>
            <w:tcW w:w="1682" w:type="pct"/>
            <w:vAlign w:val="center"/>
          </w:tcPr>
          <w:p w14:paraId="5C9E9FD5" w14:textId="77777777" w:rsidR="00847546" w:rsidRPr="002F6E39" w:rsidRDefault="00847546" w:rsidP="001B35D7">
            <w:pPr>
              <w:ind w:left="131" w:right="133"/>
              <w:jc w:val="both"/>
              <w:rPr>
                <w:sz w:val="24"/>
              </w:rPr>
            </w:pPr>
            <w:r w:rsidRPr="002F6E39">
              <w:rPr>
                <w:sz w:val="24"/>
              </w:rPr>
              <w:t>Відсутні</w:t>
            </w:r>
          </w:p>
        </w:tc>
      </w:tr>
    </w:tbl>
    <w:p w14:paraId="153C95BE" w14:textId="77777777" w:rsidR="00D454A2" w:rsidRPr="002F6E39" w:rsidRDefault="00D454A2" w:rsidP="00D454A2">
      <w:pPr>
        <w:pStyle w:val="a3"/>
      </w:pPr>
    </w:p>
    <w:p w14:paraId="27D5B1AC" w14:textId="27E60872" w:rsidR="00D454A2" w:rsidRPr="002F6E39" w:rsidRDefault="00D454A2" w:rsidP="00B348B4">
      <w:pPr>
        <w:pStyle w:val="a3"/>
        <w:numPr>
          <w:ilvl w:val="1"/>
          <w:numId w:val="3"/>
        </w:numPr>
        <w:spacing w:before="1"/>
        <w:jc w:val="center"/>
        <w:rPr>
          <w:b/>
          <w:bCs/>
          <w:shd w:val="clear" w:color="auto" w:fill="FFFFFF"/>
        </w:rPr>
      </w:pPr>
      <w:r w:rsidRPr="002F6E39">
        <w:rPr>
          <w:b/>
          <w:bCs/>
          <w:shd w:val="clear" w:color="auto" w:fill="FFFFFF"/>
        </w:rPr>
        <w:t>Вибір найбільш оптимального</w:t>
      </w:r>
      <w:r w:rsidR="007B121F" w:rsidRPr="002F6E39">
        <w:rPr>
          <w:b/>
          <w:bCs/>
          <w:shd w:val="clear" w:color="auto" w:fill="FFFFFF"/>
        </w:rPr>
        <w:t xml:space="preserve"> </w:t>
      </w:r>
      <w:r w:rsidRPr="002F6E39">
        <w:rPr>
          <w:b/>
          <w:bCs/>
          <w:shd w:val="clear" w:color="auto" w:fill="FFFFFF"/>
        </w:rPr>
        <w:t>альтернативного способу досягнення цілей</w:t>
      </w:r>
    </w:p>
    <w:p w14:paraId="4C0DE408" w14:textId="77777777" w:rsidR="00D454A2" w:rsidRPr="002F6E39" w:rsidRDefault="00D454A2" w:rsidP="00D454A2">
      <w:pPr>
        <w:pStyle w:val="a3"/>
        <w:spacing w:before="1"/>
        <w:ind w:left="3725"/>
        <w:rPr>
          <w:sz w:val="27"/>
        </w:rPr>
      </w:pPr>
    </w:p>
    <w:p w14:paraId="3C149233" w14:textId="77777777" w:rsidR="00772360" w:rsidRPr="002F6E39" w:rsidRDefault="00772360" w:rsidP="00D454A2">
      <w:pPr>
        <w:pStyle w:val="a3"/>
        <w:spacing w:before="4"/>
        <w:jc w:val="center"/>
        <w:rPr>
          <w:b/>
        </w:rPr>
      </w:pPr>
    </w:p>
    <w:tbl>
      <w:tblPr>
        <w:tblStyle w:val="TableNormal"/>
        <w:tblW w:w="5000" w:type="pct"/>
        <w:tblBorders>
          <w:top w:val="single" w:sz="6" w:space="0" w:color="1C1C1C"/>
          <w:left w:val="single" w:sz="6" w:space="0" w:color="1C1C1C"/>
          <w:bottom w:val="single" w:sz="6" w:space="0" w:color="1C1C1C"/>
          <w:right w:val="single" w:sz="6" w:space="0" w:color="1C1C1C"/>
          <w:insideH w:val="single" w:sz="6" w:space="0" w:color="1C1C1C"/>
          <w:insideV w:val="single" w:sz="6" w:space="0" w:color="1C1C1C"/>
        </w:tblBorders>
        <w:tblLook w:val="01E0" w:firstRow="1" w:lastRow="1" w:firstColumn="1" w:lastColumn="1" w:noHBand="0" w:noVBand="0"/>
      </w:tblPr>
      <w:tblGrid>
        <w:gridCol w:w="3012"/>
        <w:gridCol w:w="2771"/>
        <w:gridCol w:w="3839"/>
      </w:tblGrid>
      <w:tr w:rsidR="00D454A2" w:rsidRPr="002F6E39" w14:paraId="2A047DFE" w14:textId="77777777" w:rsidTr="00543C83">
        <w:trPr>
          <w:trHeight w:val="767"/>
        </w:trPr>
        <w:tc>
          <w:tcPr>
            <w:tcW w:w="1565" w:type="pct"/>
            <w:vAlign w:val="center"/>
          </w:tcPr>
          <w:p w14:paraId="7C397FBF" w14:textId="77777777" w:rsidR="00D454A2" w:rsidRPr="002F6E39" w:rsidRDefault="00D454A2" w:rsidP="003032D0">
            <w:pPr>
              <w:jc w:val="center"/>
              <w:rPr>
                <w:b/>
                <w:sz w:val="24"/>
              </w:rPr>
            </w:pPr>
            <w:r w:rsidRPr="002F6E39">
              <w:rPr>
                <w:b/>
                <w:sz w:val="24"/>
              </w:rPr>
              <w:t>Рейтинг результативності</w:t>
            </w:r>
          </w:p>
          <w:p w14:paraId="44E6BEB1" w14:textId="77777777" w:rsidR="00D454A2" w:rsidRPr="002F6E39" w:rsidRDefault="00D454A2" w:rsidP="003032D0">
            <w:pPr>
              <w:jc w:val="center"/>
              <w:rPr>
                <w:sz w:val="24"/>
              </w:rPr>
            </w:pPr>
            <w:r w:rsidRPr="002F6E39">
              <w:rPr>
                <w:sz w:val="24"/>
              </w:rPr>
              <w:t>(досягнення цілей під час вирішення проблеми)</w:t>
            </w:r>
          </w:p>
        </w:tc>
        <w:tc>
          <w:tcPr>
            <w:tcW w:w="1440" w:type="pct"/>
            <w:vAlign w:val="center"/>
          </w:tcPr>
          <w:p w14:paraId="632E7353" w14:textId="77777777" w:rsidR="00D454A2" w:rsidRPr="002F6E39" w:rsidRDefault="00D454A2" w:rsidP="003032D0">
            <w:pPr>
              <w:jc w:val="center"/>
              <w:rPr>
                <w:b/>
                <w:sz w:val="24"/>
              </w:rPr>
            </w:pPr>
            <w:r w:rsidRPr="002F6E39">
              <w:rPr>
                <w:b/>
                <w:sz w:val="24"/>
              </w:rPr>
              <w:t>Бал результативності</w:t>
            </w:r>
          </w:p>
          <w:p w14:paraId="080B2DFE" w14:textId="77777777" w:rsidR="00D454A2" w:rsidRPr="002F6E39" w:rsidRDefault="00D454A2" w:rsidP="003032D0">
            <w:pPr>
              <w:jc w:val="center"/>
              <w:rPr>
                <w:sz w:val="24"/>
              </w:rPr>
            </w:pPr>
            <w:r w:rsidRPr="002F6E39">
              <w:rPr>
                <w:sz w:val="24"/>
              </w:rPr>
              <w:t>(за чотирибальною системою оцінки)</w:t>
            </w:r>
          </w:p>
        </w:tc>
        <w:tc>
          <w:tcPr>
            <w:tcW w:w="1995" w:type="pct"/>
            <w:vAlign w:val="center"/>
          </w:tcPr>
          <w:p w14:paraId="2FF01FE6" w14:textId="77777777" w:rsidR="00D454A2" w:rsidRPr="002F6E39" w:rsidRDefault="00D454A2" w:rsidP="003032D0">
            <w:pPr>
              <w:jc w:val="center"/>
              <w:rPr>
                <w:b/>
                <w:sz w:val="24"/>
              </w:rPr>
            </w:pPr>
            <w:r w:rsidRPr="002F6E39">
              <w:rPr>
                <w:b/>
                <w:sz w:val="24"/>
              </w:rPr>
              <w:t xml:space="preserve">Коментарі щодо присвоєння відповідного </w:t>
            </w:r>
            <w:proofErr w:type="spellStart"/>
            <w:r w:rsidRPr="002F6E39">
              <w:rPr>
                <w:b/>
                <w:sz w:val="24"/>
              </w:rPr>
              <w:t>бала</w:t>
            </w:r>
            <w:proofErr w:type="spellEnd"/>
          </w:p>
        </w:tc>
      </w:tr>
      <w:tr w:rsidR="00847546" w:rsidRPr="002F6E39" w14:paraId="12C95D7C" w14:textId="77777777" w:rsidTr="00543C83">
        <w:trPr>
          <w:trHeight w:val="1626"/>
        </w:trPr>
        <w:tc>
          <w:tcPr>
            <w:tcW w:w="1565" w:type="pct"/>
            <w:vAlign w:val="center"/>
          </w:tcPr>
          <w:p w14:paraId="09623F09" w14:textId="77777777" w:rsidR="00847546" w:rsidRPr="002F6E39" w:rsidRDefault="00847546" w:rsidP="009F2EA7">
            <w:pPr>
              <w:ind w:left="127" w:right="180"/>
              <w:jc w:val="both"/>
              <w:rPr>
                <w:b/>
                <w:sz w:val="24"/>
              </w:rPr>
            </w:pPr>
            <w:r w:rsidRPr="002F6E39">
              <w:rPr>
                <w:b/>
                <w:sz w:val="24"/>
              </w:rPr>
              <w:t>Альтернатива 1</w:t>
            </w:r>
          </w:p>
          <w:p w14:paraId="1918F3DE" w14:textId="77777777" w:rsidR="00847546" w:rsidRPr="002F6E39" w:rsidRDefault="00847546" w:rsidP="009F2EA7">
            <w:pPr>
              <w:ind w:left="127" w:right="180"/>
              <w:jc w:val="both"/>
              <w:rPr>
                <w:sz w:val="24"/>
              </w:rPr>
            </w:pPr>
            <w:r w:rsidRPr="002F6E39">
              <w:rPr>
                <w:sz w:val="24"/>
              </w:rPr>
              <w:t>Збереження чинного регулювання</w:t>
            </w:r>
          </w:p>
        </w:tc>
        <w:tc>
          <w:tcPr>
            <w:tcW w:w="1440" w:type="pct"/>
            <w:vAlign w:val="center"/>
          </w:tcPr>
          <w:p w14:paraId="6D505CF1" w14:textId="1A819791" w:rsidR="00847546" w:rsidRPr="002F6E39" w:rsidRDefault="00F430DE" w:rsidP="00DC4CF0">
            <w:pPr>
              <w:jc w:val="center"/>
              <w:rPr>
                <w:sz w:val="24"/>
              </w:rPr>
            </w:pPr>
            <w:r w:rsidRPr="002F6E39">
              <w:rPr>
                <w:sz w:val="24"/>
              </w:rPr>
              <w:t>2</w:t>
            </w:r>
          </w:p>
        </w:tc>
        <w:tc>
          <w:tcPr>
            <w:tcW w:w="1995" w:type="pct"/>
            <w:vAlign w:val="center"/>
          </w:tcPr>
          <w:p w14:paraId="3F0A8CD3" w14:textId="242FD93C" w:rsidR="00847546" w:rsidRPr="002F6E39" w:rsidRDefault="008E5EF4" w:rsidP="009F2EA7">
            <w:pPr>
              <w:ind w:left="22" w:right="142"/>
              <w:jc w:val="both"/>
              <w:rPr>
                <w:sz w:val="24"/>
              </w:rPr>
            </w:pPr>
            <w:r w:rsidRPr="008E5EF4">
              <w:rPr>
                <w:sz w:val="24"/>
                <w:szCs w:val="24"/>
              </w:rPr>
              <w:t>Не забезпечить можливості доопрацювання механізму застосування санкцій до ліцензіатів НКРЕКП, які за критерієм «величина ліцензіата» відносяться до малих ліцензіатів, не буде забезпечено посилення відповідальності за відмову у проведенні перевірки. Не буде забезпечено застосування диференційованого підходу до ліцензіатів в залежності від часу провадження ними господарської діяльності у відповідній сфері (впровадження критерію «досвід ліцензіатів НКРЕКП»)</w:t>
            </w:r>
          </w:p>
        </w:tc>
      </w:tr>
      <w:tr w:rsidR="00847546" w:rsidRPr="002F6E39" w14:paraId="21E00C97" w14:textId="77777777" w:rsidTr="00543C83">
        <w:trPr>
          <w:trHeight w:val="2575"/>
        </w:trPr>
        <w:tc>
          <w:tcPr>
            <w:tcW w:w="1565" w:type="pct"/>
            <w:vAlign w:val="center"/>
          </w:tcPr>
          <w:p w14:paraId="521427ED" w14:textId="77777777" w:rsidR="00847546" w:rsidRPr="002F6E39" w:rsidRDefault="00847546" w:rsidP="009F2EA7">
            <w:pPr>
              <w:ind w:left="127" w:right="180"/>
              <w:jc w:val="both"/>
              <w:rPr>
                <w:b/>
                <w:sz w:val="24"/>
              </w:rPr>
            </w:pPr>
            <w:r w:rsidRPr="002F6E39">
              <w:rPr>
                <w:b/>
                <w:sz w:val="24"/>
              </w:rPr>
              <w:t xml:space="preserve">Альтернатива </w:t>
            </w:r>
            <w:r w:rsidR="008C722C" w:rsidRPr="002F6E39">
              <w:rPr>
                <w:b/>
                <w:sz w:val="24"/>
              </w:rPr>
              <w:t>2</w:t>
            </w:r>
          </w:p>
          <w:p w14:paraId="15BDEA65" w14:textId="77777777" w:rsidR="00847546" w:rsidRPr="002F6E39" w:rsidRDefault="00847546" w:rsidP="009F2EA7">
            <w:pPr>
              <w:ind w:left="127" w:right="180"/>
              <w:jc w:val="both"/>
              <w:rPr>
                <w:sz w:val="24"/>
              </w:rPr>
            </w:pPr>
          </w:p>
          <w:p w14:paraId="31D5EFD8" w14:textId="77777777" w:rsidR="00847546" w:rsidRPr="002F6E39" w:rsidRDefault="00847546" w:rsidP="009F2EA7">
            <w:pPr>
              <w:ind w:left="127" w:right="180"/>
              <w:jc w:val="both"/>
              <w:rPr>
                <w:sz w:val="24"/>
              </w:rPr>
            </w:pPr>
            <w:r w:rsidRPr="002F6E39">
              <w:rPr>
                <w:sz w:val="24"/>
              </w:rPr>
              <w:t xml:space="preserve">Внесення змін до чинного регуляторного </w:t>
            </w:r>
            <w:proofErr w:type="spellStart"/>
            <w:r w:rsidRPr="002F6E39">
              <w:rPr>
                <w:sz w:val="24"/>
              </w:rPr>
              <w:t>акта</w:t>
            </w:r>
            <w:proofErr w:type="spellEnd"/>
          </w:p>
        </w:tc>
        <w:tc>
          <w:tcPr>
            <w:tcW w:w="1440" w:type="pct"/>
            <w:vAlign w:val="center"/>
          </w:tcPr>
          <w:p w14:paraId="775F126C" w14:textId="77777777" w:rsidR="00847546" w:rsidRPr="002F6E39" w:rsidRDefault="00847546" w:rsidP="00DC4CF0">
            <w:pPr>
              <w:jc w:val="center"/>
              <w:rPr>
                <w:sz w:val="24"/>
              </w:rPr>
            </w:pPr>
            <w:r w:rsidRPr="002F6E39">
              <w:rPr>
                <w:sz w:val="24"/>
              </w:rPr>
              <w:t>4</w:t>
            </w:r>
          </w:p>
        </w:tc>
        <w:tc>
          <w:tcPr>
            <w:tcW w:w="1995" w:type="pct"/>
            <w:vAlign w:val="center"/>
          </w:tcPr>
          <w:p w14:paraId="1552BB17" w14:textId="6611A3DB" w:rsidR="00847546" w:rsidRPr="002F6E39" w:rsidRDefault="00847546" w:rsidP="00AE7D63">
            <w:pPr>
              <w:ind w:left="22" w:right="133"/>
              <w:jc w:val="both"/>
              <w:rPr>
                <w:sz w:val="24"/>
              </w:rPr>
            </w:pPr>
            <w:r w:rsidRPr="002F6E39">
              <w:rPr>
                <w:sz w:val="24"/>
              </w:rPr>
              <w:t xml:space="preserve">Дозволяє вирішити проблему найефективнішим способом та </w:t>
            </w:r>
            <w:r w:rsidR="008E5EF4">
              <w:rPr>
                <w:sz w:val="24"/>
              </w:rPr>
              <w:t>д</w:t>
            </w:r>
            <w:r w:rsidR="008E5EF4" w:rsidRPr="008E5EF4">
              <w:rPr>
                <w:sz w:val="24"/>
              </w:rPr>
              <w:t>озволить уточнити розрахунок суми штрафу, зокрема в частині накладення штрафу за відмову у проведенні перевірки, забезпечить введення критерію «досвід ліцензіатів НКРЕКП»</w:t>
            </w:r>
          </w:p>
        </w:tc>
      </w:tr>
    </w:tbl>
    <w:p w14:paraId="2B4FCF47" w14:textId="77777777" w:rsidR="00772360" w:rsidRPr="002F6E39" w:rsidRDefault="00772360" w:rsidP="00D454A2">
      <w:pPr>
        <w:pStyle w:val="a3"/>
        <w:spacing w:before="11"/>
        <w:rPr>
          <w:sz w:val="24"/>
        </w:rPr>
      </w:pPr>
    </w:p>
    <w:tbl>
      <w:tblPr>
        <w:tblStyle w:val="TableNormal"/>
        <w:tblW w:w="5000" w:type="pct"/>
        <w:tblBorders>
          <w:top w:val="single" w:sz="6" w:space="0" w:color="1C1C1C"/>
          <w:left w:val="single" w:sz="6" w:space="0" w:color="1C1C1C"/>
          <w:bottom w:val="single" w:sz="6" w:space="0" w:color="1C1C1C"/>
          <w:right w:val="single" w:sz="6" w:space="0" w:color="1C1C1C"/>
          <w:insideH w:val="single" w:sz="6" w:space="0" w:color="1C1C1C"/>
          <w:insideV w:val="single" w:sz="6" w:space="0" w:color="1C1C1C"/>
        </w:tblBorders>
        <w:tblLook w:val="01E0" w:firstRow="1" w:lastRow="1" w:firstColumn="1" w:lastColumn="1" w:noHBand="0" w:noVBand="0"/>
      </w:tblPr>
      <w:tblGrid>
        <w:gridCol w:w="2431"/>
        <w:gridCol w:w="1659"/>
        <w:gridCol w:w="2184"/>
        <w:gridCol w:w="3348"/>
      </w:tblGrid>
      <w:tr w:rsidR="00D454A2" w:rsidRPr="002F6E39" w14:paraId="3CA28647" w14:textId="77777777" w:rsidTr="00A53332">
        <w:trPr>
          <w:trHeight w:val="513"/>
        </w:trPr>
        <w:tc>
          <w:tcPr>
            <w:tcW w:w="1263" w:type="pct"/>
            <w:vAlign w:val="center"/>
          </w:tcPr>
          <w:p w14:paraId="2FCFA924" w14:textId="77777777" w:rsidR="00D454A2" w:rsidRPr="002F6E39" w:rsidRDefault="00D454A2" w:rsidP="003032D0">
            <w:pPr>
              <w:jc w:val="center"/>
              <w:rPr>
                <w:b/>
                <w:sz w:val="24"/>
              </w:rPr>
            </w:pPr>
            <w:r w:rsidRPr="002F6E39">
              <w:rPr>
                <w:b/>
                <w:sz w:val="24"/>
              </w:rPr>
              <w:t>Рейтинг</w:t>
            </w:r>
          </w:p>
          <w:p w14:paraId="4C989575" w14:textId="77777777" w:rsidR="00D454A2" w:rsidRPr="002F6E39" w:rsidRDefault="00D454A2" w:rsidP="003032D0">
            <w:pPr>
              <w:jc w:val="center"/>
              <w:rPr>
                <w:b/>
                <w:sz w:val="24"/>
              </w:rPr>
            </w:pPr>
            <w:r w:rsidRPr="002F6E39">
              <w:rPr>
                <w:b/>
                <w:sz w:val="24"/>
              </w:rPr>
              <w:t>результативності</w:t>
            </w:r>
          </w:p>
        </w:tc>
        <w:tc>
          <w:tcPr>
            <w:tcW w:w="862" w:type="pct"/>
            <w:vAlign w:val="center"/>
          </w:tcPr>
          <w:p w14:paraId="14AA7901" w14:textId="77777777" w:rsidR="00D454A2" w:rsidRPr="002F6E39" w:rsidRDefault="00D454A2" w:rsidP="003032D0">
            <w:pPr>
              <w:jc w:val="center"/>
              <w:rPr>
                <w:b/>
                <w:sz w:val="24"/>
              </w:rPr>
            </w:pPr>
            <w:r w:rsidRPr="002F6E39">
              <w:rPr>
                <w:b/>
                <w:sz w:val="24"/>
              </w:rPr>
              <w:t>Вигоди</w:t>
            </w:r>
          </w:p>
          <w:p w14:paraId="6AF0EA7C" w14:textId="77777777" w:rsidR="00D454A2" w:rsidRPr="002F6E39" w:rsidRDefault="00D454A2" w:rsidP="003032D0">
            <w:pPr>
              <w:jc w:val="center"/>
              <w:rPr>
                <w:sz w:val="24"/>
              </w:rPr>
            </w:pPr>
            <w:r w:rsidRPr="002F6E39">
              <w:rPr>
                <w:sz w:val="24"/>
              </w:rPr>
              <w:t>(підсумок)</w:t>
            </w:r>
          </w:p>
        </w:tc>
        <w:tc>
          <w:tcPr>
            <w:tcW w:w="1135" w:type="pct"/>
            <w:vAlign w:val="center"/>
          </w:tcPr>
          <w:p w14:paraId="3760900F" w14:textId="77777777" w:rsidR="00D454A2" w:rsidRPr="002F6E39" w:rsidRDefault="00D454A2" w:rsidP="003032D0">
            <w:pPr>
              <w:jc w:val="center"/>
              <w:rPr>
                <w:b/>
                <w:sz w:val="24"/>
              </w:rPr>
            </w:pPr>
            <w:r w:rsidRPr="002F6E39">
              <w:rPr>
                <w:b/>
                <w:sz w:val="24"/>
              </w:rPr>
              <w:t>Витрати</w:t>
            </w:r>
          </w:p>
          <w:p w14:paraId="0E83506A" w14:textId="77777777" w:rsidR="00D454A2" w:rsidRPr="002F6E39" w:rsidRDefault="00D454A2" w:rsidP="003032D0">
            <w:pPr>
              <w:jc w:val="center"/>
              <w:rPr>
                <w:sz w:val="24"/>
              </w:rPr>
            </w:pPr>
            <w:r w:rsidRPr="002F6E39">
              <w:rPr>
                <w:sz w:val="24"/>
              </w:rPr>
              <w:t>(підсумок)</w:t>
            </w:r>
          </w:p>
        </w:tc>
        <w:tc>
          <w:tcPr>
            <w:tcW w:w="1740" w:type="pct"/>
            <w:vAlign w:val="center"/>
          </w:tcPr>
          <w:p w14:paraId="5EB0B87D" w14:textId="77777777" w:rsidR="00D454A2" w:rsidRPr="002F6E39" w:rsidRDefault="00D454A2" w:rsidP="003032D0">
            <w:pPr>
              <w:jc w:val="center"/>
              <w:rPr>
                <w:b/>
                <w:sz w:val="24"/>
              </w:rPr>
            </w:pPr>
            <w:r w:rsidRPr="002F6E39">
              <w:rPr>
                <w:b/>
                <w:sz w:val="24"/>
              </w:rPr>
              <w:t>Обґрунтування відповідного місця альтернативи у рейтингу</w:t>
            </w:r>
          </w:p>
        </w:tc>
      </w:tr>
      <w:tr w:rsidR="00847546" w:rsidRPr="002F6E39" w14:paraId="44533ADE" w14:textId="77777777" w:rsidTr="00A53332">
        <w:trPr>
          <w:trHeight w:val="1353"/>
        </w:trPr>
        <w:tc>
          <w:tcPr>
            <w:tcW w:w="1263" w:type="pct"/>
            <w:vAlign w:val="center"/>
          </w:tcPr>
          <w:p w14:paraId="420616BA" w14:textId="77777777" w:rsidR="00847546" w:rsidRPr="002F6E39" w:rsidRDefault="00847546" w:rsidP="00847546">
            <w:pPr>
              <w:jc w:val="both"/>
              <w:rPr>
                <w:b/>
                <w:sz w:val="24"/>
              </w:rPr>
            </w:pPr>
            <w:r w:rsidRPr="002F6E39">
              <w:rPr>
                <w:b/>
                <w:sz w:val="24"/>
              </w:rPr>
              <w:t>Альтернатива 1</w:t>
            </w:r>
          </w:p>
          <w:p w14:paraId="7EA2BB9A" w14:textId="77777777" w:rsidR="00847546" w:rsidRPr="002F6E39" w:rsidRDefault="00847546" w:rsidP="00847546">
            <w:pPr>
              <w:jc w:val="both"/>
              <w:rPr>
                <w:sz w:val="24"/>
              </w:rPr>
            </w:pPr>
            <w:r w:rsidRPr="002F6E39">
              <w:rPr>
                <w:sz w:val="24"/>
              </w:rPr>
              <w:t>Збереження чинного регулювання</w:t>
            </w:r>
          </w:p>
        </w:tc>
        <w:tc>
          <w:tcPr>
            <w:tcW w:w="862" w:type="pct"/>
            <w:vAlign w:val="center"/>
          </w:tcPr>
          <w:p w14:paraId="44040193" w14:textId="77777777" w:rsidR="00847546" w:rsidRPr="002F6E39" w:rsidRDefault="00847546" w:rsidP="00847546">
            <w:pPr>
              <w:jc w:val="both"/>
              <w:rPr>
                <w:sz w:val="24"/>
              </w:rPr>
            </w:pPr>
            <w:r w:rsidRPr="002F6E39">
              <w:rPr>
                <w:sz w:val="24"/>
              </w:rPr>
              <w:t>Відсутні</w:t>
            </w:r>
          </w:p>
        </w:tc>
        <w:tc>
          <w:tcPr>
            <w:tcW w:w="1135" w:type="pct"/>
            <w:vAlign w:val="center"/>
          </w:tcPr>
          <w:p w14:paraId="68BD3D57" w14:textId="77777777" w:rsidR="00847546" w:rsidRPr="002F6E39" w:rsidRDefault="00847546" w:rsidP="00847546">
            <w:pPr>
              <w:jc w:val="both"/>
              <w:rPr>
                <w:sz w:val="24"/>
              </w:rPr>
            </w:pPr>
            <w:r w:rsidRPr="002F6E39">
              <w:rPr>
                <w:sz w:val="24"/>
              </w:rPr>
              <w:t>Відсутні</w:t>
            </w:r>
          </w:p>
        </w:tc>
        <w:tc>
          <w:tcPr>
            <w:tcW w:w="1740" w:type="pct"/>
            <w:vAlign w:val="center"/>
          </w:tcPr>
          <w:p w14:paraId="3EE723BF" w14:textId="793B85BE" w:rsidR="00847546" w:rsidRPr="002F6E39" w:rsidRDefault="00E20C36" w:rsidP="00847546">
            <w:pPr>
              <w:ind w:right="142"/>
              <w:jc w:val="both"/>
              <w:rPr>
                <w:sz w:val="24"/>
              </w:rPr>
            </w:pPr>
            <w:r w:rsidRPr="00E20C36">
              <w:rPr>
                <w:sz w:val="24"/>
              </w:rPr>
              <w:t>Не буде доопрацювано механізм застосування санкцій до ліцензіатів НКРЕКП, які за критерієм «величина ліцензіата» відносяться до малих ліцензіатів, не буде забезпечено посилення відповідальності за відмову у проведенні перевірки. Не буде забезпечено застосування диференційованого підходу до ліцензіатів в залежності від часу провадження ними господарської діяльності у відповідній сфері (впровадження критерію «досвід ліцензіатів НКРЕКП»)</w:t>
            </w:r>
          </w:p>
        </w:tc>
      </w:tr>
      <w:tr w:rsidR="00847546" w:rsidRPr="002F6E39" w14:paraId="680AD078" w14:textId="77777777" w:rsidTr="00A53332">
        <w:tblPrEx>
          <w:tblBorders>
            <w:top w:val="single" w:sz="6" w:space="0" w:color="232323"/>
            <w:left w:val="single" w:sz="6" w:space="0" w:color="232323"/>
            <w:bottom w:val="single" w:sz="6" w:space="0" w:color="232323"/>
            <w:right w:val="single" w:sz="6" w:space="0" w:color="232323"/>
            <w:insideH w:val="single" w:sz="6" w:space="0" w:color="232323"/>
            <w:insideV w:val="single" w:sz="6" w:space="0" w:color="232323"/>
          </w:tblBorders>
        </w:tblPrEx>
        <w:trPr>
          <w:trHeight w:val="1104"/>
        </w:trPr>
        <w:tc>
          <w:tcPr>
            <w:tcW w:w="1263" w:type="pct"/>
            <w:vAlign w:val="center"/>
          </w:tcPr>
          <w:p w14:paraId="48062061" w14:textId="77777777" w:rsidR="00847546" w:rsidRPr="002F6E39" w:rsidRDefault="00847546" w:rsidP="00847546">
            <w:pPr>
              <w:jc w:val="both"/>
              <w:rPr>
                <w:b/>
                <w:sz w:val="24"/>
              </w:rPr>
            </w:pPr>
            <w:r w:rsidRPr="002F6E39">
              <w:rPr>
                <w:b/>
                <w:sz w:val="24"/>
              </w:rPr>
              <w:lastRenderedPageBreak/>
              <w:t xml:space="preserve">Альтернатива </w:t>
            </w:r>
            <w:r w:rsidR="00B20FAB" w:rsidRPr="002F6E39">
              <w:rPr>
                <w:b/>
                <w:sz w:val="24"/>
              </w:rPr>
              <w:t>2</w:t>
            </w:r>
          </w:p>
          <w:p w14:paraId="759CF986" w14:textId="77777777" w:rsidR="00847546" w:rsidRPr="002F6E39" w:rsidRDefault="00847546" w:rsidP="00847546">
            <w:pPr>
              <w:jc w:val="both"/>
              <w:rPr>
                <w:sz w:val="24"/>
              </w:rPr>
            </w:pPr>
          </w:p>
          <w:p w14:paraId="221D7A73" w14:textId="77777777" w:rsidR="00847546" w:rsidRPr="002F6E39" w:rsidRDefault="00847546" w:rsidP="00847546">
            <w:pPr>
              <w:jc w:val="both"/>
              <w:rPr>
                <w:sz w:val="24"/>
              </w:rPr>
            </w:pPr>
            <w:r w:rsidRPr="002F6E39">
              <w:rPr>
                <w:sz w:val="24"/>
              </w:rPr>
              <w:t xml:space="preserve">Внесення змін до чинного регуляторного </w:t>
            </w:r>
            <w:proofErr w:type="spellStart"/>
            <w:r w:rsidRPr="002F6E39">
              <w:rPr>
                <w:sz w:val="24"/>
              </w:rPr>
              <w:t>акта</w:t>
            </w:r>
            <w:proofErr w:type="spellEnd"/>
          </w:p>
        </w:tc>
        <w:tc>
          <w:tcPr>
            <w:tcW w:w="862" w:type="pct"/>
            <w:vAlign w:val="center"/>
          </w:tcPr>
          <w:p w14:paraId="5FEF4F7D" w14:textId="77777777" w:rsidR="00847546" w:rsidRPr="002F6E39" w:rsidRDefault="00847546" w:rsidP="00847546">
            <w:pPr>
              <w:jc w:val="both"/>
              <w:rPr>
                <w:sz w:val="24"/>
              </w:rPr>
            </w:pPr>
            <w:r w:rsidRPr="002F6E39">
              <w:rPr>
                <w:sz w:val="24"/>
              </w:rPr>
              <w:t>Найбільш вигідний</w:t>
            </w:r>
          </w:p>
        </w:tc>
        <w:tc>
          <w:tcPr>
            <w:tcW w:w="1135" w:type="pct"/>
            <w:vAlign w:val="center"/>
          </w:tcPr>
          <w:p w14:paraId="7AC953B6" w14:textId="77777777" w:rsidR="00847546" w:rsidRPr="002F6E39" w:rsidRDefault="00847546" w:rsidP="00847546">
            <w:pPr>
              <w:jc w:val="both"/>
              <w:rPr>
                <w:sz w:val="24"/>
              </w:rPr>
            </w:pPr>
            <w:r w:rsidRPr="002F6E39">
              <w:rPr>
                <w:sz w:val="24"/>
              </w:rPr>
              <w:t>Відсутні</w:t>
            </w:r>
          </w:p>
        </w:tc>
        <w:tc>
          <w:tcPr>
            <w:tcW w:w="1740" w:type="pct"/>
            <w:vAlign w:val="center"/>
          </w:tcPr>
          <w:p w14:paraId="189D5D23" w14:textId="77777777" w:rsidR="00847546" w:rsidRPr="002F6E39" w:rsidRDefault="00847546" w:rsidP="00847546">
            <w:pPr>
              <w:ind w:right="142"/>
              <w:jc w:val="both"/>
              <w:rPr>
                <w:sz w:val="24"/>
              </w:rPr>
            </w:pPr>
            <w:r w:rsidRPr="002F6E39">
              <w:rPr>
                <w:sz w:val="24"/>
              </w:rPr>
              <w:t xml:space="preserve">Реалізація альтернативи </w:t>
            </w:r>
            <w:r w:rsidR="00B20FAB" w:rsidRPr="002F6E39">
              <w:rPr>
                <w:sz w:val="24"/>
              </w:rPr>
              <w:t>2</w:t>
            </w:r>
            <w:r w:rsidRPr="002F6E39">
              <w:rPr>
                <w:sz w:val="24"/>
              </w:rPr>
              <w:t xml:space="preserve"> дозволить досягнути задекларованих цілей повною мірою</w:t>
            </w:r>
          </w:p>
        </w:tc>
      </w:tr>
    </w:tbl>
    <w:p w14:paraId="01EC73C0" w14:textId="77777777" w:rsidR="00D454A2" w:rsidRPr="002F6E39" w:rsidRDefault="00D454A2" w:rsidP="00D454A2">
      <w:pPr>
        <w:pStyle w:val="a3"/>
        <w:spacing w:before="4"/>
        <w:rPr>
          <w:sz w:val="27"/>
        </w:rPr>
      </w:pPr>
    </w:p>
    <w:tbl>
      <w:tblPr>
        <w:tblStyle w:val="TableNormal"/>
        <w:tblW w:w="5000" w:type="pct"/>
        <w:tblBorders>
          <w:top w:val="single" w:sz="6" w:space="0" w:color="2B2B2B"/>
          <w:left w:val="single" w:sz="6" w:space="0" w:color="2B2B2B"/>
          <w:bottom w:val="single" w:sz="6" w:space="0" w:color="2B2B2B"/>
          <w:right w:val="single" w:sz="6" w:space="0" w:color="2B2B2B"/>
          <w:insideH w:val="single" w:sz="6" w:space="0" w:color="2B2B2B"/>
          <w:insideV w:val="single" w:sz="6" w:space="0" w:color="2B2B2B"/>
        </w:tblBorders>
        <w:tblLook w:val="01E0" w:firstRow="1" w:lastRow="1" w:firstColumn="1" w:lastColumn="1" w:noHBand="0" w:noVBand="0"/>
      </w:tblPr>
      <w:tblGrid>
        <w:gridCol w:w="2721"/>
        <w:gridCol w:w="3497"/>
        <w:gridCol w:w="3404"/>
      </w:tblGrid>
      <w:tr w:rsidR="00D454A2" w:rsidRPr="002F6E39" w14:paraId="3A8A7F9E" w14:textId="77777777" w:rsidTr="00496C10">
        <w:trPr>
          <w:trHeight w:val="326"/>
        </w:trPr>
        <w:tc>
          <w:tcPr>
            <w:tcW w:w="1414" w:type="pct"/>
            <w:vAlign w:val="center"/>
          </w:tcPr>
          <w:p w14:paraId="67212C4B" w14:textId="77777777" w:rsidR="00D454A2" w:rsidRPr="002F6E39" w:rsidRDefault="00D454A2" w:rsidP="003032D0">
            <w:pPr>
              <w:ind w:right="85"/>
              <w:jc w:val="center"/>
              <w:rPr>
                <w:b/>
                <w:sz w:val="24"/>
              </w:rPr>
            </w:pPr>
            <w:r w:rsidRPr="002F6E39">
              <w:rPr>
                <w:b/>
                <w:sz w:val="24"/>
              </w:rPr>
              <w:t>Рейтинг результативності</w:t>
            </w:r>
          </w:p>
          <w:p w14:paraId="7EAD2524" w14:textId="77777777" w:rsidR="00D454A2" w:rsidRPr="002F6E39" w:rsidRDefault="00D454A2" w:rsidP="003032D0">
            <w:pPr>
              <w:ind w:right="85"/>
              <w:jc w:val="center"/>
              <w:rPr>
                <w:sz w:val="24"/>
              </w:rPr>
            </w:pPr>
            <w:r w:rsidRPr="002F6E39">
              <w:rPr>
                <w:sz w:val="24"/>
              </w:rPr>
              <w:t>(досягнення цілей під час вирішення проблеми)</w:t>
            </w:r>
          </w:p>
        </w:tc>
        <w:tc>
          <w:tcPr>
            <w:tcW w:w="1817" w:type="pct"/>
            <w:vAlign w:val="center"/>
          </w:tcPr>
          <w:p w14:paraId="5376DC80" w14:textId="77777777" w:rsidR="00D454A2" w:rsidRPr="002F6E39" w:rsidRDefault="00D454A2" w:rsidP="003032D0">
            <w:pPr>
              <w:ind w:right="85"/>
              <w:jc w:val="center"/>
              <w:rPr>
                <w:b/>
                <w:sz w:val="24"/>
              </w:rPr>
            </w:pPr>
            <w:r w:rsidRPr="002F6E39">
              <w:rPr>
                <w:b/>
                <w:sz w:val="24"/>
              </w:rPr>
              <w:t>Аргументи щодо переваги обраної альтернативи/</w:t>
            </w:r>
          </w:p>
          <w:p w14:paraId="11F5EF3F" w14:textId="77777777" w:rsidR="00D454A2" w:rsidRPr="002F6E39" w:rsidRDefault="00D454A2" w:rsidP="003032D0">
            <w:pPr>
              <w:ind w:right="85"/>
              <w:jc w:val="center"/>
              <w:rPr>
                <w:b/>
                <w:sz w:val="24"/>
              </w:rPr>
            </w:pPr>
            <w:r w:rsidRPr="002F6E39">
              <w:rPr>
                <w:b/>
                <w:sz w:val="24"/>
              </w:rPr>
              <w:t>причини відмови від альтернативи</w:t>
            </w:r>
          </w:p>
        </w:tc>
        <w:tc>
          <w:tcPr>
            <w:tcW w:w="1769" w:type="pct"/>
            <w:vAlign w:val="center"/>
          </w:tcPr>
          <w:p w14:paraId="22E80813" w14:textId="77777777" w:rsidR="00D454A2" w:rsidRPr="002F6E39" w:rsidRDefault="00D454A2" w:rsidP="003032D0">
            <w:pPr>
              <w:ind w:right="85"/>
              <w:jc w:val="center"/>
              <w:rPr>
                <w:b/>
                <w:sz w:val="24"/>
              </w:rPr>
            </w:pPr>
            <w:r w:rsidRPr="002F6E39">
              <w:rPr>
                <w:b/>
                <w:sz w:val="24"/>
              </w:rPr>
              <w:t xml:space="preserve">Оцінка ризику зовнішніх чинників на дію запропонованого регуляторного </w:t>
            </w:r>
            <w:proofErr w:type="spellStart"/>
            <w:r w:rsidRPr="002F6E39">
              <w:rPr>
                <w:b/>
                <w:sz w:val="24"/>
              </w:rPr>
              <w:t>акта</w:t>
            </w:r>
            <w:proofErr w:type="spellEnd"/>
          </w:p>
        </w:tc>
      </w:tr>
      <w:tr w:rsidR="00847546" w:rsidRPr="002F6E39" w14:paraId="52208CA9" w14:textId="77777777" w:rsidTr="00496C10">
        <w:trPr>
          <w:trHeight w:val="796"/>
        </w:trPr>
        <w:tc>
          <w:tcPr>
            <w:tcW w:w="1414" w:type="pct"/>
            <w:vAlign w:val="center"/>
          </w:tcPr>
          <w:p w14:paraId="6E4EAB82" w14:textId="77777777" w:rsidR="00847546" w:rsidRPr="002F6E39" w:rsidRDefault="00847546" w:rsidP="00847546">
            <w:pPr>
              <w:jc w:val="both"/>
              <w:rPr>
                <w:b/>
                <w:sz w:val="24"/>
              </w:rPr>
            </w:pPr>
            <w:r w:rsidRPr="002F6E39">
              <w:rPr>
                <w:b/>
                <w:sz w:val="24"/>
              </w:rPr>
              <w:t>Альтернатива 1</w:t>
            </w:r>
          </w:p>
          <w:p w14:paraId="5B1695A2" w14:textId="77777777" w:rsidR="00847546" w:rsidRPr="002F6E39" w:rsidRDefault="00847546" w:rsidP="00847546">
            <w:pPr>
              <w:jc w:val="both"/>
              <w:rPr>
                <w:sz w:val="24"/>
              </w:rPr>
            </w:pPr>
            <w:r w:rsidRPr="002F6E39">
              <w:rPr>
                <w:sz w:val="24"/>
              </w:rPr>
              <w:t>Збереження чинного регулювання</w:t>
            </w:r>
          </w:p>
        </w:tc>
        <w:tc>
          <w:tcPr>
            <w:tcW w:w="1817" w:type="pct"/>
            <w:vAlign w:val="center"/>
          </w:tcPr>
          <w:p w14:paraId="0C7747FD" w14:textId="120F23C1" w:rsidR="00847546" w:rsidRPr="002F6E39" w:rsidRDefault="00E20C36" w:rsidP="00847546">
            <w:pPr>
              <w:rPr>
                <w:sz w:val="24"/>
              </w:rPr>
            </w:pPr>
            <w:r w:rsidRPr="00E20C36">
              <w:rPr>
                <w:sz w:val="24"/>
              </w:rPr>
              <w:t>Не буде доопрацювано механізм застосування санкцій до ліцензіатів НКРЕКП, які за критерієм «величина ліцензіата» відносяться до малих ліцензіатів, не буде забезпечено посилення відповідальності за відмову у проведенні перевірки. Не буде забезпечено застосування диференційованого підходу до ліцензіатів в залежності від часу провадження ними господарської діяльності у відповідній сфері (впровадження критерію «досвід ліцензіатів НКРЕКП»)</w:t>
            </w:r>
          </w:p>
        </w:tc>
        <w:tc>
          <w:tcPr>
            <w:tcW w:w="1769" w:type="pct"/>
            <w:vAlign w:val="center"/>
          </w:tcPr>
          <w:p w14:paraId="57116A1C" w14:textId="77777777" w:rsidR="00847546" w:rsidRPr="002F6E39" w:rsidRDefault="00847546" w:rsidP="00847546">
            <w:pPr>
              <w:rPr>
                <w:sz w:val="24"/>
              </w:rPr>
            </w:pPr>
            <w:r w:rsidRPr="002F6E39">
              <w:rPr>
                <w:sz w:val="24"/>
              </w:rPr>
              <w:t>Відсутній</w:t>
            </w:r>
          </w:p>
        </w:tc>
      </w:tr>
      <w:tr w:rsidR="00847546" w:rsidRPr="002F6E39" w14:paraId="57D4981C" w14:textId="77777777" w:rsidTr="00496C10">
        <w:trPr>
          <w:trHeight w:val="1520"/>
        </w:trPr>
        <w:tc>
          <w:tcPr>
            <w:tcW w:w="1414" w:type="pct"/>
            <w:vAlign w:val="center"/>
          </w:tcPr>
          <w:p w14:paraId="45C11D17" w14:textId="77777777" w:rsidR="00847546" w:rsidRPr="002F6E39" w:rsidRDefault="00847546" w:rsidP="00847546">
            <w:pPr>
              <w:jc w:val="both"/>
              <w:rPr>
                <w:b/>
                <w:sz w:val="24"/>
              </w:rPr>
            </w:pPr>
            <w:r w:rsidRPr="002F6E39">
              <w:rPr>
                <w:b/>
                <w:sz w:val="24"/>
              </w:rPr>
              <w:t xml:space="preserve">Альтернатива </w:t>
            </w:r>
            <w:r w:rsidR="00E97EB3" w:rsidRPr="002F6E39">
              <w:rPr>
                <w:b/>
                <w:sz w:val="24"/>
              </w:rPr>
              <w:t>2</w:t>
            </w:r>
          </w:p>
          <w:p w14:paraId="54DDB602" w14:textId="77777777" w:rsidR="00847546" w:rsidRPr="002F6E39" w:rsidRDefault="00847546" w:rsidP="00847546">
            <w:pPr>
              <w:jc w:val="both"/>
              <w:rPr>
                <w:sz w:val="14"/>
              </w:rPr>
            </w:pPr>
          </w:p>
          <w:p w14:paraId="589C4F81" w14:textId="77777777" w:rsidR="00847546" w:rsidRPr="002F6E39" w:rsidRDefault="00847546" w:rsidP="00847546">
            <w:pPr>
              <w:jc w:val="both"/>
              <w:rPr>
                <w:sz w:val="24"/>
              </w:rPr>
            </w:pPr>
            <w:r w:rsidRPr="002F6E39">
              <w:rPr>
                <w:sz w:val="24"/>
              </w:rPr>
              <w:t xml:space="preserve">Внесення змін до чинного регуляторного </w:t>
            </w:r>
            <w:proofErr w:type="spellStart"/>
            <w:r w:rsidRPr="002F6E39">
              <w:rPr>
                <w:sz w:val="24"/>
              </w:rPr>
              <w:t>акта</w:t>
            </w:r>
            <w:proofErr w:type="spellEnd"/>
          </w:p>
        </w:tc>
        <w:tc>
          <w:tcPr>
            <w:tcW w:w="1817" w:type="pct"/>
            <w:vAlign w:val="center"/>
          </w:tcPr>
          <w:p w14:paraId="7FA2ED76" w14:textId="21DD0AC4" w:rsidR="00847546" w:rsidRPr="002F6E39" w:rsidRDefault="00EE0ABB" w:rsidP="00847546">
            <w:pPr>
              <w:ind w:right="87"/>
              <w:jc w:val="both"/>
              <w:rPr>
                <w:sz w:val="24"/>
              </w:rPr>
            </w:pPr>
            <w:r w:rsidRPr="002F6E39">
              <w:rPr>
                <w:sz w:val="24"/>
              </w:rPr>
              <w:t>Дозволяє вирішити проблему самим ефективним шляхом з найменшими витратами ресурсів, забезпечує досягнення цілей державного регулювання</w:t>
            </w:r>
          </w:p>
        </w:tc>
        <w:tc>
          <w:tcPr>
            <w:tcW w:w="1769" w:type="pct"/>
            <w:vAlign w:val="center"/>
          </w:tcPr>
          <w:p w14:paraId="287CD3C3" w14:textId="77777777" w:rsidR="00847546" w:rsidRPr="002F6E39" w:rsidRDefault="00847546" w:rsidP="00847546">
            <w:pPr>
              <w:rPr>
                <w:sz w:val="24"/>
              </w:rPr>
            </w:pPr>
            <w:r w:rsidRPr="002F6E39">
              <w:rPr>
                <w:sz w:val="24"/>
              </w:rPr>
              <w:t>Відсутній</w:t>
            </w:r>
          </w:p>
        </w:tc>
      </w:tr>
    </w:tbl>
    <w:p w14:paraId="11DC53D3" w14:textId="77777777" w:rsidR="00D454A2" w:rsidRPr="002F6E39" w:rsidRDefault="00D454A2" w:rsidP="00D454A2">
      <w:pPr>
        <w:pStyle w:val="1"/>
        <w:tabs>
          <w:tab w:val="left" w:pos="764"/>
          <w:tab w:val="left" w:pos="1296"/>
          <w:tab w:val="left" w:pos="1297"/>
          <w:tab w:val="left" w:pos="1915"/>
          <w:tab w:val="left" w:pos="2560"/>
          <w:tab w:val="left" w:pos="4301"/>
          <w:tab w:val="left" w:pos="6072"/>
        </w:tabs>
        <w:spacing w:before="88"/>
        <w:ind w:left="774"/>
      </w:pPr>
    </w:p>
    <w:p w14:paraId="4C887D79" w14:textId="77777777" w:rsidR="00D454A2" w:rsidRPr="002F6E39" w:rsidRDefault="00D454A2" w:rsidP="0085062D">
      <w:pPr>
        <w:pStyle w:val="1"/>
        <w:numPr>
          <w:ilvl w:val="1"/>
          <w:numId w:val="3"/>
        </w:numPr>
        <w:tabs>
          <w:tab w:val="left" w:pos="764"/>
          <w:tab w:val="left" w:pos="1296"/>
          <w:tab w:val="left" w:pos="1297"/>
          <w:tab w:val="left" w:pos="1915"/>
          <w:tab w:val="left" w:pos="2560"/>
          <w:tab w:val="left" w:pos="4301"/>
          <w:tab w:val="left" w:pos="6072"/>
        </w:tabs>
        <w:ind w:left="235" w:firstLine="539"/>
        <w:jc w:val="center"/>
      </w:pPr>
      <w:r w:rsidRPr="002F6E39">
        <w:rPr>
          <w:spacing w:val="-3"/>
          <w:w w:val="95"/>
        </w:rPr>
        <w:t xml:space="preserve">Механізми </w:t>
      </w:r>
      <w:r w:rsidRPr="002F6E39">
        <w:t>та заходи, які забезпечать розв’язання визначеної</w:t>
      </w:r>
      <w:r w:rsidR="00772360" w:rsidRPr="002F6E39">
        <w:t xml:space="preserve"> проблеми</w:t>
      </w:r>
    </w:p>
    <w:p w14:paraId="2B427129" w14:textId="77777777" w:rsidR="00D454A2" w:rsidRPr="002F6E39" w:rsidRDefault="00D454A2" w:rsidP="0085062D">
      <w:pPr>
        <w:pStyle w:val="1"/>
        <w:tabs>
          <w:tab w:val="left" w:pos="764"/>
          <w:tab w:val="left" w:pos="1296"/>
          <w:tab w:val="left" w:pos="1297"/>
          <w:tab w:val="left" w:pos="1915"/>
          <w:tab w:val="left" w:pos="2560"/>
          <w:tab w:val="left" w:pos="4301"/>
          <w:tab w:val="left" w:pos="6072"/>
        </w:tabs>
        <w:ind w:left="774"/>
      </w:pPr>
    </w:p>
    <w:p w14:paraId="2EFC0272" w14:textId="6352E688" w:rsidR="00D454A2" w:rsidRPr="002F6E39" w:rsidRDefault="00D454A2" w:rsidP="001D31FB">
      <w:pPr>
        <w:ind w:firstLine="709"/>
        <w:jc w:val="both"/>
        <w:rPr>
          <w:sz w:val="28"/>
          <w:szCs w:val="28"/>
        </w:rPr>
      </w:pPr>
      <w:r w:rsidRPr="002F6E39">
        <w:rPr>
          <w:sz w:val="28"/>
          <w:szCs w:val="28"/>
        </w:rPr>
        <w:t xml:space="preserve">Прийняття </w:t>
      </w:r>
      <w:proofErr w:type="spellStart"/>
      <w:r w:rsidR="00B33C45" w:rsidRPr="002F6E39">
        <w:rPr>
          <w:sz w:val="28"/>
          <w:szCs w:val="28"/>
        </w:rPr>
        <w:t>Проєкту</w:t>
      </w:r>
      <w:proofErr w:type="spellEnd"/>
      <w:r w:rsidR="00B33C45" w:rsidRPr="002F6E39">
        <w:rPr>
          <w:sz w:val="28"/>
          <w:szCs w:val="28"/>
        </w:rPr>
        <w:t xml:space="preserve"> </w:t>
      </w:r>
      <w:r w:rsidRPr="002F6E39">
        <w:rPr>
          <w:sz w:val="28"/>
          <w:szCs w:val="28"/>
        </w:rPr>
        <w:t xml:space="preserve">постанови </w:t>
      </w:r>
      <w:r w:rsidR="001D612B" w:rsidRPr="002F6E39">
        <w:rPr>
          <w:sz w:val="28"/>
          <w:szCs w:val="28"/>
        </w:rPr>
        <w:t xml:space="preserve">забезпечить </w:t>
      </w:r>
      <w:r w:rsidR="00E20C36" w:rsidRPr="00E20C36">
        <w:rPr>
          <w:sz w:val="28"/>
          <w:szCs w:val="28"/>
        </w:rPr>
        <w:t>можлив</w:t>
      </w:r>
      <w:r w:rsidR="00E20C36">
        <w:rPr>
          <w:sz w:val="28"/>
          <w:szCs w:val="28"/>
        </w:rPr>
        <w:t>і</w:t>
      </w:r>
      <w:r w:rsidR="00E20C36" w:rsidRPr="00E20C36">
        <w:rPr>
          <w:sz w:val="28"/>
          <w:szCs w:val="28"/>
        </w:rPr>
        <w:t>ст</w:t>
      </w:r>
      <w:r w:rsidR="00E20C36">
        <w:rPr>
          <w:sz w:val="28"/>
          <w:szCs w:val="28"/>
        </w:rPr>
        <w:t>ь</w:t>
      </w:r>
      <w:r w:rsidR="00E20C36" w:rsidRPr="00E20C36">
        <w:rPr>
          <w:sz w:val="28"/>
          <w:szCs w:val="28"/>
        </w:rPr>
        <w:t xml:space="preserve"> доопрацювання механізму застосування санкцій до ліцензіатів НКРЕКП, які за критерієм «величина ліцензіата» відносяться до малих ліцензіатів, посилення відповідальності за відмову у проведенні перевірки. </w:t>
      </w:r>
      <w:r w:rsidR="00E20C36">
        <w:rPr>
          <w:sz w:val="28"/>
          <w:szCs w:val="28"/>
        </w:rPr>
        <w:t xml:space="preserve">Також </w:t>
      </w:r>
      <w:r w:rsidR="00E20C36" w:rsidRPr="00E20C36">
        <w:rPr>
          <w:sz w:val="28"/>
          <w:szCs w:val="28"/>
        </w:rPr>
        <w:t>буде забезпечено застосування диференційованого підходу до ліцензіатів в залежності від часу провадження ними господарської діяльності у відповідній сфері (впровадження критерію «досвід ліцензіатів НКРЕКП»)</w:t>
      </w:r>
      <w:r w:rsidR="00E65D19" w:rsidRPr="002F6E39">
        <w:rPr>
          <w:sz w:val="28"/>
          <w:szCs w:val="28"/>
        </w:rPr>
        <w:t>.</w:t>
      </w:r>
    </w:p>
    <w:p w14:paraId="14F68D02" w14:textId="77777777" w:rsidR="00D454A2" w:rsidRPr="002F6E39" w:rsidRDefault="00D454A2" w:rsidP="0085062D">
      <w:pPr>
        <w:pStyle w:val="a3"/>
        <w:ind w:right="132" w:firstLine="702"/>
        <w:jc w:val="both"/>
      </w:pPr>
      <w:r w:rsidRPr="002F6E39">
        <w:t xml:space="preserve">Впливу зовнішніх факторів, що можуть мати негативний вплив на виконання вимог регуляторного </w:t>
      </w:r>
      <w:proofErr w:type="spellStart"/>
      <w:r w:rsidRPr="002F6E39">
        <w:t>акта</w:t>
      </w:r>
      <w:proofErr w:type="spellEnd"/>
      <w:r w:rsidRPr="002F6E39">
        <w:t>, не очікується.</w:t>
      </w:r>
    </w:p>
    <w:p w14:paraId="518C450A" w14:textId="77777777" w:rsidR="00D454A2" w:rsidRPr="002F6E39" w:rsidRDefault="00D454A2" w:rsidP="0085062D">
      <w:pPr>
        <w:pStyle w:val="a3"/>
        <w:spacing w:before="4" w:line="237" w:lineRule="auto"/>
        <w:ind w:right="146" w:firstLine="710"/>
        <w:jc w:val="both"/>
      </w:pPr>
      <w:r w:rsidRPr="002F6E39">
        <w:t xml:space="preserve">Характеристика механізму повної або часткової компенсації можливої шкоди у разі настання очікуваних наслідків дії </w:t>
      </w:r>
      <w:proofErr w:type="spellStart"/>
      <w:r w:rsidRPr="002F6E39">
        <w:t>акта</w:t>
      </w:r>
      <w:proofErr w:type="spellEnd"/>
      <w:r w:rsidRPr="002F6E39">
        <w:t xml:space="preserve"> не розроблялась, оскільки введення в дію положень регуляторного </w:t>
      </w:r>
      <w:proofErr w:type="spellStart"/>
      <w:r w:rsidRPr="002F6E39">
        <w:t>акта</w:t>
      </w:r>
      <w:proofErr w:type="spellEnd"/>
      <w:r w:rsidRPr="002F6E39">
        <w:t xml:space="preserve"> не призведе до настання будь-яких негативних наслідків.</w:t>
      </w:r>
    </w:p>
    <w:p w14:paraId="0D417D22" w14:textId="77777777" w:rsidR="00D454A2" w:rsidRPr="002F6E39" w:rsidRDefault="00D454A2" w:rsidP="00D454A2">
      <w:pPr>
        <w:pStyle w:val="a3"/>
        <w:spacing w:before="8"/>
      </w:pPr>
    </w:p>
    <w:p w14:paraId="246A356E" w14:textId="77777777" w:rsidR="00D454A2" w:rsidRPr="002F6E39" w:rsidRDefault="00D454A2" w:rsidP="00D454A2">
      <w:pPr>
        <w:pStyle w:val="1"/>
        <w:numPr>
          <w:ilvl w:val="1"/>
          <w:numId w:val="3"/>
        </w:numPr>
        <w:tabs>
          <w:tab w:val="left" w:pos="1224"/>
        </w:tabs>
        <w:ind w:left="1223" w:hanging="448"/>
        <w:jc w:val="center"/>
      </w:pPr>
      <w:r w:rsidRPr="002F6E39">
        <w:lastRenderedPageBreak/>
        <w:t>Обґрунтування запропонованого строку дії регуляторного</w:t>
      </w:r>
      <w:r w:rsidRPr="002F6E39">
        <w:rPr>
          <w:spacing w:val="-30"/>
        </w:rPr>
        <w:t xml:space="preserve"> </w:t>
      </w:r>
      <w:proofErr w:type="spellStart"/>
      <w:r w:rsidRPr="002F6E39">
        <w:t>акта</w:t>
      </w:r>
      <w:proofErr w:type="spellEnd"/>
    </w:p>
    <w:p w14:paraId="199079A8" w14:textId="77777777" w:rsidR="00D454A2" w:rsidRPr="002F6E39" w:rsidRDefault="00D454A2" w:rsidP="00D454A2">
      <w:pPr>
        <w:pStyle w:val="a3"/>
        <w:spacing w:before="6"/>
      </w:pPr>
    </w:p>
    <w:p w14:paraId="5697DA74" w14:textId="3A75255E" w:rsidR="00D454A2" w:rsidRPr="002F6E39" w:rsidRDefault="00BB3ECA" w:rsidP="00794FE5">
      <w:pPr>
        <w:pStyle w:val="a3"/>
        <w:ind w:right="149" w:firstLine="703"/>
        <w:jc w:val="both"/>
      </w:pPr>
      <w:r w:rsidRPr="002F6E39">
        <w:t xml:space="preserve">Строк </w:t>
      </w:r>
      <w:r w:rsidR="00D454A2" w:rsidRPr="002F6E39">
        <w:t xml:space="preserve">дії </w:t>
      </w:r>
      <w:proofErr w:type="spellStart"/>
      <w:r w:rsidR="00D454A2" w:rsidRPr="002F6E39">
        <w:t>акта</w:t>
      </w:r>
      <w:proofErr w:type="spellEnd"/>
      <w:r w:rsidR="00D454A2" w:rsidRPr="002F6E39">
        <w:t xml:space="preserve"> необмежений</w:t>
      </w:r>
      <w:r w:rsidR="00B33C45" w:rsidRPr="002F6E39">
        <w:t xml:space="preserve"> та</w:t>
      </w:r>
      <w:r w:rsidR="00D454A2" w:rsidRPr="002F6E39">
        <w:t xml:space="preserve"> може бути змінений у разі внесення відповідних змін до законодавства.</w:t>
      </w:r>
    </w:p>
    <w:p w14:paraId="1AA4655E" w14:textId="77777777" w:rsidR="00DF1E2D" w:rsidRPr="002F6E39" w:rsidRDefault="00DF1E2D" w:rsidP="00D454A2">
      <w:pPr>
        <w:pStyle w:val="a3"/>
        <w:ind w:left="238" w:right="149" w:firstLine="703"/>
        <w:jc w:val="both"/>
      </w:pPr>
    </w:p>
    <w:p w14:paraId="2FD176BB" w14:textId="77777777" w:rsidR="00D454A2" w:rsidRPr="002F6E39" w:rsidRDefault="00D454A2" w:rsidP="00D454A2">
      <w:pPr>
        <w:pStyle w:val="1"/>
        <w:numPr>
          <w:ilvl w:val="1"/>
          <w:numId w:val="3"/>
        </w:numPr>
        <w:tabs>
          <w:tab w:val="left" w:pos="1335"/>
        </w:tabs>
        <w:spacing w:before="75"/>
        <w:ind w:left="1334" w:hanging="559"/>
      </w:pPr>
      <w:r w:rsidRPr="002F6E39">
        <w:t>Визначення показників результативності дії регуляторного</w:t>
      </w:r>
      <w:r w:rsidRPr="002F6E39">
        <w:rPr>
          <w:spacing w:val="22"/>
        </w:rPr>
        <w:t xml:space="preserve"> </w:t>
      </w:r>
      <w:proofErr w:type="spellStart"/>
      <w:r w:rsidRPr="002F6E39">
        <w:t>акта</w:t>
      </w:r>
      <w:proofErr w:type="spellEnd"/>
    </w:p>
    <w:p w14:paraId="11C4A486" w14:textId="77777777" w:rsidR="00D454A2" w:rsidRPr="002F6E39" w:rsidRDefault="00D454A2" w:rsidP="00D454A2">
      <w:pPr>
        <w:pStyle w:val="a3"/>
        <w:spacing w:before="11"/>
        <w:rPr>
          <w:b/>
        </w:rPr>
      </w:pPr>
    </w:p>
    <w:p w14:paraId="3FE8722F" w14:textId="38C152F2" w:rsidR="00D454A2" w:rsidRPr="002F6E39" w:rsidRDefault="000C5148" w:rsidP="00AE7C3C">
      <w:pPr>
        <w:pStyle w:val="a3"/>
        <w:ind w:right="143" w:firstLine="851"/>
        <w:jc w:val="both"/>
      </w:pPr>
      <w:r w:rsidRPr="002F6E39">
        <w:t xml:space="preserve">За результатами дії регуляторного </w:t>
      </w:r>
      <w:proofErr w:type="spellStart"/>
      <w:r w:rsidRPr="002F6E39">
        <w:t>акта</w:t>
      </w:r>
      <w:proofErr w:type="spellEnd"/>
      <w:r w:rsidR="00D454A2" w:rsidRPr="002F6E39">
        <w:t>:</w:t>
      </w:r>
    </w:p>
    <w:p w14:paraId="5371562E" w14:textId="04807115" w:rsidR="005F6458" w:rsidRPr="002F6E39" w:rsidRDefault="000C5148" w:rsidP="00AE7C3C">
      <w:pPr>
        <w:pStyle w:val="a9"/>
        <w:numPr>
          <w:ilvl w:val="2"/>
          <w:numId w:val="3"/>
        </w:numPr>
        <w:tabs>
          <w:tab w:val="left" w:pos="1342"/>
        </w:tabs>
        <w:ind w:left="0" w:right="139" w:firstLine="851"/>
        <w:jc w:val="both"/>
        <w:rPr>
          <w:sz w:val="28"/>
          <w:szCs w:val="28"/>
        </w:rPr>
      </w:pPr>
      <w:r w:rsidRPr="002F6E39">
        <w:rPr>
          <w:sz w:val="28"/>
          <w:szCs w:val="28"/>
        </w:rPr>
        <w:t>дія</w:t>
      </w:r>
      <w:r w:rsidR="00D454A2" w:rsidRPr="002F6E39">
        <w:rPr>
          <w:sz w:val="28"/>
          <w:szCs w:val="28"/>
        </w:rPr>
        <w:t xml:space="preserve"> </w:t>
      </w:r>
      <w:proofErr w:type="spellStart"/>
      <w:r w:rsidR="00D454A2" w:rsidRPr="002F6E39">
        <w:rPr>
          <w:sz w:val="28"/>
          <w:szCs w:val="28"/>
        </w:rPr>
        <w:t>акта</w:t>
      </w:r>
      <w:proofErr w:type="spellEnd"/>
      <w:r w:rsidR="00D454A2" w:rsidRPr="002F6E39">
        <w:rPr>
          <w:sz w:val="28"/>
          <w:szCs w:val="28"/>
        </w:rPr>
        <w:t xml:space="preserve"> не </w:t>
      </w:r>
      <w:r w:rsidR="00EA7DAD" w:rsidRPr="002F6E39">
        <w:rPr>
          <w:sz w:val="28"/>
          <w:szCs w:val="28"/>
        </w:rPr>
        <w:t xml:space="preserve">передбачає </w:t>
      </w:r>
      <w:r w:rsidRPr="002F6E39">
        <w:rPr>
          <w:sz w:val="28"/>
          <w:szCs w:val="28"/>
        </w:rPr>
        <w:t xml:space="preserve">надходжень та/або видатків з/до державного та/або місцевих бюджетів і державних цільових фондів, пов'язаних із дією </w:t>
      </w:r>
      <w:proofErr w:type="spellStart"/>
      <w:r w:rsidRPr="002F6E39">
        <w:rPr>
          <w:sz w:val="28"/>
          <w:szCs w:val="28"/>
        </w:rPr>
        <w:t>акта</w:t>
      </w:r>
      <w:proofErr w:type="spellEnd"/>
      <w:r w:rsidR="00D454A2" w:rsidRPr="002F6E39">
        <w:rPr>
          <w:sz w:val="28"/>
          <w:szCs w:val="28"/>
        </w:rPr>
        <w:t>;</w:t>
      </w:r>
    </w:p>
    <w:p w14:paraId="3E040C23" w14:textId="535042A1" w:rsidR="00D454A2" w:rsidRPr="002F6E39" w:rsidRDefault="00E92C5C" w:rsidP="00AE7C3C">
      <w:pPr>
        <w:pStyle w:val="a9"/>
        <w:numPr>
          <w:ilvl w:val="2"/>
          <w:numId w:val="3"/>
        </w:numPr>
        <w:tabs>
          <w:tab w:val="left" w:pos="1373"/>
        </w:tabs>
        <w:ind w:left="0" w:right="127" w:firstLine="851"/>
        <w:jc w:val="both"/>
        <w:rPr>
          <w:sz w:val="28"/>
          <w:szCs w:val="28"/>
        </w:rPr>
      </w:pPr>
      <w:r w:rsidRPr="002F6E39">
        <w:rPr>
          <w:sz w:val="28"/>
          <w:szCs w:val="28"/>
        </w:rPr>
        <w:t xml:space="preserve">дія </w:t>
      </w:r>
      <w:proofErr w:type="spellStart"/>
      <w:r w:rsidRPr="002F6E39">
        <w:rPr>
          <w:sz w:val="28"/>
          <w:szCs w:val="28"/>
        </w:rPr>
        <w:t>акта</w:t>
      </w:r>
      <w:proofErr w:type="spellEnd"/>
      <w:r w:rsidRPr="002F6E39">
        <w:rPr>
          <w:sz w:val="28"/>
          <w:szCs w:val="28"/>
        </w:rPr>
        <w:t xml:space="preserve"> поширюватиметься на суб’єктів господарювання, </w:t>
      </w:r>
      <w:r w:rsidR="00470839" w:rsidRPr="002F6E39">
        <w:rPr>
          <w:sz w:val="28"/>
          <w:szCs w:val="28"/>
        </w:rPr>
        <w:t>що провадять діяльність у сферах енергетики та комунальних послуг</w:t>
      </w:r>
      <w:r w:rsidR="00D454A2" w:rsidRPr="002F6E39">
        <w:rPr>
          <w:sz w:val="28"/>
          <w:szCs w:val="28"/>
        </w:rPr>
        <w:t>;</w:t>
      </w:r>
    </w:p>
    <w:p w14:paraId="3C5263FF" w14:textId="77777777" w:rsidR="00D454A2" w:rsidRPr="002F6E39" w:rsidRDefault="00D454A2" w:rsidP="00AE7C3C">
      <w:pPr>
        <w:pStyle w:val="a9"/>
        <w:numPr>
          <w:ilvl w:val="2"/>
          <w:numId w:val="3"/>
        </w:numPr>
        <w:tabs>
          <w:tab w:val="left" w:pos="1255"/>
        </w:tabs>
        <w:spacing w:line="312" w:lineRule="exact"/>
        <w:ind w:left="0" w:firstLine="851"/>
        <w:jc w:val="both"/>
        <w:rPr>
          <w:sz w:val="28"/>
          <w:szCs w:val="28"/>
        </w:rPr>
      </w:pPr>
      <w:r w:rsidRPr="002F6E39">
        <w:rPr>
          <w:sz w:val="28"/>
          <w:szCs w:val="28"/>
        </w:rPr>
        <w:t xml:space="preserve">рівнем поінформованості </w:t>
      </w:r>
      <w:proofErr w:type="spellStart"/>
      <w:r w:rsidRPr="002F6E39">
        <w:rPr>
          <w:sz w:val="28"/>
          <w:szCs w:val="28"/>
        </w:rPr>
        <w:t>cy</w:t>
      </w:r>
      <w:r w:rsidR="00FF318B" w:rsidRPr="002F6E39">
        <w:rPr>
          <w:sz w:val="28"/>
          <w:szCs w:val="28"/>
        </w:rPr>
        <w:t>б</w:t>
      </w:r>
      <w:r w:rsidRPr="002F6E39">
        <w:rPr>
          <w:sz w:val="28"/>
          <w:szCs w:val="28"/>
        </w:rPr>
        <w:t>’</w:t>
      </w:r>
      <w:r w:rsidR="00FF318B" w:rsidRPr="002F6E39">
        <w:rPr>
          <w:sz w:val="28"/>
          <w:szCs w:val="28"/>
        </w:rPr>
        <w:t>є</w:t>
      </w:r>
      <w:r w:rsidRPr="002F6E39">
        <w:rPr>
          <w:sz w:val="28"/>
          <w:szCs w:val="28"/>
        </w:rPr>
        <w:t>ктів</w:t>
      </w:r>
      <w:proofErr w:type="spellEnd"/>
      <w:r w:rsidRPr="002F6E39">
        <w:rPr>
          <w:sz w:val="28"/>
          <w:szCs w:val="28"/>
        </w:rPr>
        <w:t xml:space="preserve"> господарювання з основних</w:t>
      </w:r>
      <w:r w:rsidRPr="002F6E39">
        <w:rPr>
          <w:spacing w:val="-9"/>
          <w:sz w:val="28"/>
          <w:szCs w:val="28"/>
        </w:rPr>
        <w:t xml:space="preserve"> </w:t>
      </w:r>
      <w:r w:rsidRPr="002F6E39">
        <w:rPr>
          <w:sz w:val="28"/>
          <w:szCs w:val="28"/>
        </w:rPr>
        <w:t xml:space="preserve">положень </w:t>
      </w:r>
      <w:proofErr w:type="spellStart"/>
      <w:r w:rsidRPr="002F6E39">
        <w:rPr>
          <w:sz w:val="28"/>
          <w:szCs w:val="28"/>
        </w:rPr>
        <w:t>акта</w:t>
      </w:r>
      <w:proofErr w:type="spellEnd"/>
      <w:r w:rsidR="00E424EC" w:rsidRPr="002F6E39">
        <w:rPr>
          <w:sz w:val="28"/>
          <w:szCs w:val="28"/>
        </w:rPr>
        <w:t xml:space="preserve"> – середній.</w:t>
      </w:r>
    </w:p>
    <w:p w14:paraId="3FD2F9D7" w14:textId="30E032A9" w:rsidR="00051357" w:rsidRPr="002F6E39" w:rsidRDefault="00D454A2" w:rsidP="00AE7C3C">
      <w:pPr>
        <w:pStyle w:val="a3"/>
        <w:ind w:firstLine="851"/>
        <w:jc w:val="both"/>
      </w:pPr>
      <w:r w:rsidRPr="002F6E39">
        <w:t>Відповідно до частини другої</w:t>
      </w:r>
      <w:r w:rsidR="00772360" w:rsidRPr="002F6E39">
        <w:t xml:space="preserve"> статті 15 Закону України «Про</w:t>
      </w:r>
      <w:r w:rsidRPr="002F6E39">
        <w:rPr>
          <w:spacing w:val="16"/>
        </w:rPr>
        <w:t xml:space="preserve"> </w:t>
      </w:r>
      <w:r w:rsidRPr="002F6E39">
        <w:t>Національну комісію, що здійснює державне регулювання у сферах енергетики та</w:t>
      </w:r>
      <w:r w:rsidRPr="002F6E39">
        <w:rPr>
          <w:spacing w:val="-47"/>
        </w:rPr>
        <w:t xml:space="preserve"> </w:t>
      </w:r>
      <w:r w:rsidRPr="002F6E39">
        <w:t xml:space="preserve">комунальних послуг» </w:t>
      </w:r>
      <w:proofErr w:type="spellStart"/>
      <w:r w:rsidR="00051721" w:rsidRPr="002F6E39">
        <w:t>П</w:t>
      </w:r>
      <w:r w:rsidRPr="002F6E39">
        <w:t>ро</w:t>
      </w:r>
      <w:r w:rsidR="00772360" w:rsidRPr="002F6E39">
        <w:t>є</w:t>
      </w:r>
      <w:r w:rsidRPr="002F6E39">
        <w:t>кт</w:t>
      </w:r>
      <w:proofErr w:type="spellEnd"/>
      <w:r w:rsidRPr="002F6E39">
        <w:t xml:space="preserve"> постанови, що ма</w:t>
      </w:r>
      <w:r w:rsidR="0085062D" w:rsidRPr="002F6E39">
        <w:t>є</w:t>
      </w:r>
      <w:r w:rsidRPr="002F6E39">
        <w:t xml:space="preserve"> ознаки регуляторного </w:t>
      </w:r>
      <w:proofErr w:type="spellStart"/>
      <w:r w:rsidRPr="002F6E39">
        <w:t>акта</w:t>
      </w:r>
      <w:proofErr w:type="spellEnd"/>
      <w:r w:rsidRPr="002F6E39">
        <w:t xml:space="preserve">, </w:t>
      </w:r>
      <w:r w:rsidR="00EA7DAD" w:rsidRPr="002F6E39">
        <w:t xml:space="preserve">разом з матеріалами, що обґрунтовують необхідність прийняття такого рішення, та </w:t>
      </w:r>
      <w:r w:rsidRPr="002F6E39">
        <w:t>аналіз</w:t>
      </w:r>
      <w:r w:rsidR="00EA7DAD" w:rsidRPr="002F6E39">
        <w:t>ом його</w:t>
      </w:r>
      <w:r w:rsidRPr="002F6E39">
        <w:t xml:space="preserve"> впливу </w:t>
      </w:r>
      <w:r w:rsidR="00EA7DAD" w:rsidRPr="002F6E39">
        <w:t>оприлюднюються</w:t>
      </w:r>
      <w:r w:rsidRPr="002F6E39">
        <w:t xml:space="preserve"> на офі</w:t>
      </w:r>
      <w:r w:rsidR="00772360" w:rsidRPr="002F6E39">
        <w:t xml:space="preserve">ційному </w:t>
      </w:r>
      <w:proofErr w:type="spellStart"/>
      <w:r w:rsidR="00772360" w:rsidRPr="002F6E39">
        <w:t>веб</w:t>
      </w:r>
      <w:r w:rsidRPr="002F6E39">
        <w:t>сайті</w:t>
      </w:r>
      <w:proofErr w:type="spellEnd"/>
      <w:r w:rsidRPr="002F6E39">
        <w:t xml:space="preserve"> HKPEKП в мережі Інтернет </w:t>
      </w:r>
      <w:hyperlink r:id="rId8" w:history="1">
        <w:r w:rsidR="004F58F9" w:rsidRPr="002F6E39">
          <w:rPr>
            <w:rStyle w:val="ac"/>
          </w:rPr>
          <w:t>www.nerc.gov.ua</w:t>
        </w:r>
      </w:hyperlink>
      <w:r w:rsidR="000C5148" w:rsidRPr="002F6E39">
        <w:rPr>
          <w:rStyle w:val="ac"/>
        </w:rPr>
        <w:t xml:space="preserve"> </w:t>
      </w:r>
      <w:r w:rsidR="000C5148" w:rsidRPr="002F6E39">
        <w:t>з метою одержання зауважень та пропозицій</w:t>
      </w:r>
      <w:r w:rsidRPr="002F6E39">
        <w:t>.</w:t>
      </w:r>
    </w:p>
    <w:p w14:paraId="1BC77C88" w14:textId="7E4C4CE5" w:rsidR="00D454A2" w:rsidRPr="002F6E39" w:rsidRDefault="00D454A2" w:rsidP="00AE7C3C">
      <w:pPr>
        <w:pStyle w:val="a3"/>
        <w:ind w:firstLine="851"/>
        <w:jc w:val="both"/>
      </w:pPr>
      <w:r w:rsidRPr="002F6E39">
        <w:t xml:space="preserve">HKPEKП у межах </w:t>
      </w:r>
      <w:r w:rsidR="005738BA" w:rsidRPr="002F6E39">
        <w:t xml:space="preserve">своєї </w:t>
      </w:r>
      <w:r w:rsidRPr="002F6E39">
        <w:t xml:space="preserve">компетенції надає необхідні роз’яснення щодо </w:t>
      </w:r>
      <w:r w:rsidR="000C5148" w:rsidRPr="002F6E39">
        <w:t xml:space="preserve">положень </w:t>
      </w:r>
      <w:proofErr w:type="spellStart"/>
      <w:r w:rsidR="000C5148" w:rsidRPr="002F6E39">
        <w:t>П</w:t>
      </w:r>
      <w:r w:rsidRPr="002F6E39">
        <w:t>ро</w:t>
      </w:r>
      <w:r w:rsidR="00772360" w:rsidRPr="002F6E39">
        <w:t>є</w:t>
      </w:r>
      <w:r w:rsidRPr="002F6E39">
        <w:t>кту</w:t>
      </w:r>
      <w:proofErr w:type="spellEnd"/>
      <w:r w:rsidRPr="002F6E39">
        <w:t xml:space="preserve"> </w:t>
      </w:r>
      <w:r w:rsidR="000C5148" w:rsidRPr="002F6E39">
        <w:t>постанови</w:t>
      </w:r>
      <w:r w:rsidRPr="002F6E39">
        <w:t xml:space="preserve"> </w:t>
      </w:r>
      <w:r w:rsidR="000C5148" w:rsidRPr="002F6E39">
        <w:t>та надалі</w:t>
      </w:r>
      <w:r w:rsidRPr="002F6E39">
        <w:t xml:space="preserve"> надаватиме роз’яснення щодо застосування </w:t>
      </w:r>
      <w:proofErr w:type="spellStart"/>
      <w:r w:rsidRPr="002F6E39">
        <w:t>акта</w:t>
      </w:r>
      <w:proofErr w:type="spellEnd"/>
      <w:r w:rsidRPr="002F6E39">
        <w:t xml:space="preserve"> після його прийняття.</w:t>
      </w:r>
    </w:p>
    <w:p w14:paraId="4F013590" w14:textId="77777777" w:rsidR="00D454A2" w:rsidRPr="002F6E39" w:rsidRDefault="00D454A2" w:rsidP="00D454A2">
      <w:pPr>
        <w:pStyle w:val="a3"/>
        <w:jc w:val="both"/>
      </w:pPr>
    </w:p>
    <w:p w14:paraId="7C70AC13" w14:textId="77777777" w:rsidR="00D454A2" w:rsidRPr="002F6E39" w:rsidRDefault="00D454A2" w:rsidP="00D454A2">
      <w:pPr>
        <w:pStyle w:val="1"/>
        <w:numPr>
          <w:ilvl w:val="1"/>
          <w:numId w:val="3"/>
        </w:numPr>
        <w:tabs>
          <w:tab w:val="left" w:pos="1445"/>
        </w:tabs>
        <w:spacing w:before="118"/>
        <w:ind w:left="1444" w:hanging="669"/>
      </w:pPr>
      <w:r w:rsidRPr="002F6E39">
        <w:t>Очікувані результати прийняття регуляторного</w:t>
      </w:r>
      <w:r w:rsidRPr="002F6E39">
        <w:rPr>
          <w:spacing w:val="7"/>
        </w:rPr>
        <w:t xml:space="preserve"> </w:t>
      </w:r>
      <w:proofErr w:type="spellStart"/>
      <w:r w:rsidRPr="002F6E39">
        <w:t>акта</w:t>
      </w:r>
      <w:proofErr w:type="spellEnd"/>
    </w:p>
    <w:p w14:paraId="09866225" w14:textId="77777777" w:rsidR="00D454A2" w:rsidRPr="002F6E39" w:rsidRDefault="00D454A2" w:rsidP="00D454A2">
      <w:pPr>
        <w:pStyle w:val="a3"/>
        <w:spacing w:before="1"/>
        <w:rPr>
          <w:b/>
          <w:sz w:val="27"/>
        </w:rPr>
      </w:pPr>
    </w:p>
    <w:p w14:paraId="4964394A" w14:textId="4F5196AC" w:rsidR="00051721" w:rsidRPr="002F6E39" w:rsidRDefault="00D454A2" w:rsidP="00426954">
      <w:pPr>
        <w:pStyle w:val="a3"/>
        <w:ind w:right="136" w:firstLine="851"/>
        <w:jc w:val="both"/>
      </w:pPr>
      <w:r w:rsidRPr="002F6E39">
        <w:t xml:space="preserve">Очікуваним результатом прийняття постанови HKPEKП </w:t>
      </w:r>
      <w:r w:rsidR="001D31FB" w:rsidRPr="002F6E39">
        <w:t>«</w:t>
      </w:r>
      <w:r w:rsidR="00051721" w:rsidRPr="002F6E39">
        <w:rPr>
          <w:rStyle w:val="rvts23"/>
          <w:color w:val="000000"/>
        </w:rPr>
        <w:t>Про затвердження Змін до Порядку (методики) визначення розміру штрафів, які накладаються Нац</w:t>
      </w:r>
      <w:bookmarkStart w:id="0" w:name="_GoBack"/>
      <w:bookmarkEnd w:id="0"/>
      <w:r w:rsidR="00051721" w:rsidRPr="002F6E39">
        <w:rPr>
          <w:rStyle w:val="rvts23"/>
          <w:color w:val="000000"/>
        </w:rPr>
        <w:t>іональною комісією, що здійснює державне регулювання у сферах енергетики та комунальних послуг</w:t>
      </w:r>
      <w:r w:rsidR="001D31FB" w:rsidRPr="002F6E39">
        <w:t>»</w:t>
      </w:r>
      <w:r w:rsidR="00051721" w:rsidRPr="002F6E39">
        <w:t xml:space="preserve"> </w:t>
      </w:r>
      <w:r w:rsidRPr="002F6E39">
        <w:t xml:space="preserve">є </w:t>
      </w:r>
      <w:r w:rsidR="00D75E93">
        <w:t>удосконалений</w:t>
      </w:r>
      <w:r w:rsidR="00D75E93" w:rsidRPr="00E20C36">
        <w:t xml:space="preserve"> </w:t>
      </w:r>
      <w:r w:rsidR="00E20C36" w:rsidRPr="00E20C36">
        <w:t>механізм застосування санкцій до ліцензіатів НКРЕКП, які за критерієм «величина ліцензіата» відносяться до малих ліцензіатів, посилення відповідальності за відмову у проведенні перевірки. Також буде забезпечено застосування диференційованого підходу до ліцензіатів в залежності від часу провадження ними господарської діяльності у відповідній сфері (впровадження критерію «досвід ліцензіатів НКРЕКП»).</w:t>
      </w:r>
    </w:p>
    <w:p w14:paraId="26C76A4B" w14:textId="77777777" w:rsidR="00051721" w:rsidRPr="002F6E39" w:rsidRDefault="00051721" w:rsidP="00426954">
      <w:pPr>
        <w:pStyle w:val="a3"/>
        <w:ind w:right="136" w:firstLine="851"/>
        <w:jc w:val="both"/>
      </w:pPr>
    </w:p>
    <w:p w14:paraId="0DAFEA4E" w14:textId="77777777" w:rsidR="00171A19" w:rsidRPr="002F6E39" w:rsidRDefault="00171A19" w:rsidP="00D454A2">
      <w:pPr>
        <w:pStyle w:val="a3"/>
        <w:ind w:left="234" w:right="136" w:firstLine="538"/>
        <w:jc w:val="both"/>
      </w:pPr>
    </w:p>
    <w:p w14:paraId="30BC593A" w14:textId="77777777" w:rsidR="00D454A2" w:rsidRPr="002F6E39" w:rsidRDefault="00D454A2" w:rsidP="00D454A2">
      <w:pPr>
        <w:pStyle w:val="a3"/>
        <w:ind w:left="234" w:right="136" w:firstLine="538"/>
        <w:jc w:val="both"/>
      </w:pPr>
    </w:p>
    <w:p w14:paraId="44B7C3F6" w14:textId="77777777" w:rsidR="009C45E7" w:rsidRPr="002F6E39" w:rsidRDefault="009C45E7" w:rsidP="00F46893">
      <w:pPr>
        <w:pStyle w:val="a3"/>
        <w:ind w:right="136"/>
        <w:jc w:val="both"/>
      </w:pPr>
    </w:p>
    <w:p w14:paraId="58E58F8E" w14:textId="68B3920A" w:rsidR="00D454A2" w:rsidRPr="002F6E39" w:rsidRDefault="00D454A2" w:rsidP="003F0FE5">
      <w:pPr>
        <w:pStyle w:val="a3"/>
        <w:ind w:right="136"/>
        <w:jc w:val="both"/>
      </w:pPr>
      <w:r w:rsidRPr="002F6E39">
        <w:t>Голов</w:t>
      </w:r>
      <w:r w:rsidR="00051721" w:rsidRPr="002F6E39">
        <w:t>а</w:t>
      </w:r>
      <w:r w:rsidRPr="002F6E39">
        <w:t xml:space="preserve"> НКРЕКП</w:t>
      </w:r>
      <w:r w:rsidR="00E20C36">
        <w:tab/>
      </w:r>
      <w:r w:rsidR="00E20C36">
        <w:tab/>
      </w:r>
      <w:r w:rsidR="00E20C36">
        <w:tab/>
      </w:r>
      <w:r w:rsidR="00E20C36">
        <w:tab/>
      </w:r>
      <w:r w:rsidR="00051721" w:rsidRPr="002F6E39">
        <w:tab/>
      </w:r>
      <w:r w:rsidR="003F0FE5" w:rsidRPr="002F6E39">
        <w:tab/>
      </w:r>
      <w:r w:rsidR="003F0FE5" w:rsidRPr="002F6E39">
        <w:tab/>
      </w:r>
      <w:r w:rsidR="00171A19" w:rsidRPr="002F6E39">
        <w:tab/>
      </w:r>
      <w:r w:rsidR="00E20C36">
        <w:t>Юрій ВЛАСЕНКО</w:t>
      </w:r>
    </w:p>
    <w:sectPr w:rsidR="00D454A2" w:rsidRPr="002F6E39" w:rsidSect="005F6458">
      <w:headerReference w:type="even" r:id="rId9"/>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4D4D7B" w14:textId="77777777" w:rsidR="00E317B9" w:rsidRDefault="00E317B9">
      <w:r>
        <w:separator/>
      </w:r>
    </w:p>
  </w:endnote>
  <w:endnote w:type="continuationSeparator" w:id="0">
    <w:p w14:paraId="51000919" w14:textId="77777777" w:rsidR="00E317B9" w:rsidRDefault="00E317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746EEC" w14:textId="77777777" w:rsidR="00E317B9" w:rsidRDefault="00E317B9">
      <w:r>
        <w:separator/>
      </w:r>
    </w:p>
  </w:footnote>
  <w:footnote w:type="continuationSeparator" w:id="0">
    <w:p w14:paraId="6C6DCFAC" w14:textId="77777777" w:rsidR="00E317B9" w:rsidRDefault="00E317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36868"/>
      <w:docPartObj>
        <w:docPartGallery w:val="Page Numbers (Top of Page)"/>
        <w:docPartUnique/>
      </w:docPartObj>
    </w:sdtPr>
    <w:sdtEndPr/>
    <w:sdtContent>
      <w:p w14:paraId="12FF9CC4" w14:textId="77777777" w:rsidR="009D7ABA" w:rsidRDefault="00D454A2">
        <w:pPr>
          <w:pStyle w:val="a5"/>
          <w:jc w:val="center"/>
        </w:pPr>
        <w:r>
          <w:fldChar w:fldCharType="begin"/>
        </w:r>
        <w:r>
          <w:instrText>PAGE   \* MERGEFORMAT</w:instrText>
        </w:r>
        <w:r>
          <w:fldChar w:fldCharType="separate"/>
        </w:r>
        <w:r>
          <w:rPr>
            <w:noProof/>
          </w:rPr>
          <w:t>10</w:t>
        </w:r>
        <w:r>
          <w:fldChar w:fldCharType="end"/>
        </w:r>
      </w:p>
    </w:sdtContent>
  </w:sdt>
  <w:p w14:paraId="732DCA71" w14:textId="77777777" w:rsidR="009D7ABA" w:rsidRDefault="009D7ABA">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3934434"/>
      <w:docPartObj>
        <w:docPartGallery w:val="Page Numbers (Top of Page)"/>
        <w:docPartUnique/>
      </w:docPartObj>
    </w:sdtPr>
    <w:sdtEndPr/>
    <w:sdtContent>
      <w:p w14:paraId="5586AA66" w14:textId="4675CF00" w:rsidR="009D7ABA" w:rsidRDefault="00D454A2">
        <w:pPr>
          <w:pStyle w:val="a5"/>
          <w:jc w:val="center"/>
        </w:pPr>
        <w:r>
          <w:fldChar w:fldCharType="begin"/>
        </w:r>
        <w:r>
          <w:instrText>PAGE   \* MERGEFORMAT</w:instrText>
        </w:r>
        <w:r>
          <w:fldChar w:fldCharType="separate"/>
        </w:r>
        <w:r w:rsidR="005738BA">
          <w:rPr>
            <w:noProof/>
          </w:rPr>
          <w:t>4</w:t>
        </w:r>
        <w:r>
          <w:fldChar w:fldCharType="end"/>
        </w:r>
      </w:p>
    </w:sdtContent>
  </w:sdt>
  <w:p w14:paraId="2A43F4B5" w14:textId="77777777" w:rsidR="009D7ABA" w:rsidRDefault="009D7AB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C4A51"/>
    <w:multiLevelType w:val="hybridMultilevel"/>
    <w:tmpl w:val="2D40746C"/>
    <w:lvl w:ilvl="0" w:tplc="249E4994">
      <w:numFmt w:val="bullet"/>
      <w:suff w:val="space"/>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3A156462"/>
    <w:multiLevelType w:val="hybridMultilevel"/>
    <w:tmpl w:val="9E72E880"/>
    <w:lvl w:ilvl="0" w:tplc="1DC458C4">
      <w:start w:val="1"/>
      <w:numFmt w:val="decimal"/>
      <w:lvlText w:val="%1."/>
      <w:lvlJc w:val="left"/>
      <w:pPr>
        <w:ind w:left="1133" w:hanging="359"/>
      </w:pPr>
      <w:rPr>
        <w:rFonts w:ascii="Times New Roman" w:eastAsia="Times New Roman" w:hAnsi="Times New Roman" w:cs="Times New Roman" w:hint="default"/>
        <w:w w:val="96"/>
        <w:sz w:val="28"/>
        <w:szCs w:val="28"/>
        <w:lang w:val="uk-UA" w:eastAsia="en-US" w:bidi="ar-SA"/>
      </w:rPr>
    </w:lvl>
    <w:lvl w:ilvl="1" w:tplc="E4088CB4">
      <w:numFmt w:val="bullet"/>
      <w:lvlText w:val="•"/>
      <w:lvlJc w:val="left"/>
      <w:pPr>
        <w:ind w:left="2052" w:hanging="359"/>
      </w:pPr>
      <w:rPr>
        <w:rFonts w:hint="default"/>
        <w:lang w:val="uk-UA" w:eastAsia="en-US" w:bidi="ar-SA"/>
      </w:rPr>
    </w:lvl>
    <w:lvl w:ilvl="2" w:tplc="6554A136">
      <w:numFmt w:val="bullet"/>
      <w:lvlText w:val="•"/>
      <w:lvlJc w:val="left"/>
      <w:pPr>
        <w:ind w:left="2964" w:hanging="359"/>
      </w:pPr>
      <w:rPr>
        <w:rFonts w:hint="default"/>
        <w:lang w:val="uk-UA" w:eastAsia="en-US" w:bidi="ar-SA"/>
      </w:rPr>
    </w:lvl>
    <w:lvl w:ilvl="3" w:tplc="0B5050DC">
      <w:numFmt w:val="bullet"/>
      <w:lvlText w:val="•"/>
      <w:lvlJc w:val="left"/>
      <w:pPr>
        <w:ind w:left="3876" w:hanging="359"/>
      </w:pPr>
      <w:rPr>
        <w:rFonts w:hint="default"/>
        <w:lang w:val="uk-UA" w:eastAsia="en-US" w:bidi="ar-SA"/>
      </w:rPr>
    </w:lvl>
    <w:lvl w:ilvl="4" w:tplc="5C2C9050">
      <w:numFmt w:val="bullet"/>
      <w:lvlText w:val="•"/>
      <w:lvlJc w:val="left"/>
      <w:pPr>
        <w:ind w:left="4788" w:hanging="359"/>
      </w:pPr>
      <w:rPr>
        <w:rFonts w:hint="default"/>
        <w:lang w:val="uk-UA" w:eastAsia="en-US" w:bidi="ar-SA"/>
      </w:rPr>
    </w:lvl>
    <w:lvl w:ilvl="5" w:tplc="C116DB46">
      <w:numFmt w:val="bullet"/>
      <w:lvlText w:val="•"/>
      <w:lvlJc w:val="left"/>
      <w:pPr>
        <w:ind w:left="5700" w:hanging="359"/>
      </w:pPr>
      <w:rPr>
        <w:rFonts w:hint="default"/>
        <w:lang w:val="uk-UA" w:eastAsia="en-US" w:bidi="ar-SA"/>
      </w:rPr>
    </w:lvl>
    <w:lvl w:ilvl="6" w:tplc="B7269E2A">
      <w:numFmt w:val="bullet"/>
      <w:lvlText w:val="•"/>
      <w:lvlJc w:val="left"/>
      <w:pPr>
        <w:ind w:left="6612" w:hanging="359"/>
      </w:pPr>
      <w:rPr>
        <w:rFonts w:hint="default"/>
        <w:lang w:val="uk-UA" w:eastAsia="en-US" w:bidi="ar-SA"/>
      </w:rPr>
    </w:lvl>
    <w:lvl w:ilvl="7" w:tplc="61F2FE68">
      <w:numFmt w:val="bullet"/>
      <w:lvlText w:val="•"/>
      <w:lvlJc w:val="left"/>
      <w:pPr>
        <w:ind w:left="7524" w:hanging="359"/>
      </w:pPr>
      <w:rPr>
        <w:rFonts w:hint="default"/>
        <w:lang w:val="uk-UA" w:eastAsia="en-US" w:bidi="ar-SA"/>
      </w:rPr>
    </w:lvl>
    <w:lvl w:ilvl="8" w:tplc="9B267A66">
      <w:numFmt w:val="bullet"/>
      <w:lvlText w:val="•"/>
      <w:lvlJc w:val="left"/>
      <w:pPr>
        <w:ind w:left="8436" w:hanging="359"/>
      </w:pPr>
      <w:rPr>
        <w:rFonts w:hint="default"/>
        <w:lang w:val="uk-UA" w:eastAsia="en-US" w:bidi="ar-SA"/>
      </w:rPr>
    </w:lvl>
  </w:abstractNum>
  <w:abstractNum w:abstractNumId="2" w15:restartNumberingAfterBreak="0">
    <w:nsid w:val="78B1789C"/>
    <w:multiLevelType w:val="hybridMultilevel"/>
    <w:tmpl w:val="B1CEDD3A"/>
    <w:lvl w:ilvl="0" w:tplc="A060EB58">
      <w:start w:val="1"/>
      <w:numFmt w:val="decimal"/>
      <w:lvlText w:val="%1)"/>
      <w:lvlJc w:val="left"/>
      <w:pPr>
        <w:ind w:left="1133" w:hanging="359"/>
      </w:pPr>
      <w:rPr>
        <w:rFonts w:ascii="Times New Roman" w:eastAsia="Times New Roman" w:hAnsi="Times New Roman" w:cs="Times New Roman" w:hint="default"/>
        <w:w w:val="97"/>
        <w:sz w:val="28"/>
        <w:szCs w:val="28"/>
        <w:lang w:val="uk-UA" w:eastAsia="en-US" w:bidi="ar-SA"/>
      </w:rPr>
    </w:lvl>
    <w:lvl w:ilvl="1" w:tplc="53CE81C2">
      <w:numFmt w:val="bullet"/>
      <w:lvlText w:val="•"/>
      <w:lvlJc w:val="left"/>
      <w:pPr>
        <w:ind w:left="2052" w:hanging="359"/>
      </w:pPr>
      <w:rPr>
        <w:rFonts w:hint="default"/>
        <w:lang w:val="uk-UA" w:eastAsia="en-US" w:bidi="ar-SA"/>
      </w:rPr>
    </w:lvl>
    <w:lvl w:ilvl="2" w:tplc="5DD640F4">
      <w:numFmt w:val="bullet"/>
      <w:lvlText w:val="•"/>
      <w:lvlJc w:val="left"/>
      <w:pPr>
        <w:ind w:left="2964" w:hanging="359"/>
      </w:pPr>
      <w:rPr>
        <w:rFonts w:hint="default"/>
        <w:lang w:val="uk-UA" w:eastAsia="en-US" w:bidi="ar-SA"/>
      </w:rPr>
    </w:lvl>
    <w:lvl w:ilvl="3" w:tplc="414C792E">
      <w:numFmt w:val="bullet"/>
      <w:lvlText w:val="•"/>
      <w:lvlJc w:val="left"/>
      <w:pPr>
        <w:ind w:left="3876" w:hanging="359"/>
      </w:pPr>
      <w:rPr>
        <w:rFonts w:hint="default"/>
        <w:lang w:val="uk-UA" w:eastAsia="en-US" w:bidi="ar-SA"/>
      </w:rPr>
    </w:lvl>
    <w:lvl w:ilvl="4" w:tplc="4244973E">
      <w:numFmt w:val="bullet"/>
      <w:lvlText w:val="•"/>
      <w:lvlJc w:val="left"/>
      <w:pPr>
        <w:ind w:left="4788" w:hanging="359"/>
      </w:pPr>
      <w:rPr>
        <w:rFonts w:hint="default"/>
        <w:lang w:val="uk-UA" w:eastAsia="en-US" w:bidi="ar-SA"/>
      </w:rPr>
    </w:lvl>
    <w:lvl w:ilvl="5" w:tplc="D16A509E">
      <w:numFmt w:val="bullet"/>
      <w:lvlText w:val="•"/>
      <w:lvlJc w:val="left"/>
      <w:pPr>
        <w:ind w:left="5700" w:hanging="359"/>
      </w:pPr>
      <w:rPr>
        <w:rFonts w:hint="default"/>
        <w:lang w:val="uk-UA" w:eastAsia="en-US" w:bidi="ar-SA"/>
      </w:rPr>
    </w:lvl>
    <w:lvl w:ilvl="6" w:tplc="177C7492">
      <w:numFmt w:val="bullet"/>
      <w:lvlText w:val="•"/>
      <w:lvlJc w:val="left"/>
      <w:pPr>
        <w:ind w:left="6612" w:hanging="359"/>
      </w:pPr>
      <w:rPr>
        <w:rFonts w:hint="default"/>
        <w:lang w:val="uk-UA" w:eastAsia="en-US" w:bidi="ar-SA"/>
      </w:rPr>
    </w:lvl>
    <w:lvl w:ilvl="7" w:tplc="8ADCC548">
      <w:numFmt w:val="bullet"/>
      <w:lvlText w:val="•"/>
      <w:lvlJc w:val="left"/>
      <w:pPr>
        <w:ind w:left="7524" w:hanging="359"/>
      </w:pPr>
      <w:rPr>
        <w:rFonts w:hint="default"/>
        <w:lang w:val="uk-UA" w:eastAsia="en-US" w:bidi="ar-SA"/>
      </w:rPr>
    </w:lvl>
    <w:lvl w:ilvl="8" w:tplc="CE264668">
      <w:numFmt w:val="bullet"/>
      <w:lvlText w:val="•"/>
      <w:lvlJc w:val="left"/>
      <w:pPr>
        <w:ind w:left="8436" w:hanging="359"/>
      </w:pPr>
      <w:rPr>
        <w:rFonts w:hint="default"/>
        <w:lang w:val="uk-UA" w:eastAsia="en-US" w:bidi="ar-SA"/>
      </w:rPr>
    </w:lvl>
  </w:abstractNum>
  <w:abstractNum w:abstractNumId="3" w15:restartNumberingAfterBreak="0">
    <w:nsid w:val="7B141276"/>
    <w:multiLevelType w:val="hybridMultilevel"/>
    <w:tmpl w:val="1B2267B6"/>
    <w:lvl w:ilvl="0" w:tplc="C2F82D28">
      <w:numFmt w:val="bullet"/>
      <w:lvlText w:val="*"/>
      <w:lvlJc w:val="left"/>
      <w:pPr>
        <w:ind w:left="235" w:hanging="207"/>
      </w:pPr>
      <w:rPr>
        <w:rFonts w:ascii="Times New Roman" w:eastAsia="Times New Roman" w:hAnsi="Times New Roman" w:cs="Times New Roman" w:hint="default"/>
        <w:w w:val="88"/>
        <w:sz w:val="25"/>
        <w:szCs w:val="25"/>
        <w:lang w:val="uk-UA" w:eastAsia="en-US" w:bidi="ar-SA"/>
      </w:rPr>
    </w:lvl>
    <w:lvl w:ilvl="1" w:tplc="6818F1AA">
      <w:start w:val="1"/>
      <w:numFmt w:val="upperRoman"/>
      <w:suff w:val="space"/>
      <w:lvlText w:val="%2."/>
      <w:lvlJc w:val="left"/>
      <w:pPr>
        <w:ind w:left="362" w:hanging="362"/>
      </w:pPr>
      <w:rPr>
        <w:rFonts w:hint="default"/>
        <w:b/>
        <w:w w:val="93"/>
        <w:sz w:val="28"/>
        <w:szCs w:val="28"/>
        <w:lang w:val="uk-UA" w:eastAsia="en-US" w:bidi="ar-SA"/>
      </w:rPr>
    </w:lvl>
    <w:lvl w:ilvl="2" w:tplc="17580AA8">
      <w:start w:val="1"/>
      <w:numFmt w:val="decimal"/>
      <w:suff w:val="space"/>
      <w:lvlText w:val="%3)"/>
      <w:lvlJc w:val="left"/>
      <w:pPr>
        <w:ind w:left="234" w:hanging="394"/>
      </w:pPr>
      <w:rPr>
        <w:rFonts w:ascii="Times New Roman" w:eastAsia="Times New Roman" w:hAnsi="Times New Roman" w:cs="Times New Roman" w:hint="default"/>
        <w:w w:val="96"/>
        <w:sz w:val="28"/>
        <w:szCs w:val="28"/>
        <w:lang w:val="uk-UA" w:eastAsia="en-US" w:bidi="ar-SA"/>
      </w:rPr>
    </w:lvl>
    <w:lvl w:ilvl="3" w:tplc="9454F51A">
      <w:numFmt w:val="bullet"/>
      <w:lvlText w:val="•"/>
      <w:lvlJc w:val="left"/>
      <w:pPr>
        <w:ind w:left="5173" w:hanging="394"/>
      </w:pPr>
      <w:rPr>
        <w:rFonts w:hint="default"/>
        <w:lang w:val="uk-UA" w:eastAsia="en-US" w:bidi="ar-SA"/>
      </w:rPr>
    </w:lvl>
    <w:lvl w:ilvl="4" w:tplc="9D66C866">
      <w:numFmt w:val="bullet"/>
      <w:lvlText w:val="•"/>
      <w:lvlJc w:val="left"/>
      <w:pPr>
        <w:ind w:left="5900" w:hanging="394"/>
      </w:pPr>
      <w:rPr>
        <w:rFonts w:hint="default"/>
        <w:lang w:val="uk-UA" w:eastAsia="en-US" w:bidi="ar-SA"/>
      </w:rPr>
    </w:lvl>
    <w:lvl w:ilvl="5" w:tplc="8CF88612">
      <w:numFmt w:val="bullet"/>
      <w:lvlText w:val="•"/>
      <w:lvlJc w:val="left"/>
      <w:pPr>
        <w:ind w:left="6626" w:hanging="394"/>
      </w:pPr>
      <w:rPr>
        <w:rFonts w:hint="default"/>
        <w:lang w:val="uk-UA" w:eastAsia="en-US" w:bidi="ar-SA"/>
      </w:rPr>
    </w:lvl>
    <w:lvl w:ilvl="6" w:tplc="DC10EAD4">
      <w:numFmt w:val="bullet"/>
      <w:lvlText w:val="•"/>
      <w:lvlJc w:val="left"/>
      <w:pPr>
        <w:ind w:left="7353" w:hanging="394"/>
      </w:pPr>
      <w:rPr>
        <w:rFonts w:hint="default"/>
        <w:lang w:val="uk-UA" w:eastAsia="en-US" w:bidi="ar-SA"/>
      </w:rPr>
    </w:lvl>
    <w:lvl w:ilvl="7" w:tplc="4F12E3F6">
      <w:numFmt w:val="bullet"/>
      <w:lvlText w:val="•"/>
      <w:lvlJc w:val="left"/>
      <w:pPr>
        <w:ind w:left="8080" w:hanging="394"/>
      </w:pPr>
      <w:rPr>
        <w:rFonts w:hint="default"/>
        <w:lang w:val="uk-UA" w:eastAsia="en-US" w:bidi="ar-SA"/>
      </w:rPr>
    </w:lvl>
    <w:lvl w:ilvl="8" w:tplc="14324322">
      <w:numFmt w:val="bullet"/>
      <w:lvlText w:val="•"/>
      <w:lvlJc w:val="left"/>
      <w:pPr>
        <w:ind w:left="8806" w:hanging="394"/>
      </w:pPr>
      <w:rPr>
        <w:rFonts w:hint="default"/>
        <w:lang w:val="uk-UA" w:eastAsia="en-US" w:bidi="ar-SA"/>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CA1"/>
    <w:rsid w:val="000063E0"/>
    <w:rsid w:val="00010722"/>
    <w:rsid w:val="00023747"/>
    <w:rsid w:val="00025D06"/>
    <w:rsid w:val="00026E4C"/>
    <w:rsid w:val="00035D8B"/>
    <w:rsid w:val="00041C85"/>
    <w:rsid w:val="00051357"/>
    <w:rsid w:val="00051721"/>
    <w:rsid w:val="0005234D"/>
    <w:rsid w:val="00054766"/>
    <w:rsid w:val="0007755E"/>
    <w:rsid w:val="00084B76"/>
    <w:rsid w:val="00085CA5"/>
    <w:rsid w:val="00090A5B"/>
    <w:rsid w:val="00091CB3"/>
    <w:rsid w:val="00097911"/>
    <w:rsid w:val="00097C2A"/>
    <w:rsid w:val="000A31AE"/>
    <w:rsid w:val="000A7168"/>
    <w:rsid w:val="000B0E86"/>
    <w:rsid w:val="000B3EAF"/>
    <w:rsid w:val="000B42D9"/>
    <w:rsid w:val="000B5CBB"/>
    <w:rsid w:val="000B675C"/>
    <w:rsid w:val="000C38D1"/>
    <w:rsid w:val="000C4B74"/>
    <w:rsid w:val="000C5148"/>
    <w:rsid w:val="000D2EAD"/>
    <w:rsid w:val="000D6E4B"/>
    <w:rsid w:val="000E4786"/>
    <w:rsid w:val="000E61A5"/>
    <w:rsid w:val="001041EE"/>
    <w:rsid w:val="00125F23"/>
    <w:rsid w:val="001371DF"/>
    <w:rsid w:val="001427B3"/>
    <w:rsid w:val="00147C4A"/>
    <w:rsid w:val="00152CDC"/>
    <w:rsid w:val="00153334"/>
    <w:rsid w:val="001539FC"/>
    <w:rsid w:val="001614E5"/>
    <w:rsid w:val="001664A4"/>
    <w:rsid w:val="00170A09"/>
    <w:rsid w:val="00171A19"/>
    <w:rsid w:val="001900F3"/>
    <w:rsid w:val="0019322E"/>
    <w:rsid w:val="00196DDF"/>
    <w:rsid w:val="001A2576"/>
    <w:rsid w:val="001A50F6"/>
    <w:rsid w:val="001B35D7"/>
    <w:rsid w:val="001C4B2E"/>
    <w:rsid w:val="001C5CC4"/>
    <w:rsid w:val="001C6953"/>
    <w:rsid w:val="001D2A3A"/>
    <w:rsid w:val="001D31FB"/>
    <w:rsid w:val="001D612B"/>
    <w:rsid w:val="001E094E"/>
    <w:rsid w:val="001F49E6"/>
    <w:rsid w:val="00202F2A"/>
    <w:rsid w:val="00214834"/>
    <w:rsid w:val="00220B35"/>
    <w:rsid w:val="00220D5C"/>
    <w:rsid w:val="00236629"/>
    <w:rsid w:val="00250139"/>
    <w:rsid w:val="00251F4D"/>
    <w:rsid w:val="00255B73"/>
    <w:rsid w:val="0026440F"/>
    <w:rsid w:val="00276819"/>
    <w:rsid w:val="00280CC0"/>
    <w:rsid w:val="002827C2"/>
    <w:rsid w:val="00283669"/>
    <w:rsid w:val="00297046"/>
    <w:rsid w:val="002B2E21"/>
    <w:rsid w:val="002B73FB"/>
    <w:rsid w:val="002C2FC9"/>
    <w:rsid w:val="002C5AF6"/>
    <w:rsid w:val="002E65E8"/>
    <w:rsid w:val="002F6E39"/>
    <w:rsid w:val="00314062"/>
    <w:rsid w:val="0031440B"/>
    <w:rsid w:val="00320AA3"/>
    <w:rsid w:val="00334933"/>
    <w:rsid w:val="00340AC2"/>
    <w:rsid w:val="003435DF"/>
    <w:rsid w:val="00346CBC"/>
    <w:rsid w:val="003471EF"/>
    <w:rsid w:val="0035344B"/>
    <w:rsid w:val="00360A64"/>
    <w:rsid w:val="00362F22"/>
    <w:rsid w:val="003644D9"/>
    <w:rsid w:val="00383F12"/>
    <w:rsid w:val="00384209"/>
    <w:rsid w:val="00386FB3"/>
    <w:rsid w:val="003913E1"/>
    <w:rsid w:val="00393249"/>
    <w:rsid w:val="00397197"/>
    <w:rsid w:val="003A238F"/>
    <w:rsid w:val="003A7462"/>
    <w:rsid w:val="003B4641"/>
    <w:rsid w:val="003B4903"/>
    <w:rsid w:val="003C6185"/>
    <w:rsid w:val="003D07CA"/>
    <w:rsid w:val="003E2BFE"/>
    <w:rsid w:val="003E40F9"/>
    <w:rsid w:val="003E754C"/>
    <w:rsid w:val="003F0FE5"/>
    <w:rsid w:val="003F290A"/>
    <w:rsid w:val="003F2D65"/>
    <w:rsid w:val="003F7824"/>
    <w:rsid w:val="004104F5"/>
    <w:rsid w:val="004147DD"/>
    <w:rsid w:val="00420AA0"/>
    <w:rsid w:val="00426954"/>
    <w:rsid w:val="004570F9"/>
    <w:rsid w:val="004652B3"/>
    <w:rsid w:val="00465D40"/>
    <w:rsid w:val="00466643"/>
    <w:rsid w:val="00470839"/>
    <w:rsid w:val="00473687"/>
    <w:rsid w:val="00474A85"/>
    <w:rsid w:val="00476DD0"/>
    <w:rsid w:val="00496A0C"/>
    <w:rsid w:val="00496C10"/>
    <w:rsid w:val="004A1320"/>
    <w:rsid w:val="004A15B9"/>
    <w:rsid w:val="004B00C1"/>
    <w:rsid w:val="004B6544"/>
    <w:rsid w:val="004C236A"/>
    <w:rsid w:val="004D2770"/>
    <w:rsid w:val="004D4798"/>
    <w:rsid w:val="004E417E"/>
    <w:rsid w:val="004E735D"/>
    <w:rsid w:val="004F4643"/>
    <w:rsid w:val="004F58F9"/>
    <w:rsid w:val="00502179"/>
    <w:rsid w:val="00506BA2"/>
    <w:rsid w:val="005120F1"/>
    <w:rsid w:val="005132BA"/>
    <w:rsid w:val="00527E89"/>
    <w:rsid w:val="0053168F"/>
    <w:rsid w:val="00535A90"/>
    <w:rsid w:val="005370DF"/>
    <w:rsid w:val="00543C83"/>
    <w:rsid w:val="00552DB5"/>
    <w:rsid w:val="005738BA"/>
    <w:rsid w:val="00573A5B"/>
    <w:rsid w:val="00581B54"/>
    <w:rsid w:val="0059555F"/>
    <w:rsid w:val="005A441E"/>
    <w:rsid w:val="005B10C6"/>
    <w:rsid w:val="005C00C7"/>
    <w:rsid w:val="005C582D"/>
    <w:rsid w:val="005C59F8"/>
    <w:rsid w:val="005F3FD1"/>
    <w:rsid w:val="005F6458"/>
    <w:rsid w:val="006000F2"/>
    <w:rsid w:val="00612C49"/>
    <w:rsid w:val="00614086"/>
    <w:rsid w:val="00616951"/>
    <w:rsid w:val="00626F21"/>
    <w:rsid w:val="00631DFC"/>
    <w:rsid w:val="00637AED"/>
    <w:rsid w:val="00640434"/>
    <w:rsid w:val="00641944"/>
    <w:rsid w:val="00641D38"/>
    <w:rsid w:val="006474DC"/>
    <w:rsid w:val="0065019F"/>
    <w:rsid w:val="00651E07"/>
    <w:rsid w:val="00661D53"/>
    <w:rsid w:val="00666FB4"/>
    <w:rsid w:val="00670ABE"/>
    <w:rsid w:val="006B20B9"/>
    <w:rsid w:val="006B58BC"/>
    <w:rsid w:val="006C00FF"/>
    <w:rsid w:val="006C1106"/>
    <w:rsid w:val="006C5616"/>
    <w:rsid w:val="006D0092"/>
    <w:rsid w:val="006D2ABF"/>
    <w:rsid w:val="006F1867"/>
    <w:rsid w:val="006F2FCA"/>
    <w:rsid w:val="006F3A0B"/>
    <w:rsid w:val="00701873"/>
    <w:rsid w:val="007036D3"/>
    <w:rsid w:val="00712D5D"/>
    <w:rsid w:val="007165E7"/>
    <w:rsid w:val="0072303E"/>
    <w:rsid w:val="00725A0D"/>
    <w:rsid w:val="0072690E"/>
    <w:rsid w:val="00726F03"/>
    <w:rsid w:val="00737E1A"/>
    <w:rsid w:val="007418CF"/>
    <w:rsid w:val="00746A49"/>
    <w:rsid w:val="00747ED5"/>
    <w:rsid w:val="00760885"/>
    <w:rsid w:val="0076506A"/>
    <w:rsid w:val="00766AAC"/>
    <w:rsid w:val="00772360"/>
    <w:rsid w:val="00774220"/>
    <w:rsid w:val="00780454"/>
    <w:rsid w:val="00783BA9"/>
    <w:rsid w:val="00787D6D"/>
    <w:rsid w:val="00794FE5"/>
    <w:rsid w:val="007A2D19"/>
    <w:rsid w:val="007B121F"/>
    <w:rsid w:val="007B19A9"/>
    <w:rsid w:val="007C61EF"/>
    <w:rsid w:val="007D1075"/>
    <w:rsid w:val="007D3696"/>
    <w:rsid w:val="007D5A52"/>
    <w:rsid w:val="007E0A62"/>
    <w:rsid w:val="007E4C23"/>
    <w:rsid w:val="007E70E6"/>
    <w:rsid w:val="008012F6"/>
    <w:rsid w:val="00802093"/>
    <w:rsid w:val="008026A3"/>
    <w:rsid w:val="00804E00"/>
    <w:rsid w:val="00814DC2"/>
    <w:rsid w:val="00832E58"/>
    <w:rsid w:val="008442F8"/>
    <w:rsid w:val="0084657B"/>
    <w:rsid w:val="00847546"/>
    <w:rsid w:val="0085062D"/>
    <w:rsid w:val="008675B7"/>
    <w:rsid w:val="0086765D"/>
    <w:rsid w:val="00891C59"/>
    <w:rsid w:val="00894C8D"/>
    <w:rsid w:val="008A2A06"/>
    <w:rsid w:val="008B1050"/>
    <w:rsid w:val="008B7958"/>
    <w:rsid w:val="008C4967"/>
    <w:rsid w:val="008C722C"/>
    <w:rsid w:val="008C76B9"/>
    <w:rsid w:val="008D13F0"/>
    <w:rsid w:val="008E13C8"/>
    <w:rsid w:val="008E5DF8"/>
    <w:rsid w:val="008E5EF4"/>
    <w:rsid w:val="008F1BF0"/>
    <w:rsid w:val="00914FE0"/>
    <w:rsid w:val="00917A80"/>
    <w:rsid w:val="00922658"/>
    <w:rsid w:val="00931744"/>
    <w:rsid w:val="00934037"/>
    <w:rsid w:val="0093791E"/>
    <w:rsid w:val="00941DB8"/>
    <w:rsid w:val="009436A5"/>
    <w:rsid w:val="0094517E"/>
    <w:rsid w:val="0096578F"/>
    <w:rsid w:val="009667B5"/>
    <w:rsid w:val="00973660"/>
    <w:rsid w:val="009737FF"/>
    <w:rsid w:val="009863FF"/>
    <w:rsid w:val="009A41F5"/>
    <w:rsid w:val="009B1A6C"/>
    <w:rsid w:val="009C2480"/>
    <w:rsid w:val="009C45E7"/>
    <w:rsid w:val="009C511F"/>
    <w:rsid w:val="009C53F2"/>
    <w:rsid w:val="009D7ABA"/>
    <w:rsid w:val="009F1930"/>
    <w:rsid w:val="009F2EA7"/>
    <w:rsid w:val="009F6F8F"/>
    <w:rsid w:val="00A01216"/>
    <w:rsid w:val="00A063D0"/>
    <w:rsid w:val="00A17186"/>
    <w:rsid w:val="00A17AA3"/>
    <w:rsid w:val="00A24BC3"/>
    <w:rsid w:val="00A40C97"/>
    <w:rsid w:val="00A53332"/>
    <w:rsid w:val="00A57BC5"/>
    <w:rsid w:val="00A63131"/>
    <w:rsid w:val="00A7751E"/>
    <w:rsid w:val="00A86A4D"/>
    <w:rsid w:val="00A92490"/>
    <w:rsid w:val="00A93601"/>
    <w:rsid w:val="00A97A55"/>
    <w:rsid w:val="00AB083D"/>
    <w:rsid w:val="00AB1ECB"/>
    <w:rsid w:val="00AC199D"/>
    <w:rsid w:val="00AC2F32"/>
    <w:rsid w:val="00AE1B09"/>
    <w:rsid w:val="00AE7C3C"/>
    <w:rsid w:val="00AE7D63"/>
    <w:rsid w:val="00AF1E42"/>
    <w:rsid w:val="00B0208E"/>
    <w:rsid w:val="00B10BA1"/>
    <w:rsid w:val="00B20FAB"/>
    <w:rsid w:val="00B271DF"/>
    <w:rsid w:val="00B33C45"/>
    <w:rsid w:val="00B348B4"/>
    <w:rsid w:val="00B540FE"/>
    <w:rsid w:val="00B767B6"/>
    <w:rsid w:val="00B818D0"/>
    <w:rsid w:val="00BA6957"/>
    <w:rsid w:val="00BB23DA"/>
    <w:rsid w:val="00BB3ECA"/>
    <w:rsid w:val="00BB702D"/>
    <w:rsid w:val="00BE09EB"/>
    <w:rsid w:val="00BE21C1"/>
    <w:rsid w:val="00BE432C"/>
    <w:rsid w:val="00BF0F52"/>
    <w:rsid w:val="00BF152E"/>
    <w:rsid w:val="00BF51F5"/>
    <w:rsid w:val="00C04D9F"/>
    <w:rsid w:val="00C131DC"/>
    <w:rsid w:val="00C15B86"/>
    <w:rsid w:val="00C450FD"/>
    <w:rsid w:val="00C456E2"/>
    <w:rsid w:val="00C52F1A"/>
    <w:rsid w:val="00C61A73"/>
    <w:rsid w:val="00C764DC"/>
    <w:rsid w:val="00C87477"/>
    <w:rsid w:val="00C87DB5"/>
    <w:rsid w:val="00C939D5"/>
    <w:rsid w:val="00C958B0"/>
    <w:rsid w:val="00CA0691"/>
    <w:rsid w:val="00CA443B"/>
    <w:rsid w:val="00CA5FF8"/>
    <w:rsid w:val="00CB5E53"/>
    <w:rsid w:val="00CC6D2E"/>
    <w:rsid w:val="00CC7790"/>
    <w:rsid w:val="00CD4B1C"/>
    <w:rsid w:val="00D04F51"/>
    <w:rsid w:val="00D106BE"/>
    <w:rsid w:val="00D26301"/>
    <w:rsid w:val="00D454A2"/>
    <w:rsid w:val="00D470CB"/>
    <w:rsid w:val="00D53CD3"/>
    <w:rsid w:val="00D67CA1"/>
    <w:rsid w:val="00D750A2"/>
    <w:rsid w:val="00D75E93"/>
    <w:rsid w:val="00D8384A"/>
    <w:rsid w:val="00D85D68"/>
    <w:rsid w:val="00DB24AA"/>
    <w:rsid w:val="00DB3282"/>
    <w:rsid w:val="00DB7DFB"/>
    <w:rsid w:val="00DC187D"/>
    <w:rsid w:val="00DC4CF0"/>
    <w:rsid w:val="00DD2EBA"/>
    <w:rsid w:val="00DF1E2D"/>
    <w:rsid w:val="00E20C36"/>
    <w:rsid w:val="00E222C7"/>
    <w:rsid w:val="00E239D4"/>
    <w:rsid w:val="00E26704"/>
    <w:rsid w:val="00E3037A"/>
    <w:rsid w:val="00E317B9"/>
    <w:rsid w:val="00E424EC"/>
    <w:rsid w:val="00E43104"/>
    <w:rsid w:val="00E528D5"/>
    <w:rsid w:val="00E65D19"/>
    <w:rsid w:val="00E717B0"/>
    <w:rsid w:val="00E725A2"/>
    <w:rsid w:val="00E807C7"/>
    <w:rsid w:val="00E81FBA"/>
    <w:rsid w:val="00E857DA"/>
    <w:rsid w:val="00E87EED"/>
    <w:rsid w:val="00E92C5C"/>
    <w:rsid w:val="00E97EB3"/>
    <w:rsid w:val="00EA5253"/>
    <w:rsid w:val="00EA7DAD"/>
    <w:rsid w:val="00EC2653"/>
    <w:rsid w:val="00EC547B"/>
    <w:rsid w:val="00ED6953"/>
    <w:rsid w:val="00EE0ABB"/>
    <w:rsid w:val="00EE2617"/>
    <w:rsid w:val="00EE7023"/>
    <w:rsid w:val="00EF2433"/>
    <w:rsid w:val="00F02945"/>
    <w:rsid w:val="00F155D4"/>
    <w:rsid w:val="00F15BFD"/>
    <w:rsid w:val="00F17A3C"/>
    <w:rsid w:val="00F20E33"/>
    <w:rsid w:val="00F210AC"/>
    <w:rsid w:val="00F24C1D"/>
    <w:rsid w:val="00F430DE"/>
    <w:rsid w:val="00F46893"/>
    <w:rsid w:val="00F5210A"/>
    <w:rsid w:val="00F5369F"/>
    <w:rsid w:val="00F53897"/>
    <w:rsid w:val="00F53C77"/>
    <w:rsid w:val="00F6179F"/>
    <w:rsid w:val="00F61FDD"/>
    <w:rsid w:val="00F74C41"/>
    <w:rsid w:val="00F82092"/>
    <w:rsid w:val="00F83016"/>
    <w:rsid w:val="00F96579"/>
    <w:rsid w:val="00FB5F1F"/>
    <w:rsid w:val="00FC720A"/>
    <w:rsid w:val="00FD0F7D"/>
    <w:rsid w:val="00FD4CB5"/>
    <w:rsid w:val="00FD4F2C"/>
    <w:rsid w:val="00FE2413"/>
    <w:rsid w:val="00FE676C"/>
    <w:rsid w:val="00FF318B"/>
    <w:rsid w:val="00FF3E96"/>
    <w:rsid w:val="00FF60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BD383"/>
  <w15:chartTrackingRefBased/>
  <w15:docId w15:val="{BDF42A85-6564-4080-A6AF-73C20F0A2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1D31FB"/>
    <w:pPr>
      <w:widowControl w:val="0"/>
      <w:autoSpaceDE w:val="0"/>
      <w:autoSpaceDN w:val="0"/>
      <w:spacing w:after="0" w:line="240" w:lineRule="auto"/>
    </w:pPr>
    <w:rPr>
      <w:rFonts w:ascii="Times New Roman" w:eastAsia="Times New Roman" w:hAnsi="Times New Roman" w:cs="Times New Roman"/>
      <w:lang w:val="uk-UA"/>
    </w:rPr>
  </w:style>
  <w:style w:type="paragraph" w:styleId="1">
    <w:name w:val="heading 1"/>
    <w:basedOn w:val="a"/>
    <w:link w:val="10"/>
    <w:uiPriority w:val="1"/>
    <w:qFormat/>
    <w:rsid w:val="00D454A2"/>
    <w:pPr>
      <w:ind w:left="1501"/>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D454A2"/>
    <w:rPr>
      <w:rFonts w:ascii="Times New Roman" w:eastAsia="Times New Roman" w:hAnsi="Times New Roman" w:cs="Times New Roman"/>
      <w:b/>
      <w:bCs/>
      <w:sz w:val="28"/>
      <w:szCs w:val="28"/>
      <w:lang w:val="uk-UA"/>
    </w:rPr>
  </w:style>
  <w:style w:type="paragraph" w:styleId="a3">
    <w:name w:val="Body Text"/>
    <w:basedOn w:val="a"/>
    <w:link w:val="a4"/>
    <w:uiPriority w:val="1"/>
    <w:qFormat/>
    <w:rsid w:val="00D454A2"/>
    <w:rPr>
      <w:sz w:val="28"/>
      <w:szCs w:val="28"/>
    </w:rPr>
  </w:style>
  <w:style w:type="character" w:customStyle="1" w:styleId="a4">
    <w:name w:val="Основний текст Знак"/>
    <w:basedOn w:val="a0"/>
    <w:link w:val="a3"/>
    <w:uiPriority w:val="1"/>
    <w:rsid w:val="00D454A2"/>
    <w:rPr>
      <w:rFonts w:ascii="Times New Roman" w:eastAsia="Times New Roman" w:hAnsi="Times New Roman" w:cs="Times New Roman"/>
      <w:sz w:val="28"/>
      <w:szCs w:val="28"/>
      <w:lang w:val="uk-UA"/>
    </w:rPr>
  </w:style>
  <w:style w:type="character" w:customStyle="1" w:styleId="rvts23">
    <w:name w:val="rvts23"/>
    <w:basedOn w:val="a0"/>
    <w:rsid w:val="00D454A2"/>
  </w:style>
  <w:style w:type="paragraph" w:styleId="a5">
    <w:name w:val="header"/>
    <w:basedOn w:val="a"/>
    <w:link w:val="a6"/>
    <w:uiPriority w:val="99"/>
    <w:unhideWhenUsed/>
    <w:rsid w:val="00D454A2"/>
    <w:pPr>
      <w:tabs>
        <w:tab w:val="center" w:pos="4677"/>
        <w:tab w:val="right" w:pos="9355"/>
      </w:tabs>
    </w:pPr>
  </w:style>
  <w:style w:type="character" w:customStyle="1" w:styleId="a6">
    <w:name w:val="Верхній колонтитул Знак"/>
    <w:basedOn w:val="a0"/>
    <w:link w:val="a5"/>
    <w:uiPriority w:val="99"/>
    <w:rsid w:val="00D454A2"/>
    <w:rPr>
      <w:rFonts w:ascii="Times New Roman" w:eastAsia="Times New Roman" w:hAnsi="Times New Roman" w:cs="Times New Roman"/>
      <w:lang w:val="uk-UA"/>
    </w:rPr>
  </w:style>
  <w:style w:type="paragraph" w:styleId="a7">
    <w:name w:val="footer"/>
    <w:basedOn w:val="a"/>
    <w:link w:val="a8"/>
    <w:uiPriority w:val="99"/>
    <w:unhideWhenUsed/>
    <w:rsid w:val="00D454A2"/>
    <w:pPr>
      <w:tabs>
        <w:tab w:val="center" w:pos="4677"/>
        <w:tab w:val="right" w:pos="9355"/>
      </w:tabs>
    </w:pPr>
  </w:style>
  <w:style w:type="character" w:customStyle="1" w:styleId="a8">
    <w:name w:val="Нижній колонтитул Знак"/>
    <w:basedOn w:val="a0"/>
    <w:link w:val="a7"/>
    <w:uiPriority w:val="99"/>
    <w:rsid w:val="00D454A2"/>
    <w:rPr>
      <w:rFonts w:ascii="Times New Roman" w:eastAsia="Times New Roman" w:hAnsi="Times New Roman" w:cs="Times New Roman"/>
      <w:lang w:val="uk-UA"/>
    </w:rPr>
  </w:style>
  <w:style w:type="table" w:customStyle="1" w:styleId="TableNormal">
    <w:name w:val="Table Normal"/>
    <w:uiPriority w:val="2"/>
    <w:semiHidden/>
    <w:unhideWhenUsed/>
    <w:qFormat/>
    <w:rsid w:val="00D454A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9">
    <w:name w:val="List Paragraph"/>
    <w:basedOn w:val="a"/>
    <w:uiPriority w:val="1"/>
    <w:qFormat/>
    <w:rsid w:val="00D454A2"/>
    <w:pPr>
      <w:ind w:left="1133" w:hanging="360"/>
    </w:pPr>
  </w:style>
  <w:style w:type="paragraph" w:customStyle="1" w:styleId="TableParagraph">
    <w:name w:val="Table Paragraph"/>
    <w:basedOn w:val="a"/>
    <w:uiPriority w:val="1"/>
    <w:qFormat/>
    <w:rsid w:val="00D454A2"/>
    <w:pPr>
      <w:ind w:left="122"/>
    </w:pPr>
  </w:style>
  <w:style w:type="paragraph" w:styleId="aa">
    <w:name w:val="Balloon Text"/>
    <w:basedOn w:val="a"/>
    <w:link w:val="ab"/>
    <w:uiPriority w:val="99"/>
    <w:semiHidden/>
    <w:unhideWhenUsed/>
    <w:rsid w:val="00C04D9F"/>
    <w:rPr>
      <w:rFonts w:ascii="Segoe UI" w:hAnsi="Segoe UI" w:cs="Segoe UI"/>
      <w:sz w:val="18"/>
      <w:szCs w:val="18"/>
    </w:rPr>
  </w:style>
  <w:style w:type="character" w:customStyle="1" w:styleId="ab">
    <w:name w:val="Текст у виносці Знак"/>
    <w:basedOn w:val="a0"/>
    <w:link w:val="aa"/>
    <w:uiPriority w:val="99"/>
    <w:semiHidden/>
    <w:rsid w:val="00C04D9F"/>
    <w:rPr>
      <w:rFonts w:ascii="Segoe UI" w:eastAsia="Times New Roman" w:hAnsi="Segoe UI" w:cs="Segoe UI"/>
      <w:sz w:val="18"/>
      <w:szCs w:val="18"/>
      <w:lang w:val="uk-UA"/>
    </w:rPr>
  </w:style>
  <w:style w:type="character" w:styleId="ac">
    <w:name w:val="Hyperlink"/>
    <w:basedOn w:val="a0"/>
    <w:uiPriority w:val="99"/>
    <w:unhideWhenUsed/>
    <w:rsid w:val="004F58F9"/>
    <w:rPr>
      <w:color w:val="0563C1" w:themeColor="hyperlink"/>
      <w:u w:val="single"/>
    </w:rPr>
  </w:style>
  <w:style w:type="character" w:customStyle="1" w:styleId="11">
    <w:name w:val="Незакрита згадка1"/>
    <w:basedOn w:val="a0"/>
    <w:uiPriority w:val="99"/>
    <w:semiHidden/>
    <w:unhideWhenUsed/>
    <w:rsid w:val="004F58F9"/>
    <w:rPr>
      <w:color w:val="605E5C"/>
      <w:shd w:val="clear" w:color="auto" w:fill="E1DFDD"/>
    </w:rPr>
  </w:style>
  <w:style w:type="paragraph" w:styleId="ad">
    <w:name w:val="Revision"/>
    <w:hidden/>
    <w:uiPriority w:val="99"/>
    <w:semiHidden/>
    <w:rsid w:val="002C2FC9"/>
    <w:pPr>
      <w:spacing w:after="0" w:line="240" w:lineRule="auto"/>
    </w:pPr>
    <w:rPr>
      <w:rFonts w:ascii="Times New Roman" w:eastAsia="Times New Roman" w:hAnsi="Times New Roman"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8638463">
      <w:bodyDiv w:val="1"/>
      <w:marLeft w:val="0"/>
      <w:marRight w:val="0"/>
      <w:marTop w:val="0"/>
      <w:marBottom w:val="0"/>
      <w:divBdr>
        <w:top w:val="none" w:sz="0" w:space="0" w:color="auto"/>
        <w:left w:val="none" w:sz="0" w:space="0" w:color="auto"/>
        <w:bottom w:val="none" w:sz="0" w:space="0" w:color="auto"/>
        <w:right w:val="none" w:sz="0" w:space="0" w:color="auto"/>
      </w:divBdr>
    </w:div>
    <w:div w:id="1174733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rc.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03C916-3BCC-4236-852F-54D0345F0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7018</Words>
  <Characters>4001</Characters>
  <Application>Microsoft Office Word</Application>
  <DocSecurity>0</DocSecurity>
  <Lines>33</Lines>
  <Paragraphs>21</Paragraphs>
  <ScaleCrop>false</ScaleCrop>
  <HeadingPairs>
    <vt:vector size="2" baseType="variant">
      <vt:variant>
        <vt:lpstr>Назва</vt:lpstr>
      </vt:variant>
      <vt:variant>
        <vt:i4>1</vt:i4>
      </vt:variant>
    </vt:vector>
  </HeadingPairs>
  <TitlesOfParts>
    <vt:vector size="1" baseType="lpstr">
      <vt:lpstr/>
    </vt:vector>
  </TitlesOfParts>
  <Company>NCRE</Company>
  <LinksUpToDate>false</LinksUpToDate>
  <CharactersWithSpaces>10998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Мілова</dc:creator>
  <cp:keywords/>
  <dc:description/>
  <cp:lastModifiedBy>Григорій Туленко</cp:lastModifiedBy>
  <cp:revision>2</cp:revision>
  <cp:lastPrinted>2022-02-09T13:25:00Z</cp:lastPrinted>
  <dcterms:created xsi:type="dcterms:W3CDTF">2024-12-18T08:56:00Z</dcterms:created>
  <dcterms:modified xsi:type="dcterms:W3CDTF">2024-12-18T08:56:00Z</dcterms:modified>
</cp:coreProperties>
</file>