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4ACA" w:rsidRPr="00A166DD" w:rsidRDefault="00444ACA" w:rsidP="00444ACA">
      <w:pPr>
        <w:tabs>
          <w:tab w:val="left" w:pos="7693"/>
        </w:tabs>
        <w:suppressAutoHyphens/>
        <w:ind w:left="5103"/>
        <w:rPr>
          <w:szCs w:val="22"/>
          <w:lang w:val="ru-RU"/>
        </w:rPr>
      </w:pPr>
      <w:r w:rsidRPr="00A166DD">
        <w:rPr>
          <w:szCs w:val="22"/>
        </w:rPr>
        <w:t xml:space="preserve">Додаток </w:t>
      </w:r>
      <w:r>
        <w:rPr>
          <w:szCs w:val="22"/>
        </w:rPr>
        <w:t>17</w:t>
      </w:r>
      <w:r w:rsidRPr="00A166DD">
        <w:rPr>
          <w:szCs w:val="22"/>
        </w:rPr>
        <w:t xml:space="preserve"> </w:t>
      </w:r>
    </w:p>
    <w:p w:rsidR="00444ACA" w:rsidRPr="00A166DD" w:rsidRDefault="00444ACA" w:rsidP="00444ACA">
      <w:pPr>
        <w:tabs>
          <w:tab w:val="left" w:pos="1560"/>
        </w:tabs>
        <w:suppressAutoHyphens/>
        <w:ind w:left="5103"/>
        <w:rPr>
          <w:szCs w:val="22"/>
          <w:lang w:val="ru-RU"/>
        </w:rPr>
      </w:pPr>
      <w:r w:rsidRPr="00A166DD">
        <w:rPr>
          <w:szCs w:val="22"/>
        </w:rPr>
        <w:t>до Порядку (правил) організації та ведення обліку за ліцензованими видами діяльності суб'єктами господарювання у сфері теплопостачання</w:t>
      </w:r>
    </w:p>
    <w:p w:rsidR="00456A4D" w:rsidRPr="00E87111" w:rsidRDefault="00456A4D" w:rsidP="00456A4D">
      <w:pPr>
        <w:keepNext/>
        <w:suppressAutoHyphens/>
        <w:spacing w:after="120"/>
        <w:rPr>
          <w:b/>
          <w:sz w:val="22"/>
          <w:szCs w:val="22"/>
          <w:lang w:val="ru-RU"/>
        </w:rPr>
      </w:pPr>
    </w:p>
    <w:p w:rsidR="00456A4D" w:rsidRPr="00E87111" w:rsidRDefault="00456A4D" w:rsidP="00456A4D">
      <w:pPr>
        <w:keepNext/>
        <w:spacing w:after="120"/>
        <w:jc w:val="center"/>
        <w:rPr>
          <w:b/>
          <w:sz w:val="22"/>
          <w:szCs w:val="22"/>
        </w:rPr>
      </w:pPr>
      <w:r w:rsidRPr="00E87111">
        <w:rPr>
          <w:b/>
          <w:sz w:val="22"/>
          <w:szCs w:val="22"/>
        </w:rPr>
        <w:t>Примірний перелік прямих витрат на постачання теплової енергії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8"/>
        <w:gridCol w:w="6583"/>
      </w:tblGrid>
      <w:tr w:rsidR="00456A4D" w:rsidRPr="00E87111" w:rsidTr="005D1DCE">
        <w:trPr>
          <w:trHeight w:val="448"/>
        </w:trPr>
        <w:tc>
          <w:tcPr>
            <w:tcW w:w="1561" w:type="pct"/>
            <w:shd w:val="clear" w:color="auto" w:fill="auto"/>
          </w:tcPr>
          <w:p w:rsidR="00456A4D" w:rsidRPr="00E87111" w:rsidRDefault="00456A4D" w:rsidP="005D1DCE">
            <w:pPr>
              <w:widowControl w:val="0"/>
              <w:spacing w:after="120"/>
              <w:rPr>
                <w:b/>
                <w:sz w:val="21"/>
                <w:szCs w:val="21"/>
              </w:rPr>
            </w:pPr>
            <w:r w:rsidRPr="00E87111">
              <w:rPr>
                <w:b/>
                <w:sz w:val="21"/>
                <w:szCs w:val="21"/>
              </w:rPr>
              <w:t xml:space="preserve">Статті витрат </w:t>
            </w:r>
          </w:p>
        </w:tc>
        <w:tc>
          <w:tcPr>
            <w:tcW w:w="3439" w:type="pct"/>
            <w:shd w:val="clear" w:color="auto" w:fill="auto"/>
          </w:tcPr>
          <w:p w:rsidR="00456A4D" w:rsidRPr="00E87111" w:rsidRDefault="00456A4D" w:rsidP="005D1DCE">
            <w:pPr>
              <w:widowControl w:val="0"/>
              <w:spacing w:after="120"/>
              <w:rPr>
                <w:b/>
                <w:sz w:val="21"/>
                <w:szCs w:val="21"/>
              </w:rPr>
            </w:pPr>
            <w:r w:rsidRPr="00E87111">
              <w:rPr>
                <w:b/>
                <w:sz w:val="21"/>
                <w:szCs w:val="21"/>
              </w:rPr>
              <w:t xml:space="preserve">Зміст (склад) статей витрат </w:t>
            </w:r>
          </w:p>
        </w:tc>
      </w:tr>
      <w:tr w:rsidR="00456A4D" w:rsidRPr="00E87111" w:rsidTr="005D1DCE">
        <w:trPr>
          <w:trHeight w:val="412"/>
        </w:trPr>
        <w:tc>
          <w:tcPr>
            <w:tcW w:w="5000" w:type="pct"/>
            <w:gridSpan w:val="2"/>
            <w:tcBorders>
              <w:bottom w:val="single" w:sz="4" w:space="0" w:color="auto"/>
            </w:tcBorders>
            <w:shd w:val="clear" w:color="auto" w:fill="auto"/>
          </w:tcPr>
          <w:p w:rsidR="00456A4D" w:rsidRPr="00E87111" w:rsidRDefault="00456A4D" w:rsidP="005D1DCE">
            <w:pPr>
              <w:widowControl w:val="0"/>
              <w:spacing w:after="120"/>
              <w:jc w:val="center"/>
              <w:rPr>
                <w:sz w:val="21"/>
                <w:szCs w:val="21"/>
              </w:rPr>
            </w:pPr>
            <w:r w:rsidRPr="00E87111">
              <w:rPr>
                <w:b/>
                <w:sz w:val="21"/>
                <w:szCs w:val="21"/>
              </w:rPr>
              <w:t>Прямі матеріальні витрати</w:t>
            </w:r>
          </w:p>
        </w:tc>
      </w:tr>
      <w:tr w:rsidR="00456A4D" w:rsidRPr="00E87111" w:rsidTr="005D1DCE">
        <w:trPr>
          <w:trHeight w:val="1838"/>
        </w:trPr>
        <w:tc>
          <w:tcPr>
            <w:tcW w:w="1561" w:type="pct"/>
            <w:shd w:val="clear" w:color="auto" w:fill="auto"/>
          </w:tcPr>
          <w:p w:rsidR="00456A4D" w:rsidRPr="00E87111" w:rsidRDefault="00456A4D" w:rsidP="005D1DCE">
            <w:pPr>
              <w:widowControl w:val="0"/>
              <w:spacing w:after="120"/>
              <w:rPr>
                <w:sz w:val="21"/>
                <w:szCs w:val="21"/>
              </w:rPr>
            </w:pPr>
            <w:r w:rsidRPr="00E87111">
              <w:rPr>
                <w:sz w:val="21"/>
                <w:szCs w:val="21"/>
              </w:rPr>
              <w:t>Електроенергія для технологічних потреб</w:t>
            </w:r>
          </w:p>
        </w:tc>
        <w:tc>
          <w:tcPr>
            <w:tcW w:w="3439" w:type="pct"/>
            <w:shd w:val="clear" w:color="auto" w:fill="auto"/>
          </w:tcPr>
          <w:p w:rsidR="00456A4D" w:rsidRPr="00E87111" w:rsidRDefault="00456A4D" w:rsidP="00E04ADE">
            <w:pPr>
              <w:widowControl w:val="0"/>
              <w:spacing w:after="120"/>
              <w:jc w:val="both"/>
              <w:rPr>
                <w:sz w:val="21"/>
                <w:szCs w:val="21"/>
              </w:rPr>
            </w:pPr>
            <w:r w:rsidRPr="00E87111">
              <w:rPr>
                <w:sz w:val="21"/>
                <w:szCs w:val="21"/>
              </w:rPr>
              <w:t>Витрати на електроенергію, у тому числі реактивну, використану на основні і допоміжні технологічні процеси постачання теплової енергії, а також технологічно неминучі втрати</w:t>
            </w:r>
            <w:r w:rsidR="00A72ADA">
              <w:rPr>
                <w:sz w:val="21"/>
                <w:szCs w:val="21"/>
              </w:rPr>
              <w:t xml:space="preserve"> (</w:t>
            </w:r>
            <w:r w:rsidRPr="00E87111">
              <w:rPr>
                <w:sz w:val="21"/>
                <w:szCs w:val="21"/>
                <w:lang w:eastAsia="ru-RU"/>
              </w:rPr>
              <w:t>вентиляція, кондиціонування, внутрішнє та зовнішнє освітлення, елек</w:t>
            </w:r>
            <w:r w:rsidR="00DE1B36">
              <w:rPr>
                <w:sz w:val="21"/>
                <w:szCs w:val="21"/>
                <w:lang w:eastAsia="ru-RU"/>
              </w:rPr>
              <w:t>т</w:t>
            </w:r>
            <w:r w:rsidRPr="00E87111">
              <w:rPr>
                <w:sz w:val="21"/>
                <w:szCs w:val="21"/>
                <w:lang w:eastAsia="ru-RU"/>
              </w:rPr>
              <w:t xml:space="preserve">роопалення приміщень </w:t>
            </w:r>
            <w:r w:rsidR="00E04ADE" w:rsidRPr="00E87111">
              <w:rPr>
                <w:sz w:val="21"/>
                <w:szCs w:val="21"/>
                <w:lang w:eastAsia="ru-RU"/>
              </w:rPr>
              <w:t>відділу постачання</w:t>
            </w:r>
            <w:r w:rsidRPr="00E87111">
              <w:rPr>
                <w:sz w:val="21"/>
                <w:szCs w:val="21"/>
                <w:lang w:eastAsia="ru-RU"/>
              </w:rPr>
              <w:t xml:space="preserve"> теплової енергії; підігрів води для господарсько-побутових потреб приміщень і персоналу, безпосередньо залученого до постачання тепло</w:t>
            </w:r>
            <w:r w:rsidR="00E04ADE" w:rsidRPr="00E87111">
              <w:rPr>
                <w:sz w:val="21"/>
                <w:szCs w:val="21"/>
                <w:lang w:eastAsia="ru-RU"/>
              </w:rPr>
              <w:t>вої енергії, робота оргтехніки</w:t>
            </w:r>
            <w:r w:rsidR="00A72ADA">
              <w:rPr>
                <w:sz w:val="21"/>
                <w:szCs w:val="21"/>
                <w:lang w:eastAsia="ru-RU"/>
              </w:rPr>
              <w:t>)</w:t>
            </w:r>
          </w:p>
        </w:tc>
      </w:tr>
      <w:tr w:rsidR="00456A4D" w:rsidRPr="00E87111" w:rsidTr="005D1DCE">
        <w:trPr>
          <w:trHeight w:val="556"/>
        </w:trPr>
        <w:tc>
          <w:tcPr>
            <w:tcW w:w="1561" w:type="pct"/>
            <w:shd w:val="clear" w:color="auto" w:fill="auto"/>
          </w:tcPr>
          <w:p w:rsidR="00456A4D" w:rsidRPr="00E87111" w:rsidRDefault="00456A4D" w:rsidP="005D1DCE">
            <w:pPr>
              <w:widowControl w:val="0"/>
              <w:spacing w:after="120"/>
              <w:rPr>
                <w:sz w:val="21"/>
                <w:szCs w:val="21"/>
              </w:rPr>
            </w:pPr>
            <w:r w:rsidRPr="00E87111">
              <w:rPr>
                <w:sz w:val="21"/>
                <w:szCs w:val="21"/>
              </w:rPr>
              <w:t>Холодна вода для технологічних потреб та водовідведення</w:t>
            </w:r>
          </w:p>
        </w:tc>
        <w:tc>
          <w:tcPr>
            <w:tcW w:w="3439" w:type="pct"/>
            <w:shd w:val="clear" w:color="auto" w:fill="auto"/>
          </w:tcPr>
          <w:p w:rsidR="00456A4D" w:rsidRPr="00E87111" w:rsidRDefault="00456A4D" w:rsidP="005967E6">
            <w:pPr>
              <w:widowControl w:val="0"/>
              <w:spacing w:after="120"/>
              <w:jc w:val="both"/>
              <w:rPr>
                <w:sz w:val="21"/>
                <w:szCs w:val="21"/>
              </w:rPr>
            </w:pPr>
            <w:r w:rsidRPr="00E87111">
              <w:rPr>
                <w:sz w:val="21"/>
                <w:szCs w:val="21"/>
              </w:rPr>
              <w:t>Витрати на холодну воду та послуги водовідведення для потреб постачання теплової енергії</w:t>
            </w:r>
            <w:r w:rsidR="00A6509F" w:rsidRPr="00E87111">
              <w:rPr>
                <w:sz w:val="21"/>
                <w:szCs w:val="21"/>
                <w:lang w:eastAsia="ru-RU"/>
              </w:rPr>
              <w:t xml:space="preserve"> </w:t>
            </w:r>
            <w:r w:rsidR="00A72ADA">
              <w:rPr>
                <w:sz w:val="21"/>
                <w:szCs w:val="21"/>
                <w:lang w:eastAsia="ru-RU"/>
              </w:rPr>
              <w:t>(</w:t>
            </w:r>
            <w:r w:rsidR="005967E6" w:rsidRPr="00E87111">
              <w:rPr>
                <w:sz w:val="21"/>
                <w:szCs w:val="21"/>
                <w:lang w:eastAsia="ru-RU"/>
              </w:rPr>
              <w:t xml:space="preserve">витрати на </w:t>
            </w:r>
            <w:r w:rsidRPr="00E87111">
              <w:rPr>
                <w:sz w:val="21"/>
                <w:szCs w:val="21"/>
                <w:lang w:eastAsia="ru-RU"/>
              </w:rPr>
              <w:t>господарсько-побутов</w:t>
            </w:r>
            <w:r w:rsidR="005967E6" w:rsidRPr="00E87111">
              <w:rPr>
                <w:sz w:val="21"/>
                <w:szCs w:val="21"/>
                <w:lang w:eastAsia="ru-RU"/>
              </w:rPr>
              <w:t>і</w:t>
            </w:r>
            <w:r w:rsidRPr="00E87111">
              <w:rPr>
                <w:sz w:val="21"/>
                <w:szCs w:val="21"/>
                <w:lang w:eastAsia="ru-RU"/>
              </w:rPr>
              <w:t xml:space="preserve"> потреб</w:t>
            </w:r>
            <w:r w:rsidR="005967E6" w:rsidRPr="00E87111">
              <w:rPr>
                <w:sz w:val="21"/>
                <w:szCs w:val="21"/>
                <w:lang w:eastAsia="ru-RU"/>
              </w:rPr>
              <w:t>и</w:t>
            </w:r>
            <w:r w:rsidRPr="00E87111">
              <w:rPr>
                <w:sz w:val="21"/>
                <w:szCs w:val="21"/>
                <w:lang w:eastAsia="ru-RU"/>
              </w:rPr>
              <w:t xml:space="preserve"> (вологе прибирання приміщень, господарсько-питні потреби персоналу, безпосередньо залученого до постачання теплової енергії, потреби автотранспорту, що обслуговує проц</w:t>
            </w:r>
            <w:r w:rsidR="006D2472" w:rsidRPr="00E87111">
              <w:rPr>
                <w:sz w:val="21"/>
                <w:szCs w:val="21"/>
                <w:lang w:eastAsia="ru-RU"/>
              </w:rPr>
              <w:t>ес постачання теплової енергії)</w:t>
            </w:r>
          </w:p>
        </w:tc>
      </w:tr>
      <w:tr w:rsidR="00456A4D" w:rsidRPr="00E87111" w:rsidTr="005D1DCE">
        <w:tc>
          <w:tcPr>
            <w:tcW w:w="1561" w:type="pct"/>
            <w:shd w:val="clear" w:color="auto" w:fill="auto"/>
          </w:tcPr>
          <w:p w:rsidR="00456A4D" w:rsidRPr="00E87111" w:rsidRDefault="00456A4D" w:rsidP="005D1DCE">
            <w:pPr>
              <w:widowControl w:val="0"/>
              <w:spacing w:after="120"/>
              <w:rPr>
                <w:sz w:val="21"/>
                <w:szCs w:val="21"/>
              </w:rPr>
            </w:pPr>
            <w:r w:rsidRPr="00E87111">
              <w:rPr>
                <w:sz w:val="21"/>
                <w:szCs w:val="21"/>
              </w:rPr>
              <w:t>Інші прямі матеріальні витрати</w:t>
            </w:r>
          </w:p>
        </w:tc>
        <w:tc>
          <w:tcPr>
            <w:tcW w:w="3439" w:type="pct"/>
            <w:shd w:val="clear" w:color="auto" w:fill="auto"/>
          </w:tcPr>
          <w:p w:rsidR="00456A4D" w:rsidRPr="00E87111" w:rsidRDefault="00456A4D" w:rsidP="005D1DCE">
            <w:pPr>
              <w:widowControl w:val="0"/>
              <w:spacing w:after="120"/>
              <w:jc w:val="both"/>
              <w:rPr>
                <w:sz w:val="21"/>
                <w:szCs w:val="21"/>
              </w:rPr>
            </w:pPr>
            <w:r w:rsidRPr="00E87111">
              <w:rPr>
                <w:sz w:val="21"/>
                <w:szCs w:val="21"/>
              </w:rPr>
              <w:t>Витрати на сировину, основні і допоміжні матеріали, запасні частини, куповані комплектувальні вироби, напівфабрикати та інші матеріальні ресурси, необхідні для забезпечення технологічного процесу постачання теплової енергії. Можуть включати матеріальні витрати на охорону праці та забезпечення техніки безпеки виробничого персоналу, що безпосередньо здійснює постачання теплової енергії (спецодяг, спецвзуття, медикаменти тощо)</w:t>
            </w:r>
            <w:r w:rsidR="005967E6" w:rsidRPr="00E87111">
              <w:rPr>
                <w:sz w:val="21"/>
                <w:szCs w:val="21"/>
              </w:rPr>
              <w:t>,</w:t>
            </w:r>
            <w:r w:rsidRPr="00E87111">
              <w:rPr>
                <w:sz w:val="21"/>
                <w:szCs w:val="21"/>
              </w:rPr>
              <w:t xml:space="preserve"> та інші витрати, що безпосередньо відносяться до технологічного процесу постачання теплової енергії </w:t>
            </w:r>
          </w:p>
          <w:p w:rsidR="00456A4D" w:rsidRPr="00E87111" w:rsidRDefault="00456A4D" w:rsidP="005967E6">
            <w:pPr>
              <w:widowControl w:val="0"/>
              <w:spacing w:after="120"/>
              <w:jc w:val="both"/>
              <w:rPr>
                <w:sz w:val="21"/>
                <w:szCs w:val="21"/>
              </w:rPr>
            </w:pPr>
          </w:p>
        </w:tc>
      </w:tr>
      <w:tr w:rsidR="00456A4D" w:rsidRPr="00E87111" w:rsidTr="005D1DCE">
        <w:trPr>
          <w:trHeight w:val="457"/>
        </w:trPr>
        <w:tc>
          <w:tcPr>
            <w:tcW w:w="5000" w:type="pct"/>
            <w:gridSpan w:val="2"/>
            <w:shd w:val="clear" w:color="auto" w:fill="auto"/>
            <w:vAlign w:val="center"/>
          </w:tcPr>
          <w:p w:rsidR="00456A4D" w:rsidRPr="00E87111" w:rsidRDefault="00456A4D" w:rsidP="005D1DCE">
            <w:pPr>
              <w:widowControl w:val="0"/>
              <w:spacing w:after="120"/>
              <w:jc w:val="center"/>
              <w:rPr>
                <w:b/>
                <w:sz w:val="21"/>
                <w:szCs w:val="21"/>
              </w:rPr>
            </w:pPr>
            <w:r w:rsidRPr="00E87111">
              <w:rPr>
                <w:b/>
                <w:sz w:val="21"/>
                <w:szCs w:val="21"/>
              </w:rPr>
              <w:t>Прямі витрати на оплату праці</w:t>
            </w:r>
          </w:p>
        </w:tc>
      </w:tr>
      <w:tr w:rsidR="00456A4D" w:rsidRPr="00E87111" w:rsidTr="005D1DCE">
        <w:trPr>
          <w:trHeight w:val="573"/>
        </w:trPr>
        <w:tc>
          <w:tcPr>
            <w:tcW w:w="1561" w:type="pct"/>
            <w:shd w:val="clear" w:color="auto" w:fill="auto"/>
          </w:tcPr>
          <w:p w:rsidR="00456A4D" w:rsidRPr="00E87111" w:rsidRDefault="00456A4D" w:rsidP="005D1DCE">
            <w:pPr>
              <w:widowControl w:val="0"/>
              <w:spacing w:after="120"/>
              <w:rPr>
                <w:sz w:val="21"/>
                <w:szCs w:val="21"/>
              </w:rPr>
            </w:pPr>
            <w:r w:rsidRPr="00E87111">
              <w:rPr>
                <w:sz w:val="21"/>
                <w:szCs w:val="21"/>
              </w:rPr>
              <w:t xml:space="preserve">Витрати на оплату праці виробничого персоналу </w:t>
            </w:r>
          </w:p>
        </w:tc>
        <w:tc>
          <w:tcPr>
            <w:tcW w:w="3439" w:type="pct"/>
            <w:shd w:val="clear" w:color="auto" w:fill="auto"/>
          </w:tcPr>
          <w:p w:rsidR="00456A4D" w:rsidRPr="00E87111" w:rsidRDefault="00456A4D" w:rsidP="005D1DCE">
            <w:pPr>
              <w:widowControl w:val="0"/>
              <w:spacing w:after="120"/>
              <w:jc w:val="both"/>
              <w:rPr>
                <w:sz w:val="21"/>
                <w:szCs w:val="21"/>
              </w:rPr>
            </w:pPr>
            <w:r w:rsidRPr="00E87111">
              <w:rPr>
                <w:sz w:val="21"/>
                <w:szCs w:val="21"/>
              </w:rPr>
              <w:t xml:space="preserve">Витрати на оплату праці персоналу, безпосередньо залученого до технологічного процесу постачання теплової енергії </w:t>
            </w:r>
          </w:p>
          <w:p w:rsidR="00456A4D" w:rsidRPr="00E87111" w:rsidRDefault="00456A4D" w:rsidP="005A15F3">
            <w:pPr>
              <w:widowControl w:val="0"/>
              <w:spacing w:after="120"/>
              <w:jc w:val="both"/>
              <w:rPr>
                <w:sz w:val="21"/>
                <w:szCs w:val="21"/>
              </w:rPr>
            </w:pPr>
            <w:r w:rsidRPr="00E87111">
              <w:rPr>
                <w:sz w:val="21"/>
                <w:szCs w:val="21"/>
              </w:rPr>
              <w:t xml:space="preserve"> </w:t>
            </w:r>
          </w:p>
        </w:tc>
      </w:tr>
      <w:tr w:rsidR="00456A4D" w:rsidRPr="00E87111" w:rsidTr="005D1DCE">
        <w:trPr>
          <w:trHeight w:val="422"/>
        </w:trPr>
        <w:tc>
          <w:tcPr>
            <w:tcW w:w="5000" w:type="pct"/>
            <w:gridSpan w:val="2"/>
            <w:shd w:val="clear" w:color="auto" w:fill="auto"/>
            <w:vAlign w:val="center"/>
          </w:tcPr>
          <w:p w:rsidR="00456A4D" w:rsidRPr="00E87111" w:rsidRDefault="00456A4D" w:rsidP="005D1DCE">
            <w:pPr>
              <w:widowControl w:val="0"/>
              <w:spacing w:after="120"/>
              <w:jc w:val="center"/>
              <w:rPr>
                <w:sz w:val="21"/>
                <w:szCs w:val="21"/>
              </w:rPr>
            </w:pPr>
            <w:r w:rsidRPr="00E87111">
              <w:rPr>
                <w:b/>
                <w:sz w:val="21"/>
                <w:szCs w:val="21"/>
              </w:rPr>
              <w:t>Інші прямі витрати</w:t>
            </w:r>
          </w:p>
        </w:tc>
      </w:tr>
      <w:tr w:rsidR="00456A4D" w:rsidRPr="00E87111" w:rsidTr="005D1DCE">
        <w:trPr>
          <w:trHeight w:val="274"/>
        </w:trPr>
        <w:tc>
          <w:tcPr>
            <w:tcW w:w="1561" w:type="pct"/>
            <w:shd w:val="clear" w:color="auto" w:fill="auto"/>
          </w:tcPr>
          <w:p w:rsidR="00456A4D" w:rsidRPr="00E87111" w:rsidRDefault="000E0429" w:rsidP="005D1DCE">
            <w:pPr>
              <w:widowControl w:val="0"/>
              <w:spacing w:after="120"/>
              <w:rPr>
                <w:sz w:val="21"/>
                <w:szCs w:val="21"/>
              </w:rPr>
            </w:pPr>
            <w:r>
              <w:rPr>
                <w:sz w:val="22"/>
                <w:szCs w:val="22"/>
              </w:rPr>
              <w:t>Єдиний внесок на загальнообов'язкове державне соціальне страхування працівників</w:t>
            </w:r>
          </w:p>
        </w:tc>
        <w:tc>
          <w:tcPr>
            <w:tcW w:w="3439" w:type="pct"/>
            <w:shd w:val="clear" w:color="auto" w:fill="auto"/>
          </w:tcPr>
          <w:p w:rsidR="00456A4D" w:rsidRPr="00E87111" w:rsidRDefault="00456A4D" w:rsidP="005D1DCE">
            <w:pPr>
              <w:widowControl w:val="0"/>
              <w:spacing w:after="120"/>
              <w:jc w:val="both"/>
              <w:rPr>
                <w:sz w:val="21"/>
                <w:szCs w:val="21"/>
              </w:rPr>
            </w:pPr>
            <w:r w:rsidRPr="00E87111">
              <w:rPr>
                <w:sz w:val="21"/>
                <w:szCs w:val="21"/>
              </w:rPr>
              <w:t>Єдиний внесок на загальнообов’язкове державне соціальне страхування персоналу, безпосередньо залученого до технологічного процесу постачання теплової енергії</w:t>
            </w:r>
          </w:p>
          <w:p w:rsidR="00456A4D" w:rsidRPr="00E87111" w:rsidRDefault="00456A4D" w:rsidP="005A15F3">
            <w:pPr>
              <w:widowControl w:val="0"/>
              <w:spacing w:after="120"/>
              <w:jc w:val="both"/>
              <w:rPr>
                <w:b/>
                <w:sz w:val="21"/>
                <w:szCs w:val="21"/>
              </w:rPr>
            </w:pPr>
          </w:p>
        </w:tc>
      </w:tr>
      <w:tr w:rsidR="00456A4D" w:rsidRPr="00E87111" w:rsidTr="005D1DCE">
        <w:tc>
          <w:tcPr>
            <w:tcW w:w="1561" w:type="pct"/>
            <w:shd w:val="clear" w:color="auto" w:fill="auto"/>
          </w:tcPr>
          <w:p w:rsidR="00456A4D" w:rsidRPr="00E87111" w:rsidRDefault="00456A4D" w:rsidP="005D1DCE">
            <w:pPr>
              <w:widowControl w:val="0"/>
              <w:spacing w:after="120"/>
              <w:rPr>
                <w:sz w:val="21"/>
                <w:szCs w:val="21"/>
              </w:rPr>
            </w:pPr>
            <w:r w:rsidRPr="00E87111">
              <w:rPr>
                <w:sz w:val="21"/>
                <w:szCs w:val="21"/>
              </w:rPr>
              <w:t xml:space="preserve">Амортизація </w:t>
            </w:r>
          </w:p>
        </w:tc>
        <w:tc>
          <w:tcPr>
            <w:tcW w:w="3439" w:type="pct"/>
            <w:shd w:val="clear" w:color="auto" w:fill="auto"/>
          </w:tcPr>
          <w:p w:rsidR="000E0429" w:rsidRPr="00E87111" w:rsidRDefault="00456A4D" w:rsidP="000E0429">
            <w:pPr>
              <w:widowControl w:val="0"/>
              <w:spacing w:after="120"/>
              <w:jc w:val="both"/>
              <w:rPr>
                <w:sz w:val="21"/>
                <w:szCs w:val="21"/>
              </w:rPr>
            </w:pPr>
            <w:r w:rsidRPr="00E87111">
              <w:rPr>
                <w:sz w:val="21"/>
                <w:szCs w:val="21"/>
              </w:rPr>
              <w:t>Амортизація основних засобів, інших необоротних матеріальних і нематеріальних активів виробничого призначення, що безпосередньо забезпечують постачання теплової енергії</w:t>
            </w:r>
          </w:p>
          <w:p w:rsidR="00456A4D" w:rsidRPr="00E87111" w:rsidRDefault="00456A4D" w:rsidP="005D1DCE">
            <w:pPr>
              <w:widowControl w:val="0"/>
              <w:spacing w:after="120"/>
              <w:jc w:val="both"/>
              <w:rPr>
                <w:sz w:val="21"/>
                <w:szCs w:val="21"/>
              </w:rPr>
            </w:pPr>
          </w:p>
        </w:tc>
      </w:tr>
    </w:tbl>
    <w:p w:rsidR="005D1DCE" w:rsidRPr="00E87111" w:rsidRDefault="005D1DCE">
      <w:r w:rsidRPr="00E87111">
        <w:br w:type="page"/>
      </w:r>
    </w:p>
    <w:p w:rsidR="005D1DCE" w:rsidRPr="00E87111" w:rsidRDefault="005D1DCE" w:rsidP="005D1DCE">
      <w:pPr>
        <w:ind w:left="5664" w:firstLine="708"/>
        <w:rPr>
          <w:lang w:val="ru-RU"/>
        </w:rPr>
      </w:pPr>
      <w:r w:rsidRPr="00E87111">
        <w:lastRenderedPageBreak/>
        <w:t xml:space="preserve">      </w:t>
      </w:r>
      <w:r w:rsidRPr="00E87111">
        <w:rPr>
          <w:lang w:val="ru-RU"/>
        </w:rPr>
        <w:t>Продовження додатка 1</w:t>
      </w:r>
      <w:r w:rsidR="005F062F">
        <w:rPr>
          <w:lang w:val="ru-RU"/>
        </w:rPr>
        <w:t>7</w:t>
      </w:r>
    </w:p>
    <w:p w:rsidR="005D1DCE" w:rsidRPr="00E87111" w:rsidRDefault="005D1DCE">
      <w:pPr>
        <w:rPr>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8"/>
        <w:gridCol w:w="6583"/>
      </w:tblGrid>
      <w:tr w:rsidR="009605EF" w:rsidRPr="00E87111" w:rsidTr="009605EF">
        <w:trPr>
          <w:trHeight w:val="787"/>
        </w:trPr>
        <w:tc>
          <w:tcPr>
            <w:tcW w:w="1561" w:type="pct"/>
            <w:shd w:val="clear" w:color="auto" w:fill="auto"/>
          </w:tcPr>
          <w:p w:rsidR="009605EF" w:rsidRPr="00E87111" w:rsidRDefault="009605EF" w:rsidP="005D1DCE">
            <w:pPr>
              <w:widowControl w:val="0"/>
              <w:spacing w:after="120"/>
              <w:rPr>
                <w:sz w:val="21"/>
                <w:szCs w:val="21"/>
              </w:rPr>
            </w:pPr>
            <w:r w:rsidRPr="00E87111">
              <w:rPr>
                <w:sz w:val="21"/>
                <w:szCs w:val="21"/>
              </w:rPr>
              <w:t xml:space="preserve">Інші прямі витрати </w:t>
            </w:r>
          </w:p>
        </w:tc>
        <w:tc>
          <w:tcPr>
            <w:tcW w:w="3439" w:type="pct"/>
            <w:shd w:val="clear" w:color="auto" w:fill="auto"/>
          </w:tcPr>
          <w:p w:rsidR="009605EF" w:rsidRPr="00E87111" w:rsidRDefault="009605EF" w:rsidP="000E0429">
            <w:pPr>
              <w:widowControl w:val="0"/>
              <w:spacing w:after="120"/>
              <w:jc w:val="both"/>
              <w:rPr>
                <w:sz w:val="21"/>
                <w:szCs w:val="21"/>
              </w:rPr>
            </w:pPr>
            <w:r w:rsidRPr="00E87111">
              <w:rPr>
                <w:sz w:val="21"/>
                <w:szCs w:val="21"/>
              </w:rPr>
              <w:t>Усі необхідні виробничі витрати, які можуть бути безпосередньо віднесені до конкретного об'єкта витрат. Можуть включати витрати, пов’язані з обслуговуванням і експлуатацією виробничих основних засобів (технічний огляд, технічне обслуговування), витрати на ремонт для підтримання об’єкта у робочому стані (у т. ч. витрати на електроенергію для ремонтних робіт), оренду, страхування основних засобів виробничого призначення, що безпосередньо забезпечують постачання теплової енергії, витрати на послуги зв’язку на об’єктах виробничого призначення, що забезпечують постачання теплової енергії, витрати на роботи і послуги сторонніх організацій, безпосередньо пов’язаних з технологічним процесом постачання теплової енергії; податки, збори та інші</w:t>
            </w:r>
            <w:r w:rsidR="00806DBF" w:rsidRPr="00E87111">
              <w:rPr>
                <w:sz w:val="21"/>
                <w:szCs w:val="21"/>
              </w:rPr>
              <w:t>,</w:t>
            </w:r>
            <w:r w:rsidRPr="00E87111">
              <w:rPr>
                <w:sz w:val="21"/>
                <w:szCs w:val="21"/>
              </w:rPr>
              <w:t xml:space="preserve"> передбачені законодавством</w:t>
            </w:r>
            <w:r w:rsidR="00806DBF" w:rsidRPr="00E87111">
              <w:rPr>
                <w:sz w:val="21"/>
                <w:szCs w:val="21"/>
              </w:rPr>
              <w:t>,</w:t>
            </w:r>
            <w:r w:rsidRPr="00E87111">
              <w:rPr>
                <w:sz w:val="21"/>
                <w:szCs w:val="21"/>
              </w:rPr>
              <w:t xml:space="preserve"> обов’язкові платежі (у т. ч. внесок на регулювання)</w:t>
            </w:r>
          </w:p>
        </w:tc>
      </w:tr>
      <w:tr w:rsidR="000E0429" w:rsidRPr="00E87111" w:rsidTr="009605EF">
        <w:trPr>
          <w:trHeight w:val="787"/>
        </w:trPr>
        <w:tc>
          <w:tcPr>
            <w:tcW w:w="1561" w:type="pct"/>
            <w:shd w:val="clear" w:color="auto" w:fill="auto"/>
          </w:tcPr>
          <w:p w:rsidR="000E0429" w:rsidRPr="00E87111" w:rsidRDefault="000E0429" w:rsidP="005D1DCE">
            <w:pPr>
              <w:widowControl w:val="0"/>
              <w:spacing w:after="120"/>
              <w:rPr>
                <w:sz w:val="21"/>
                <w:szCs w:val="21"/>
              </w:rPr>
            </w:pPr>
            <w:r>
              <w:rPr>
                <w:sz w:val="21"/>
                <w:szCs w:val="21"/>
              </w:rPr>
              <w:t>Витрати на ремонт основних засобів</w:t>
            </w:r>
          </w:p>
        </w:tc>
        <w:tc>
          <w:tcPr>
            <w:tcW w:w="3439" w:type="pct"/>
            <w:shd w:val="clear" w:color="auto" w:fill="auto"/>
          </w:tcPr>
          <w:p w:rsidR="000E0429" w:rsidRPr="00E87111" w:rsidRDefault="000E0429" w:rsidP="000E0429">
            <w:pPr>
              <w:widowControl w:val="0"/>
              <w:spacing w:after="120"/>
              <w:jc w:val="both"/>
              <w:rPr>
                <w:sz w:val="21"/>
                <w:szCs w:val="21"/>
              </w:rPr>
            </w:pPr>
            <w:r>
              <w:rPr>
                <w:sz w:val="21"/>
                <w:szCs w:val="21"/>
              </w:rPr>
              <w:t>Витрати на ремонт основних засобів, задіяних у процесі постачання теплової енергії, передбачених планом виконання планово-попереджувальних робіт, про</w:t>
            </w:r>
            <w:r w:rsidR="00087C80">
              <w:rPr>
                <w:sz w:val="21"/>
                <w:szCs w:val="21"/>
              </w:rPr>
              <w:t>є</w:t>
            </w:r>
            <w:r>
              <w:rPr>
                <w:sz w:val="21"/>
                <w:szCs w:val="21"/>
              </w:rPr>
              <w:t>ктно-кошторисною документацією, кошторисами</w:t>
            </w:r>
          </w:p>
        </w:tc>
        <w:bookmarkStart w:id="0" w:name="_GoBack"/>
        <w:bookmarkEnd w:id="0"/>
      </w:tr>
    </w:tbl>
    <w:p w:rsidR="00456A4D" w:rsidRPr="00E87111" w:rsidRDefault="00456A4D" w:rsidP="00456A4D">
      <w:pPr>
        <w:rPr>
          <w:szCs w:val="22"/>
        </w:rPr>
      </w:pPr>
    </w:p>
    <w:p w:rsidR="00F17BAD" w:rsidRPr="00E87111" w:rsidRDefault="00F17BAD" w:rsidP="00456A4D"/>
    <w:sectPr w:rsidR="00F17BAD" w:rsidRPr="00E87111" w:rsidSect="006D2472">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1134"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5626" w:rsidRDefault="00F15626" w:rsidP="006D2472">
      <w:r>
        <w:separator/>
      </w:r>
    </w:p>
  </w:endnote>
  <w:endnote w:type="continuationSeparator" w:id="0">
    <w:p w:rsidR="00F15626" w:rsidRDefault="00F15626" w:rsidP="006D2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1DCE" w:rsidRDefault="005D1DCE">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1DCE" w:rsidRDefault="005D1DCE">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1DCE" w:rsidRDefault="005D1DCE">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5626" w:rsidRDefault="00F15626" w:rsidP="006D2472">
      <w:r>
        <w:separator/>
      </w:r>
    </w:p>
  </w:footnote>
  <w:footnote w:type="continuationSeparator" w:id="0">
    <w:p w:rsidR="00F15626" w:rsidRDefault="00F15626" w:rsidP="006D24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1DCE" w:rsidRDefault="005D1DCE">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4386169"/>
      <w:docPartObj>
        <w:docPartGallery w:val="Page Numbers (Top of Page)"/>
        <w:docPartUnique/>
      </w:docPartObj>
    </w:sdtPr>
    <w:sdtEndPr/>
    <w:sdtContent>
      <w:p w:rsidR="006D2472" w:rsidRDefault="006D2472">
        <w:pPr>
          <w:pStyle w:val="a3"/>
          <w:jc w:val="center"/>
        </w:pPr>
        <w:r>
          <w:fldChar w:fldCharType="begin"/>
        </w:r>
        <w:r>
          <w:instrText>PAGE   \* MERGEFORMAT</w:instrText>
        </w:r>
        <w:r>
          <w:fldChar w:fldCharType="separate"/>
        </w:r>
        <w:r w:rsidR="00143774">
          <w:rPr>
            <w:noProof/>
          </w:rPr>
          <w:t>2</w:t>
        </w:r>
        <w:r>
          <w:fldChar w:fldCharType="end"/>
        </w:r>
      </w:p>
    </w:sdtContent>
  </w:sdt>
  <w:p w:rsidR="006D2472" w:rsidRDefault="006D2472">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1DCE" w:rsidRDefault="005D1DC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FEA"/>
    <w:rsid w:val="00087C80"/>
    <w:rsid w:val="000A7544"/>
    <w:rsid w:val="000E0429"/>
    <w:rsid w:val="00143774"/>
    <w:rsid w:val="001A4D22"/>
    <w:rsid w:val="00291E53"/>
    <w:rsid w:val="003C20A9"/>
    <w:rsid w:val="00444ACA"/>
    <w:rsid w:val="00456A4D"/>
    <w:rsid w:val="0055681B"/>
    <w:rsid w:val="005967E6"/>
    <w:rsid w:val="005A15F3"/>
    <w:rsid w:val="005D1DCE"/>
    <w:rsid w:val="005F062F"/>
    <w:rsid w:val="006D2472"/>
    <w:rsid w:val="00806DBF"/>
    <w:rsid w:val="009605EF"/>
    <w:rsid w:val="00A6509F"/>
    <w:rsid w:val="00A72ADA"/>
    <w:rsid w:val="00C3631E"/>
    <w:rsid w:val="00DC7FEA"/>
    <w:rsid w:val="00DE1B36"/>
    <w:rsid w:val="00E04ADE"/>
    <w:rsid w:val="00E87111"/>
    <w:rsid w:val="00E91D8E"/>
    <w:rsid w:val="00F15626"/>
    <w:rsid w:val="00F17B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4A290F-0FA7-40BB-A3C0-FB9B8FC53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6A4D"/>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2472"/>
    <w:pPr>
      <w:tabs>
        <w:tab w:val="center" w:pos="4677"/>
        <w:tab w:val="right" w:pos="9355"/>
      </w:tabs>
    </w:pPr>
  </w:style>
  <w:style w:type="character" w:customStyle="1" w:styleId="a4">
    <w:name w:val="Верхній колонтитул Знак"/>
    <w:basedOn w:val="a0"/>
    <w:link w:val="a3"/>
    <w:uiPriority w:val="99"/>
    <w:rsid w:val="006D2472"/>
    <w:rPr>
      <w:rFonts w:ascii="Times New Roman" w:eastAsia="Times New Roman" w:hAnsi="Times New Roman" w:cs="Times New Roman"/>
      <w:sz w:val="24"/>
      <w:szCs w:val="24"/>
      <w:lang w:val="uk-UA" w:eastAsia="uk-UA"/>
    </w:rPr>
  </w:style>
  <w:style w:type="paragraph" w:styleId="a5">
    <w:name w:val="footer"/>
    <w:basedOn w:val="a"/>
    <w:link w:val="a6"/>
    <w:uiPriority w:val="99"/>
    <w:unhideWhenUsed/>
    <w:rsid w:val="006D2472"/>
    <w:pPr>
      <w:tabs>
        <w:tab w:val="center" w:pos="4677"/>
        <w:tab w:val="right" w:pos="9355"/>
      </w:tabs>
    </w:pPr>
  </w:style>
  <w:style w:type="character" w:customStyle="1" w:styleId="a6">
    <w:name w:val="Нижній колонтитул Знак"/>
    <w:basedOn w:val="a0"/>
    <w:link w:val="a5"/>
    <w:uiPriority w:val="99"/>
    <w:rsid w:val="006D2472"/>
    <w:rPr>
      <w:rFonts w:ascii="Times New Roman" w:eastAsia="Times New Roman" w:hAnsi="Times New Roman" w:cs="Times New Roman"/>
      <w:sz w:val="24"/>
      <w:szCs w:val="24"/>
      <w:lang w:val="uk-UA" w:eastAsia="uk-UA"/>
    </w:rPr>
  </w:style>
  <w:style w:type="paragraph" w:styleId="a7">
    <w:name w:val="List Paragraph"/>
    <w:basedOn w:val="a"/>
    <w:uiPriority w:val="34"/>
    <w:qFormat/>
    <w:rsid w:val="005D1D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400F3-B2C8-4FA3-BF12-10A614CE8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2210</Words>
  <Characters>1261</Characters>
  <Application>Microsoft Office Word</Application>
  <DocSecurity>0</DocSecurity>
  <Lines>10</Lines>
  <Paragraphs>6</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Улітіч Анастасія Олегівна</dc:creator>
  <cp:lastModifiedBy>Олександра Герасимчук</cp:lastModifiedBy>
  <cp:revision>12</cp:revision>
  <cp:lastPrinted>2024-10-30T15:37:00Z</cp:lastPrinted>
  <dcterms:created xsi:type="dcterms:W3CDTF">2017-08-01T08:54:00Z</dcterms:created>
  <dcterms:modified xsi:type="dcterms:W3CDTF">2024-10-30T15:37:00Z</dcterms:modified>
</cp:coreProperties>
</file>