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2C2E03C" w14:textId="6D2F1A6E" w:rsidR="00032EC0" w:rsidRPr="00BD078E" w:rsidRDefault="00571C9E" w:rsidP="006F7DE7">
      <w:pPr>
        <w:tabs>
          <w:tab w:val="left" w:pos="1560"/>
        </w:tabs>
        <w:suppressAutoHyphens/>
        <w:ind w:left="5670"/>
        <w:rPr>
          <w:szCs w:val="22"/>
          <w:lang w:val="ru-RU"/>
        </w:rPr>
      </w:pPr>
      <w:bookmarkStart w:id="0" w:name="_Toc353796234"/>
      <w:bookmarkStart w:id="1" w:name="_GoBack"/>
      <w:bookmarkEnd w:id="1"/>
      <w:r w:rsidRPr="00BD078E">
        <w:rPr>
          <w:szCs w:val="22"/>
        </w:rPr>
        <w:t xml:space="preserve">Додаток </w:t>
      </w:r>
      <w:r w:rsidRPr="00BD078E">
        <w:rPr>
          <w:szCs w:val="22"/>
          <w:lang w:val="ru-RU"/>
        </w:rPr>
        <w:t>1</w:t>
      </w:r>
    </w:p>
    <w:p w14:paraId="19CE9A0B" w14:textId="07EC330D" w:rsidR="00117327" w:rsidRPr="00BD078E" w:rsidRDefault="00032EC0" w:rsidP="006F7DE7">
      <w:pPr>
        <w:tabs>
          <w:tab w:val="left" w:pos="1560"/>
        </w:tabs>
        <w:suppressAutoHyphens/>
        <w:ind w:left="5670"/>
        <w:rPr>
          <w:szCs w:val="22"/>
          <w:lang w:val="ru-RU"/>
        </w:rPr>
      </w:pPr>
      <w:r w:rsidRPr="00BD078E">
        <w:rPr>
          <w:szCs w:val="22"/>
        </w:rPr>
        <w:t>до Порядку (правил) організації та ведення</w:t>
      </w:r>
      <w:r w:rsidR="00EC45B8" w:rsidRPr="00BD078E">
        <w:rPr>
          <w:szCs w:val="22"/>
          <w:lang w:val="ru-RU"/>
        </w:rPr>
        <w:t xml:space="preserve"> </w:t>
      </w:r>
      <w:r w:rsidRPr="00BD078E">
        <w:rPr>
          <w:szCs w:val="22"/>
        </w:rPr>
        <w:t>обліку за ліцензованими видами діяльності</w:t>
      </w:r>
      <w:r w:rsidR="00EC45B8" w:rsidRPr="00BD078E">
        <w:rPr>
          <w:szCs w:val="22"/>
          <w:lang w:val="ru-RU"/>
        </w:rPr>
        <w:t xml:space="preserve"> </w:t>
      </w:r>
      <w:r w:rsidRPr="00BD078E">
        <w:rPr>
          <w:szCs w:val="22"/>
        </w:rPr>
        <w:t>суб'єктами господарювання у сфері теплопостачання</w:t>
      </w:r>
    </w:p>
    <w:p w14:paraId="25F85AE9" w14:textId="77777777" w:rsidR="00BD06D2" w:rsidRPr="00BD06D2" w:rsidRDefault="00BD06D2" w:rsidP="00117327">
      <w:pPr>
        <w:tabs>
          <w:tab w:val="left" w:pos="1560"/>
        </w:tabs>
        <w:suppressAutoHyphens/>
        <w:ind w:left="1416"/>
        <w:rPr>
          <w:sz w:val="22"/>
          <w:szCs w:val="22"/>
          <w:lang w:val="ru-RU"/>
        </w:rPr>
      </w:pPr>
    </w:p>
    <w:p w14:paraId="43C457FD" w14:textId="77777777" w:rsidR="00032EC0" w:rsidRDefault="00032EC0" w:rsidP="00032EC0">
      <w:pPr>
        <w:spacing w:after="120"/>
        <w:jc w:val="center"/>
        <w:rPr>
          <w:b/>
        </w:rPr>
      </w:pPr>
      <w:r w:rsidRPr="00EC45B8">
        <w:rPr>
          <w:b/>
        </w:rPr>
        <w:t>Примірний перелік основних засобів, прямо задіяних у виробництві теплової енергії</w:t>
      </w:r>
      <w:bookmarkEnd w:id="0"/>
    </w:p>
    <w:p w14:paraId="5E70595A" w14:textId="77777777" w:rsidR="003D2B2E" w:rsidRPr="00EC45B8" w:rsidRDefault="003D2B2E" w:rsidP="00032EC0">
      <w:pPr>
        <w:spacing w:after="120"/>
        <w:jc w:val="center"/>
        <w:rPr>
          <w:b/>
        </w:rPr>
      </w:pPr>
      <w:r>
        <w:rPr>
          <w:b/>
        </w:rPr>
        <w:t>І. Виробництво теплової енергії котельнями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70"/>
      </w:tblGrid>
      <w:tr w:rsidR="00032EC0" w:rsidRPr="00EB718D" w14:paraId="5F74E97F" w14:textId="77777777" w:rsidTr="00117327">
        <w:trPr>
          <w:trHeight w:val="300"/>
        </w:trPr>
        <w:tc>
          <w:tcPr>
            <w:tcW w:w="5000" w:type="pct"/>
            <w:shd w:val="clear" w:color="auto" w:fill="auto"/>
          </w:tcPr>
          <w:p w14:paraId="1720C6BC" w14:textId="77777777" w:rsidR="00032EC0" w:rsidRPr="00EB718D" w:rsidRDefault="00032EC0" w:rsidP="007607DA">
            <w:pPr>
              <w:suppressAutoHyphens/>
              <w:spacing w:after="120"/>
              <w:jc w:val="center"/>
              <w:rPr>
                <w:b/>
              </w:rPr>
            </w:pPr>
            <w:r w:rsidRPr="00EB718D">
              <w:rPr>
                <w:b/>
              </w:rPr>
              <w:t xml:space="preserve">Класифікаційні групи та об’єкти </w:t>
            </w:r>
          </w:p>
        </w:tc>
      </w:tr>
      <w:tr w:rsidR="00032EC0" w:rsidRPr="00EB718D" w14:paraId="4AF456E1" w14:textId="77777777" w:rsidTr="00117327">
        <w:trPr>
          <w:trHeight w:val="491"/>
        </w:trPr>
        <w:tc>
          <w:tcPr>
            <w:tcW w:w="5000" w:type="pct"/>
            <w:shd w:val="clear" w:color="auto" w:fill="auto"/>
          </w:tcPr>
          <w:p w14:paraId="232E86C1" w14:textId="77777777" w:rsidR="00032EC0" w:rsidRPr="00EB718D" w:rsidRDefault="00032EC0" w:rsidP="007607DA">
            <w:pPr>
              <w:suppressAutoHyphens/>
              <w:spacing w:after="120"/>
              <w:rPr>
                <w:b/>
              </w:rPr>
            </w:pPr>
            <w:r w:rsidRPr="00EB718D">
              <w:rPr>
                <w:b/>
              </w:rPr>
              <w:t>Група 1 «Земельні ділянки»</w:t>
            </w:r>
            <w:r w:rsidR="005537E1" w:rsidRPr="00EB718D">
              <w:t xml:space="preserve"> </w:t>
            </w:r>
            <w:r w:rsidRPr="006369CA">
              <w:t>–</w:t>
            </w:r>
            <w:r w:rsidR="00761047" w:rsidRPr="006369CA">
              <w:t xml:space="preserve"> земельні ділянки під </w:t>
            </w:r>
            <w:proofErr w:type="spellStart"/>
            <w:r w:rsidR="00761047" w:rsidRPr="006369CA">
              <w:t>котельн</w:t>
            </w:r>
            <w:r w:rsidR="00761047" w:rsidRPr="006369CA">
              <w:rPr>
                <w:lang w:val="ru-RU"/>
              </w:rPr>
              <w:t>ями</w:t>
            </w:r>
            <w:proofErr w:type="spellEnd"/>
            <w:r w:rsidRPr="006369CA">
              <w:t xml:space="preserve">, складськими будівлями, будівлями </w:t>
            </w:r>
            <w:proofErr w:type="spellStart"/>
            <w:r w:rsidRPr="006369CA">
              <w:t>паливоприготування</w:t>
            </w:r>
            <w:proofErr w:type="spellEnd"/>
            <w:r w:rsidRPr="006369CA">
              <w:t xml:space="preserve"> та іншими</w:t>
            </w:r>
          </w:p>
        </w:tc>
      </w:tr>
      <w:tr w:rsidR="00032EC0" w:rsidRPr="00EB718D" w14:paraId="4FAD1632" w14:textId="77777777" w:rsidTr="00EB718D">
        <w:trPr>
          <w:trHeight w:val="7210"/>
        </w:trPr>
        <w:tc>
          <w:tcPr>
            <w:tcW w:w="5000" w:type="pct"/>
            <w:shd w:val="clear" w:color="auto" w:fill="auto"/>
          </w:tcPr>
          <w:p w14:paraId="1AB5DB7E" w14:textId="77777777" w:rsidR="00032EC0" w:rsidRPr="00EB718D" w:rsidRDefault="00032EC0" w:rsidP="007607DA">
            <w:pPr>
              <w:suppressAutoHyphens/>
              <w:spacing w:after="120"/>
            </w:pPr>
            <w:r w:rsidRPr="00EB718D">
              <w:rPr>
                <w:b/>
              </w:rPr>
              <w:t>Група 3 «Будівлі, споруди, передавальні пристрої»:</w:t>
            </w:r>
          </w:p>
          <w:p w14:paraId="4DB23DE0" w14:textId="3F96581F" w:rsidR="00032EC0" w:rsidRPr="00EB718D" w:rsidRDefault="00032EC0" w:rsidP="007607DA">
            <w:pPr>
              <w:suppressAutoHyphens/>
              <w:spacing w:after="120"/>
              <w:jc w:val="both"/>
              <w:rPr>
                <w:shd w:val="clear" w:color="auto" w:fill="D9D9D9"/>
              </w:rPr>
            </w:pPr>
            <w:r w:rsidRPr="00EB718D">
              <w:rPr>
                <w:b/>
                <w:i/>
              </w:rPr>
              <w:t>Будівлі</w:t>
            </w:r>
            <w:r w:rsidRPr="00EB718D">
              <w:rPr>
                <w:b/>
              </w:rPr>
              <w:t xml:space="preserve"> </w:t>
            </w:r>
            <w:r w:rsidRPr="00EB718D">
              <w:t>–</w:t>
            </w:r>
            <w:r w:rsidRPr="00EB718D">
              <w:rPr>
                <w:b/>
              </w:rPr>
              <w:t xml:space="preserve"> </w:t>
            </w:r>
            <w:r w:rsidRPr="00EB718D">
              <w:t xml:space="preserve">будівлі </w:t>
            </w:r>
            <w:proofErr w:type="spellStart"/>
            <w:r w:rsidRPr="00EB718D">
              <w:t>котелень</w:t>
            </w:r>
            <w:proofErr w:type="spellEnd"/>
            <w:r w:rsidRPr="00EB718D">
              <w:t xml:space="preserve">, будівлі </w:t>
            </w:r>
            <w:proofErr w:type="spellStart"/>
            <w:r w:rsidRPr="00EB718D">
              <w:t>газорегуляторних</w:t>
            </w:r>
            <w:proofErr w:type="spellEnd"/>
            <w:r w:rsidRPr="00EB718D">
              <w:t xml:space="preserve"> пунктів, складські будівлі (палива, твердого палива, </w:t>
            </w:r>
            <w:r w:rsidRPr="006369CA">
              <w:t>та інші),</w:t>
            </w:r>
            <w:r w:rsidRPr="00EB718D">
              <w:t xml:space="preserve"> будівлі </w:t>
            </w:r>
            <w:proofErr w:type="spellStart"/>
            <w:r w:rsidRPr="00EB718D">
              <w:t>паливоприготування</w:t>
            </w:r>
            <w:proofErr w:type="spellEnd"/>
            <w:r w:rsidRPr="00EB718D">
              <w:t>, інші будівлі</w:t>
            </w:r>
            <w:r w:rsidR="000C2A00" w:rsidRPr="00EB718D">
              <w:t>.</w:t>
            </w:r>
          </w:p>
          <w:p w14:paraId="49FC90B1" w14:textId="63144746" w:rsidR="00032EC0" w:rsidRPr="00EB718D" w:rsidRDefault="00032EC0" w:rsidP="007607DA">
            <w:pPr>
              <w:suppressAutoHyphens/>
              <w:spacing w:after="120"/>
              <w:jc w:val="both"/>
              <w:rPr>
                <w:shd w:val="clear" w:color="auto" w:fill="D9D9D9"/>
              </w:rPr>
            </w:pPr>
            <w:r w:rsidRPr="00EB718D">
              <w:rPr>
                <w:b/>
                <w:i/>
              </w:rPr>
              <w:t>Споруди</w:t>
            </w:r>
            <w:r w:rsidRPr="00EB718D">
              <w:rPr>
                <w:b/>
              </w:rPr>
              <w:t xml:space="preserve"> </w:t>
            </w:r>
            <w:r w:rsidRPr="00EB718D">
              <w:t>–</w:t>
            </w:r>
            <w:r w:rsidRPr="00EB718D">
              <w:rPr>
                <w:b/>
              </w:rPr>
              <w:t xml:space="preserve"> </w:t>
            </w:r>
            <w:r w:rsidRPr="00EB718D">
              <w:t>баки (рідкого палива</w:t>
            </w:r>
            <w:r w:rsidRPr="001F24C6">
              <w:t xml:space="preserve">, </w:t>
            </w:r>
            <w:r w:rsidRPr="00EB718D">
              <w:t xml:space="preserve">сірчаної кислоти та інших реагентів, мірний, холодної води та інші), бокси, </w:t>
            </w:r>
            <w:proofErr w:type="spellStart"/>
            <w:r w:rsidRPr="00EB718D">
              <w:t>блискавкозахисні</w:t>
            </w:r>
            <w:proofErr w:type="spellEnd"/>
            <w:r w:rsidRPr="00EB718D">
              <w:t xml:space="preserve"> споруди </w:t>
            </w:r>
            <w:proofErr w:type="spellStart"/>
            <w:r w:rsidRPr="00EB718D">
              <w:t>котелень</w:t>
            </w:r>
            <w:proofErr w:type="spellEnd"/>
            <w:r w:rsidRPr="00EB718D">
              <w:t xml:space="preserve">, димові труби, склади палива, газорозподільні пункти, виробничі під’їзні шляхи (автомобільні, залізничні, мости, переходи) і тротуари, споруди для відведення зливових, талих і ґрунтових вод від будівель та споруд із території (дренажі, водовідвідні канави, відмостки, </w:t>
            </w:r>
            <w:proofErr w:type="spellStart"/>
            <w:r w:rsidRPr="00EB718D">
              <w:t>жиронафтоуловлювачі</w:t>
            </w:r>
            <w:proofErr w:type="spellEnd"/>
            <w:r w:rsidRPr="00EB718D">
              <w:t xml:space="preserve"> тощо), ворота, ємності (емальовані, накопичувальні, запасу води, </w:t>
            </w:r>
            <w:proofErr w:type="spellStart"/>
            <w:r w:rsidRPr="00EB718D">
              <w:t>промивочні</w:t>
            </w:r>
            <w:proofErr w:type="spellEnd"/>
            <w:r w:rsidRPr="00EB718D">
              <w:t>, зливальні, для зберігання рідкого палива та інші), каналізаційні насосні станції, споруди системи каналізації, споруди мазутного господарства, огородження, огороджувальні майданчики, очисні споруди, резервуари (пожежні, акумуляторні, зберігання рідкого палива та інші), складські споруди, станції очистки конденсату, трансформаторна підстанція, естакада</w:t>
            </w:r>
            <w:r w:rsidR="005537E1" w:rsidRPr="00EB718D">
              <w:t xml:space="preserve"> </w:t>
            </w:r>
            <w:r w:rsidRPr="00EB718D">
              <w:t>та інші споруди</w:t>
            </w:r>
            <w:r w:rsidR="000C2A00" w:rsidRPr="00EB718D">
              <w:t>.</w:t>
            </w:r>
          </w:p>
          <w:p w14:paraId="7947B9BA" w14:textId="0B4F5D66" w:rsidR="003D2B2E" w:rsidRPr="00E90735" w:rsidRDefault="00032EC0" w:rsidP="007607DA">
            <w:pPr>
              <w:suppressAutoHyphens/>
              <w:spacing w:after="120"/>
              <w:jc w:val="both"/>
            </w:pPr>
            <w:r w:rsidRPr="00EB718D">
              <w:rPr>
                <w:b/>
                <w:i/>
              </w:rPr>
              <w:t>Передавальні пристрої</w:t>
            </w:r>
            <w:r w:rsidRPr="00EB718D">
              <w:t xml:space="preserve"> </w:t>
            </w:r>
            <w:r w:rsidR="005537E1" w:rsidRPr="00EB718D">
              <w:t>–</w:t>
            </w:r>
            <w:r w:rsidRPr="00EB718D">
              <w:t xml:space="preserve"> газопроводи, газоходи, мережі газопостачання, ГРП, технологічні трубопроводи, </w:t>
            </w:r>
            <w:r w:rsidRPr="001F24C6">
              <w:t>електричні мережі освітлення котельні, мережі зовнішнього освітлення котельні,</w:t>
            </w:r>
            <w:r w:rsidRPr="00EB718D">
              <w:t xml:space="preserve"> мережі зв'язку котельні, </w:t>
            </w:r>
            <w:proofErr w:type="spellStart"/>
            <w:r w:rsidRPr="00EB718D">
              <w:t>паливопроводи</w:t>
            </w:r>
            <w:proofErr w:type="spellEnd"/>
            <w:r w:rsidRPr="00EB718D">
              <w:t xml:space="preserve">, </w:t>
            </w:r>
            <w:proofErr w:type="spellStart"/>
            <w:r w:rsidRPr="00EB718D">
              <w:t>мазутопроводи</w:t>
            </w:r>
            <w:proofErr w:type="spellEnd"/>
            <w:r w:rsidRPr="00EB718D">
              <w:t>, повітропроводи котельні, водопровідні та каналізаційні мережі, інші передавальні пристрої</w:t>
            </w:r>
            <w:r w:rsidR="00E90735">
              <w:t>.</w:t>
            </w:r>
          </w:p>
        </w:tc>
      </w:tr>
      <w:tr w:rsidR="00EB718D" w:rsidRPr="00EB718D" w14:paraId="0D463E46" w14:textId="77777777" w:rsidTr="003D2B2E">
        <w:trPr>
          <w:trHeight w:val="7405"/>
        </w:trPr>
        <w:tc>
          <w:tcPr>
            <w:tcW w:w="5000" w:type="pct"/>
            <w:shd w:val="clear" w:color="auto" w:fill="auto"/>
          </w:tcPr>
          <w:p w14:paraId="3E395F4B" w14:textId="77777777" w:rsidR="00EB718D" w:rsidRPr="00EB718D" w:rsidRDefault="00EB718D" w:rsidP="003D2B2E">
            <w:pPr>
              <w:suppressAutoHyphens/>
              <w:spacing w:after="120"/>
              <w:rPr>
                <w:b/>
              </w:rPr>
            </w:pPr>
            <w:r w:rsidRPr="00EB718D">
              <w:rPr>
                <w:b/>
              </w:rPr>
              <w:lastRenderedPageBreak/>
              <w:t>Група 4 «Машини та обладнання»:</w:t>
            </w:r>
          </w:p>
          <w:p w14:paraId="3A09A600" w14:textId="0C48AB1E" w:rsidR="00EB718D" w:rsidRPr="00EB718D" w:rsidRDefault="00EB718D" w:rsidP="003D2B2E">
            <w:pPr>
              <w:suppressAutoHyphens/>
              <w:spacing w:after="120"/>
              <w:jc w:val="both"/>
            </w:pPr>
            <w:r w:rsidRPr="00EB718D">
              <w:rPr>
                <w:b/>
                <w:i/>
              </w:rPr>
              <w:t xml:space="preserve">Машини </w:t>
            </w:r>
            <w:r w:rsidRPr="00EB718D">
              <w:t xml:space="preserve">– котли (парові, водогрійні, утилізатори, </w:t>
            </w:r>
            <w:proofErr w:type="spellStart"/>
            <w:r w:rsidRPr="00EB718D">
              <w:t>пароводогрійні</w:t>
            </w:r>
            <w:proofErr w:type="spellEnd"/>
            <w:r w:rsidRPr="00EB718D">
              <w:t xml:space="preserve"> та інші), економайзери, елементи котла (випарник, пароперегрівач, пальник, вентиль, колектор, барабан та інші), вентилятори систем вентиляції і паливоподачі, вентилятори пальників, димососи, насоси (живлення та </w:t>
            </w:r>
            <w:proofErr w:type="spellStart"/>
            <w:r w:rsidRPr="00EB718D">
              <w:t>конденсатні</w:t>
            </w:r>
            <w:proofErr w:type="spellEnd"/>
            <w:r w:rsidRPr="00EB718D">
              <w:t xml:space="preserve">, парові, рециркуляційні, котлові, підвищувальні та циркуляційні, подачі палива), агрегати </w:t>
            </w:r>
            <w:proofErr w:type="spellStart"/>
            <w:r w:rsidRPr="00EB718D">
              <w:t>паливоприготування</w:t>
            </w:r>
            <w:proofErr w:type="spellEnd"/>
            <w:r w:rsidRPr="00EB718D">
              <w:t xml:space="preserve"> та золовидалення, вузли обліку (електроенергії, палива, води (водомір)), бойлери, водопідігрівачі, теплообмінники, грязьовики, регулятори тиску газу, запобіжні клапани, фільтри, вимірювачі тиску (дифманометри, манометри), автоматика для котла, водонагрівачі, газогенератори, датчики (температури, тиску), електродвигуни, електростанції, кондуктометр води лабораторний, устаткування для збору та обробки даних з електролічильників, електролічильники, регулятори, </w:t>
            </w:r>
            <w:proofErr w:type="spellStart"/>
            <w:r w:rsidRPr="00EB718D">
              <w:t>нітрофільтри</w:t>
            </w:r>
            <w:proofErr w:type="spellEnd"/>
            <w:r w:rsidRPr="00EB718D">
              <w:t xml:space="preserve">, підігрівачі, помпові установки (помпи), реле тиску, </w:t>
            </w:r>
            <w:r w:rsidRPr="00B34AFD">
              <w:t>термостати,</w:t>
            </w:r>
            <w:r w:rsidRPr="00EB718D">
              <w:t xml:space="preserve"> трансформатори, витратоміри, щит (</w:t>
            </w:r>
            <w:proofErr w:type="spellStart"/>
            <w:r w:rsidRPr="00EB718D">
              <w:t>загальнокотельної</w:t>
            </w:r>
            <w:proofErr w:type="spellEnd"/>
            <w:r w:rsidRPr="00EB718D">
              <w:t xml:space="preserve"> автоматики, управління насосами, освітлення), інші машини, що забезпечують виробництво теплової енергії тощо.</w:t>
            </w:r>
          </w:p>
          <w:p w14:paraId="1F321B1B" w14:textId="77777777" w:rsidR="00EB718D" w:rsidRPr="00EB718D" w:rsidRDefault="00EB718D" w:rsidP="003D2B2E">
            <w:pPr>
              <w:suppressAutoHyphens/>
              <w:spacing w:after="120"/>
              <w:jc w:val="both"/>
            </w:pPr>
            <w:r w:rsidRPr="00EB718D">
              <w:rPr>
                <w:b/>
                <w:i/>
              </w:rPr>
              <w:t>Обладнання</w:t>
            </w:r>
            <w:r w:rsidRPr="00EB718D">
              <w:rPr>
                <w:i/>
              </w:rPr>
              <w:t xml:space="preserve"> </w:t>
            </w:r>
            <w:r w:rsidRPr="00EB718D">
              <w:t>–</w:t>
            </w:r>
            <w:r w:rsidRPr="00EB718D">
              <w:rPr>
                <w:i/>
              </w:rPr>
              <w:t xml:space="preserve"> </w:t>
            </w:r>
            <w:proofErr w:type="spellStart"/>
            <w:r w:rsidRPr="00EB718D">
              <w:t>запірно</w:t>
            </w:r>
            <w:proofErr w:type="spellEnd"/>
            <w:r w:rsidRPr="00EB718D">
              <w:t xml:space="preserve">-регулювальна арматура на котельні з ручним та електромеханічним приводом (засувки, клапани, вентилі, регулятори тиску, МЕО тощо), </w:t>
            </w:r>
            <w:proofErr w:type="spellStart"/>
            <w:r w:rsidRPr="00EB718D">
              <w:t>газорегуляторна</w:t>
            </w:r>
            <w:proofErr w:type="spellEnd"/>
            <w:r w:rsidRPr="00EB718D">
              <w:t xml:space="preserve"> установка, шафова ГРП, </w:t>
            </w:r>
            <w:r w:rsidRPr="00685523">
              <w:t>електроустаткування та електрообладнання котельні (міст, рубильник, силова шафа, силовий щит, трансформатор, щит управління котлом, щит управління КВП і А, автомат та інші), тепломеханічне обладнання котельні, робоче устаткування котельні, агрегат зварювальний (апарат зварювальний),</w:t>
            </w:r>
            <w:r w:rsidRPr="00EB718D">
              <w:t xml:space="preserve"> бензоелектричний апарат, верстати (</w:t>
            </w:r>
            <w:proofErr w:type="spellStart"/>
            <w:r w:rsidRPr="00EB718D">
              <w:t>заточний</w:t>
            </w:r>
            <w:proofErr w:type="spellEnd"/>
            <w:r w:rsidRPr="00EB718D">
              <w:t xml:space="preserve">, зварювальний, </w:t>
            </w:r>
            <w:proofErr w:type="spellStart"/>
            <w:r w:rsidRPr="00EB718D">
              <w:t>настільно</w:t>
            </w:r>
            <w:proofErr w:type="spellEnd"/>
            <w:r w:rsidRPr="00EB718D">
              <w:t xml:space="preserve">-свердлувальний (свердлувальний), слюсарний, токарний, вертикально-свердлувальний, </w:t>
            </w:r>
            <w:proofErr w:type="spellStart"/>
            <w:r w:rsidRPr="00EB718D">
              <w:t>точильно</w:t>
            </w:r>
            <w:proofErr w:type="spellEnd"/>
            <w:r w:rsidRPr="00EB718D">
              <w:t xml:space="preserve">-шліфувальний та інші), мотопомпа, ножиці </w:t>
            </w:r>
            <w:proofErr w:type="spellStart"/>
            <w:r w:rsidRPr="00EB718D">
              <w:t>напольні</w:t>
            </w:r>
            <w:proofErr w:type="spellEnd"/>
            <w:r w:rsidRPr="00EB718D">
              <w:t xml:space="preserve">, </w:t>
            </w:r>
            <w:proofErr w:type="spellStart"/>
            <w:r w:rsidRPr="00EB718D">
              <w:t>опресовочна</w:t>
            </w:r>
            <w:proofErr w:type="spellEnd"/>
            <w:r w:rsidRPr="00EB718D">
              <w:t xml:space="preserve"> установка, прес гідравлічний, таль, тиски, </w:t>
            </w:r>
            <w:proofErr w:type="spellStart"/>
            <w:r w:rsidRPr="00EB718D">
              <w:t>трубогиб</w:t>
            </w:r>
            <w:proofErr w:type="spellEnd"/>
            <w:r w:rsidRPr="00EB718D">
              <w:t xml:space="preserve"> тощо.</w:t>
            </w:r>
          </w:p>
          <w:p w14:paraId="60468AC3" w14:textId="77777777" w:rsidR="00EB718D" w:rsidRPr="00EB718D" w:rsidRDefault="00EB718D" w:rsidP="007607DA">
            <w:pPr>
              <w:suppressAutoHyphens/>
              <w:spacing w:after="120"/>
              <w:jc w:val="both"/>
              <w:rPr>
                <w:b/>
              </w:rPr>
            </w:pPr>
            <w:r w:rsidRPr="00EB718D">
              <w:rPr>
                <w:b/>
              </w:rPr>
              <w:t>ЕОМ</w:t>
            </w:r>
            <w:r w:rsidRPr="00EB718D">
              <w:t xml:space="preserve"> – міні-АТС, радіостанції, модеми, монітори, ноутбуки, системні блоки тощо</w:t>
            </w:r>
          </w:p>
        </w:tc>
      </w:tr>
      <w:tr w:rsidR="00EC45B8" w:rsidRPr="00EB718D" w14:paraId="6DDF517E" w14:textId="77777777" w:rsidTr="00EC45B8">
        <w:trPr>
          <w:trHeight w:val="1806"/>
        </w:trPr>
        <w:tc>
          <w:tcPr>
            <w:tcW w:w="5000" w:type="pct"/>
            <w:shd w:val="clear" w:color="auto" w:fill="auto"/>
          </w:tcPr>
          <w:p w14:paraId="5ACFB854" w14:textId="7F43B91F" w:rsidR="00EC45B8" w:rsidRPr="00EB718D" w:rsidRDefault="00EC45B8" w:rsidP="007607DA">
            <w:pPr>
              <w:suppressAutoHyphens/>
              <w:spacing w:after="120"/>
              <w:rPr>
                <w:b/>
              </w:rPr>
            </w:pPr>
            <w:r w:rsidRPr="00EB718D">
              <w:rPr>
                <w:b/>
              </w:rPr>
              <w:t>Група 6 «Інструменти, прилади, інвентар (меблі)»</w:t>
            </w:r>
            <w:r w:rsidRPr="00EB718D">
              <w:t xml:space="preserve"> – пилки (циркулярні), перфоратори, талі ручні, дифманометри, манометри, витратоміри, водоміри (лічильники води), панелі вводу, пульти керування, контрольно-вимірювальні прилади котлів, контрольно-вимірювальні прилади </w:t>
            </w:r>
            <w:proofErr w:type="spellStart"/>
            <w:r w:rsidRPr="00EB718D">
              <w:t>котелень</w:t>
            </w:r>
            <w:proofErr w:type="spellEnd"/>
            <w:r w:rsidRPr="00EB718D">
              <w:t xml:space="preserve"> (газоаналізатори, датчики, дифманометри, термометри, діафрагми, індикатори, контактори, регулятори та інші), контрольно-вимірювальні прилади і автоматика, перетворювачі тиску (КВП), регулятори, сигналізатори, інвертори, </w:t>
            </w:r>
            <w:proofErr w:type="spellStart"/>
            <w:r w:rsidRPr="00EB718D">
              <w:t>тепловентилятори</w:t>
            </w:r>
            <w:proofErr w:type="spellEnd"/>
            <w:r w:rsidRPr="00EB718D">
              <w:t>, інші інструменти, прилади, інвентар, меблі (шафи, столи, стільці)</w:t>
            </w:r>
          </w:p>
        </w:tc>
      </w:tr>
      <w:tr w:rsidR="00EC45B8" w:rsidRPr="00EB718D" w14:paraId="430301FC" w14:textId="77777777" w:rsidTr="00EC45B8">
        <w:trPr>
          <w:trHeight w:val="448"/>
        </w:trPr>
        <w:tc>
          <w:tcPr>
            <w:tcW w:w="5000" w:type="pct"/>
            <w:shd w:val="clear" w:color="auto" w:fill="auto"/>
          </w:tcPr>
          <w:p w14:paraId="2B464CF4" w14:textId="77777777" w:rsidR="00EC45B8" w:rsidRPr="00EB718D" w:rsidRDefault="00EC45B8" w:rsidP="007607DA">
            <w:pPr>
              <w:suppressAutoHyphens/>
              <w:spacing w:after="120"/>
              <w:rPr>
                <w:b/>
              </w:rPr>
            </w:pPr>
            <w:r w:rsidRPr="00EB718D">
              <w:rPr>
                <w:b/>
              </w:rPr>
              <w:t xml:space="preserve">Група 11 «Малоцінні необоротні матеріальні активи» </w:t>
            </w:r>
            <w:r w:rsidRPr="00EB718D">
              <w:t>– інші основні засоби, які використовуються на об’єктах виробничого призначення, що забезпечують виробництво теплової енергії (</w:t>
            </w:r>
            <w:r w:rsidRPr="00EB718D">
              <w:rPr>
                <w:i/>
              </w:rPr>
              <w:t xml:space="preserve">строк корисного використання яких більше одного року та які </w:t>
            </w:r>
            <w:proofErr w:type="spellStart"/>
            <w:r w:rsidRPr="00EB718D">
              <w:rPr>
                <w:i/>
              </w:rPr>
              <w:t>зa</w:t>
            </w:r>
            <w:proofErr w:type="spellEnd"/>
            <w:r w:rsidRPr="00EB718D">
              <w:rPr>
                <w:i/>
              </w:rPr>
              <w:t xml:space="preserve"> вартісними ознаками зараховано підприємством </w:t>
            </w:r>
            <w:proofErr w:type="spellStart"/>
            <w:r w:rsidRPr="00EB718D">
              <w:rPr>
                <w:i/>
              </w:rPr>
              <w:t>дo</w:t>
            </w:r>
            <w:proofErr w:type="spellEnd"/>
            <w:r w:rsidRPr="00EB718D">
              <w:rPr>
                <w:i/>
              </w:rPr>
              <w:t xml:space="preserve"> складу малоцінних необоротних матеріальних </w:t>
            </w:r>
            <w:proofErr w:type="spellStart"/>
            <w:r w:rsidRPr="00EB718D">
              <w:rPr>
                <w:i/>
              </w:rPr>
              <w:t>активiв</w:t>
            </w:r>
            <w:proofErr w:type="spellEnd"/>
            <w:r w:rsidRPr="00EB718D">
              <w:t>)</w:t>
            </w:r>
          </w:p>
        </w:tc>
      </w:tr>
    </w:tbl>
    <w:p w14:paraId="656FF61D" w14:textId="77777777" w:rsidR="00A46449" w:rsidRPr="00EC45B8" w:rsidRDefault="00A46449"/>
    <w:p w14:paraId="1341A103" w14:textId="77777777" w:rsidR="00EB718D" w:rsidRDefault="00EB718D" w:rsidP="003D2B2E">
      <w:pPr>
        <w:spacing w:after="120"/>
        <w:jc w:val="center"/>
        <w:rPr>
          <w:b/>
        </w:rPr>
      </w:pPr>
    </w:p>
    <w:p w14:paraId="62BD18A2" w14:textId="77777777" w:rsidR="0044470D" w:rsidRDefault="0044470D" w:rsidP="003D2B2E">
      <w:pPr>
        <w:spacing w:after="120"/>
        <w:jc w:val="center"/>
        <w:rPr>
          <w:b/>
        </w:rPr>
      </w:pPr>
    </w:p>
    <w:p w14:paraId="061A92E1" w14:textId="77777777" w:rsidR="0044470D" w:rsidRDefault="0044470D" w:rsidP="003D2B2E">
      <w:pPr>
        <w:spacing w:after="120"/>
        <w:jc w:val="center"/>
        <w:rPr>
          <w:b/>
        </w:rPr>
      </w:pPr>
    </w:p>
    <w:p w14:paraId="346F3CAE" w14:textId="77777777" w:rsidR="0044470D" w:rsidRDefault="0044470D" w:rsidP="003D2B2E">
      <w:pPr>
        <w:spacing w:after="120"/>
        <w:jc w:val="center"/>
        <w:rPr>
          <w:b/>
        </w:rPr>
      </w:pPr>
    </w:p>
    <w:p w14:paraId="4DE35AD1" w14:textId="77777777" w:rsidR="0044470D" w:rsidRDefault="0044470D" w:rsidP="003D2B2E">
      <w:pPr>
        <w:spacing w:after="120"/>
        <w:jc w:val="center"/>
        <w:rPr>
          <w:b/>
        </w:rPr>
      </w:pPr>
    </w:p>
    <w:p w14:paraId="30858EA0" w14:textId="77777777" w:rsidR="0044470D" w:rsidRDefault="0044470D" w:rsidP="003D2B2E">
      <w:pPr>
        <w:spacing w:after="120"/>
        <w:jc w:val="center"/>
        <w:rPr>
          <w:b/>
        </w:rPr>
      </w:pPr>
    </w:p>
    <w:p w14:paraId="356C90FE" w14:textId="261FE449" w:rsidR="003D2B2E" w:rsidRPr="00EC45B8" w:rsidRDefault="003D2B2E" w:rsidP="003D2B2E">
      <w:pPr>
        <w:spacing w:after="120"/>
        <w:jc w:val="center"/>
        <w:rPr>
          <w:b/>
        </w:rPr>
      </w:pPr>
      <w:r>
        <w:rPr>
          <w:b/>
        </w:rPr>
        <w:t>ІІ. Виробництво теплової енергії за допомогою САТ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70"/>
      </w:tblGrid>
      <w:tr w:rsidR="003D2B2E" w:rsidRPr="00EC45B8" w14:paraId="1066C3EA" w14:textId="77777777" w:rsidTr="00A33BBA">
        <w:trPr>
          <w:trHeight w:val="300"/>
        </w:trPr>
        <w:tc>
          <w:tcPr>
            <w:tcW w:w="5000" w:type="pct"/>
            <w:shd w:val="clear" w:color="auto" w:fill="auto"/>
          </w:tcPr>
          <w:p w14:paraId="2103231D" w14:textId="77777777" w:rsidR="003D2B2E" w:rsidRPr="00BD078E" w:rsidRDefault="003D2B2E" w:rsidP="00A33BBA">
            <w:pPr>
              <w:suppressAutoHyphens/>
              <w:spacing w:after="120"/>
              <w:jc w:val="center"/>
              <w:rPr>
                <w:b/>
              </w:rPr>
            </w:pPr>
            <w:r w:rsidRPr="00BD078E">
              <w:rPr>
                <w:b/>
              </w:rPr>
              <w:t xml:space="preserve">Класифікаційні групи та об’єкти </w:t>
            </w:r>
          </w:p>
        </w:tc>
      </w:tr>
      <w:tr w:rsidR="003D2B2E" w:rsidRPr="00EC45B8" w14:paraId="4E06D7EB" w14:textId="77777777" w:rsidTr="00A33BBA">
        <w:trPr>
          <w:trHeight w:val="491"/>
        </w:trPr>
        <w:tc>
          <w:tcPr>
            <w:tcW w:w="5000" w:type="pct"/>
            <w:shd w:val="clear" w:color="auto" w:fill="auto"/>
          </w:tcPr>
          <w:p w14:paraId="51769A36" w14:textId="77777777" w:rsidR="003D2B2E" w:rsidRPr="00BD078E" w:rsidRDefault="003D2B2E" w:rsidP="00A33BBA">
            <w:pPr>
              <w:suppressAutoHyphens/>
              <w:spacing w:after="120"/>
              <w:rPr>
                <w:b/>
              </w:rPr>
            </w:pPr>
            <w:r w:rsidRPr="00BD078E">
              <w:rPr>
                <w:b/>
              </w:rPr>
              <w:t>Група 1 «Земельні ділянки»</w:t>
            </w:r>
            <w:r w:rsidRPr="00BD078E">
              <w:t xml:space="preserve"> – земельні ділянки під </w:t>
            </w:r>
            <w:r w:rsidR="007F1886" w:rsidRPr="00BD078E">
              <w:t>САТ</w:t>
            </w:r>
          </w:p>
        </w:tc>
      </w:tr>
      <w:tr w:rsidR="003D2B2E" w:rsidRPr="00EC45B8" w14:paraId="43E80716" w14:textId="77777777" w:rsidTr="00271A60">
        <w:trPr>
          <w:trHeight w:val="2141"/>
        </w:trPr>
        <w:tc>
          <w:tcPr>
            <w:tcW w:w="5000" w:type="pct"/>
            <w:shd w:val="clear" w:color="auto" w:fill="auto"/>
          </w:tcPr>
          <w:p w14:paraId="77962517" w14:textId="77777777" w:rsidR="003D2B2E" w:rsidRPr="00BD078E" w:rsidRDefault="003D2B2E" w:rsidP="00A33BBA">
            <w:pPr>
              <w:suppressAutoHyphens/>
              <w:spacing w:after="120"/>
            </w:pPr>
            <w:r w:rsidRPr="00BD078E">
              <w:rPr>
                <w:b/>
              </w:rPr>
              <w:t>Група 3 «Будівлі, споруди, передавальні пристрої»:</w:t>
            </w:r>
          </w:p>
          <w:p w14:paraId="5619D193" w14:textId="77777777" w:rsidR="0032722F" w:rsidRPr="00BD078E" w:rsidRDefault="003D2B2E" w:rsidP="00A33BBA">
            <w:pPr>
              <w:suppressAutoHyphens/>
              <w:spacing w:after="120"/>
              <w:jc w:val="both"/>
            </w:pPr>
            <w:r w:rsidRPr="00BD078E">
              <w:rPr>
                <w:b/>
                <w:i/>
              </w:rPr>
              <w:t>Будівлі</w:t>
            </w:r>
            <w:r w:rsidRPr="00BD078E">
              <w:rPr>
                <w:b/>
              </w:rPr>
              <w:t xml:space="preserve"> </w:t>
            </w:r>
            <w:r w:rsidRPr="00BD078E">
              <w:t>–</w:t>
            </w:r>
            <w:r w:rsidRPr="00BD078E">
              <w:rPr>
                <w:b/>
              </w:rPr>
              <w:t xml:space="preserve"> </w:t>
            </w:r>
            <w:r w:rsidRPr="00BD078E">
              <w:t>будівл</w:t>
            </w:r>
            <w:r w:rsidR="0032722F" w:rsidRPr="00BD078E">
              <w:t>я/приміщення</w:t>
            </w:r>
            <w:r w:rsidRPr="00BD078E">
              <w:t xml:space="preserve"> котел</w:t>
            </w:r>
            <w:r w:rsidR="0032722F" w:rsidRPr="00BD078E">
              <w:t>ьні</w:t>
            </w:r>
            <w:r w:rsidRPr="00BD078E">
              <w:t xml:space="preserve"> </w:t>
            </w:r>
          </w:p>
          <w:p w14:paraId="3789D5BC" w14:textId="5ADB6C32" w:rsidR="003D2B2E" w:rsidRPr="00BD078E" w:rsidRDefault="003D2B2E" w:rsidP="00A33BBA">
            <w:pPr>
              <w:suppressAutoHyphens/>
              <w:spacing w:after="120"/>
              <w:jc w:val="both"/>
              <w:rPr>
                <w:shd w:val="clear" w:color="auto" w:fill="D9D9D9"/>
              </w:rPr>
            </w:pPr>
            <w:r w:rsidRPr="00BD078E">
              <w:rPr>
                <w:b/>
                <w:i/>
              </w:rPr>
              <w:t>Споруди</w:t>
            </w:r>
            <w:r w:rsidRPr="00BD078E">
              <w:rPr>
                <w:b/>
              </w:rPr>
              <w:t xml:space="preserve"> </w:t>
            </w:r>
            <w:r w:rsidRPr="00BD078E">
              <w:t>–</w:t>
            </w:r>
            <w:r w:rsidRPr="00BD078E">
              <w:rPr>
                <w:b/>
              </w:rPr>
              <w:t xml:space="preserve"> </w:t>
            </w:r>
            <w:r w:rsidRPr="00BD078E">
              <w:t xml:space="preserve">баки, бокси, </w:t>
            </w:r>
            <w:proofErr w:type="spellStart"/>
            <w:r w:rsidRPr="00BD078E">
              <w:t>блискавкозахисні</w:t>
            </w:r>
            <w:proofErr w:type="spellEnd"/>
            <w:r w:rsidRPr="00BD078E">
              <w:t xml:space="preserve"> споруди, димарі і димові труби</w:t>
            </w:r>
            <w:r w:rsidR="0053441D" w:rsidRPr="00BD078E">
              <w:t xml:space="preserve"> </w:t>
            </w:r>
            <w:r w:rsidRPr="00BD078E">
              <w:t>та інші споруди.</w:t>
            </w:r>
          </w:p>
          <w:p w14:paraId="580E9E9E" w14:textId="70318AE7" w:rsidR="003D2B2E" w:rsidRPr="00BD078E" w:rsidRDefault="003D2B2E" w:rsidP="00A33BBA">
            <w:pPr>
              <w:suppressAutoHyphens/>
              <w:spacing w:after="120"/>
              <w:jc w:val="both"/>
            </w:pPr>
            <w:r w:rsidRPr="00BD078E">
              <w:rPr>
                <w:b/>
                <w:i/>
              </w:rPr>
              <w:t>Передавальні пристрої</w:t>
            </w:r>
            <w:r w:rsidRPr="00BD078E">
              <w:t xml:space="preserve"> – газопроводи, газоходи, мережі газопостачання, ГРП, технологічні трубопроводи, електричні мережі освітлення, мережі зв'язку, повітропроводи, водопровідні та каналізаційні мережі, інші передавальні пристрої</w:t>
            </w:r>
          </w:p>
        </w:tc>
      </w:tr>
      <w:tr w:rsidR="00EB718D" w:rsidRPr="00EC45B8" w14:paraId="5B918D33" w14:textId="77777777" w:rsidTr="00307893">
        <w:trPr>
          <w:trHeight w:val="4722"/>
        </w:trPr>
        <w:tc>
          <w:tcPr>
            <w:tcW w:w="5000" w:type="pct"/>
            <w:shd w:val="clear" w:color="auto" w:fill="auto"/>
          </w:tcPr>
          <w:p w14:paraId="3764C237" w14:textId="77777777" w:rsidR="00EB718D" w:rsidRPr="00BD078E" w:rsidRDefault="00EB718D" w:rsidP="00A33BBA">
            <w:pPr>
              <w:suppressAutoHyphens/>
              <w:spacing w:after="120"/>
              <w:rPr>
                <w:b/>
              </w:rPr>
            </w:pPr>
            <w:r w:rsidRPr="00BD078E">
              <w:rPr>
                <w:b/>
              </w:rPr>
              <w:t>Група 4 «Машини та обладнання»:</w:t>
            </w:r>
          </w:p>
          <w:p w14:paraId="2F7B8F0C" w14:textId="77777777" w:rsidR="00EB718D" w:rsidRPr="00BD078E" w:rsidRDefault="00EB718D" w:rsidP="00A33BBA">
            <w:pPr>
              <w:suppressAutoHyphens/>
              <w:spacing w:after="120"/>
              <w:jc w:val="both"/>
            </w:pPr>
            <w:r w:rsidRPr="00BD078E">
              <w:rPr>
                <w:b/>
                <w:i/>
              </w:rPr>
              <w:t xml:space="preserve">Машини </w:t>
            </w:r>
            <w:r w:rsidRPr="00BD078E">
              <w:t xml:space="preserve">– котли, економайзери, елементи котла, вентилятори систем вентиляції, вентилятори пальників, димососи, насоси, вузли обліку (електроенергії, палива, води (водомір)), система </w:t>
            </w:r>
            <w:proofErr w:type="spellStart"/>
            <w:r w:rsidRPr="00BD078E">
              <w:t>водопідготовки</w:t>
            </w:r>
            <w:proofErr w:type="spellEnd"/>
            <w:r w:rsidRPr="00BD078E">
              <w:t>, бойлери, водопідігрівачі, теплообмінники, грязьовики, регулятори тиску, запобіжні клапани, фільтри, вимірювачі тиску, автоматика для котла, датчики (температури, тиску), електродвигуни, електростанції, устаткування для збору та обробки даних з електролічильників, електролічильники, регулятори, підігрівачі, реле тиску, термостати, трансформатори, витратоміри, щит (</w:t>
            </w:r>
            <w:proofErr w:type="spellStart"/>
            <w:r w:rsidRPr="00BD078E">
              <w:t>загальнокотельної</w:t>
            </w:r>
            <w:proofErr w:type="spellEnd"/>
            <w:r w:rsidRPr="00BD078E">
              <w:t xml:space="preserve"> автоматики, управління насосами, освітлення), інші машини, що забезпечують виробництво теплової енергії тощо.</w:t>
            </w:r>
          </w:p>
          <w:p w14:paraId="322B9BBF" w14:textId="77777777" w:rsidR="00EB718D" w:rsidRPr="00BD078E" w:rsidRDefault="00EB718D" w:rsidP="00A33BBA">
            <w:pPr>
              <w:suppressAutoHyphens/>
              <w:spacing w:after="120"/>
              <w:jc w:val="both"/>
            </w:pPr>
            <w:r w:rsidRPr="00BD078E">
              <w:rPr>
                <w:b/>
                <w:i/>
              </w:rPr>
              <w:t>Обладнання</w:t>
            </w:r>
            <w:r w:rsidRPr="00BD078E">
              <w:rPr>
                <w:i/>
              </w:rPr>
              <w:t xml:space="preserve"> </w:t>
            </w:r>
            <w:r w:rsidRPr="00BD078E">
              <w:t>–</w:t>
            </w:r>
            <w:r w:rsidRPr="00BD078E">
              <w:rPr>
                <w:i/>
              </w:rPr>
              <w:t xml:space="preserve"> </w:t>
            </w:r>
            <w:proofErr w:type="spellStart"/>
            <w:r w:rsidRPr="00BD078E">
              <w:t>запірно</w:t>
            </w:r>
            <w:proofErr w:type="spellEnd"/>
            <w:r w:rsidRPr="00BD078E">
              <w:t xml:space="preserve">-регулювальна арматура на котельні з ручним та електромеханічним приводом (засувки, клапани, вентилі, регулятори тиску, МЕО тощо), </w:t>
            </w:r>
            <w:proofErr w:type="spellStart"/>
            <w:r w:rsidRPr="00BD078E">
              <w:t>газорегуляторна</w:t>
            </w:r>
            <w:proofErr w:type="spellEnd"/>
            <w:r w:rsidRPr="00BD078E">
              <w:t xml:space="preserve"> установка, шафова ГРП, електроустаткування та електрообладнання </w:t>
            </w:r>
            <w:r w:rsidR="00F97683" w:rsidRPr="00BD078E">
              <w:t>САТ</w:t>
            </w:r>
            <w:r w:rsidRPr="00BD078E">
              <w:t xml:space="preserve"> (міст, рубильник, силова шафа, силовий щит, трансформатор, щит управління котлом, щит управління КВП і А, автомат та інші), тепломеханічне обладнання </w:t>
            </w:r>
            <w:r w:rsidR="00F97683" w:rsidRPr="00BD078E">
              <w:t>САТ</w:t>
            </w:r>
            <w:r w:rsidRPr="00BD078E">
              <w:t xml:space="preserve">, робоче устаткування </w:t>
            </w:r>
            <w:r w:rsidR="00F97683" w:rsidRPr="00BD078E">
              <w:t>САТ</w:t>
            </w:r>
            <w:r w:rsidRPr="00BD078E">
              <w:t>, агрегат зварювальний (апарат зварювальний), бензоелектричний апарат</w:t>
            </w:r>
            <w:r w:rsidR="00F97683" w:rsidRPr="00BD078E">
              <w:t xml:space="preserve"> </w:t>
            </w:r>
            <w:r w:rsidRPr="00BD078E">
              <w:t>тощо.</w:t>
            </w:r>
          </w:p>
          <w:p w14:paraId="4E02C6CD" w14:textId="77777777" w:rsidR="00EB718D" w:rsidRPr="00BD078E" w:rsidRDefault="00EB718D" w:rsidP="00A33BBA">
            <w:pPr>
              <w:suppressAutoHyphens/>
              <w:spacing w:after="120"/>
              <w:jc w:val="both"/>
              <w:rPr>
                <w:b/>
              </w:rPr>
            </w:pPr>
            <w:r w:rsidRPr="00BD078E">
              <w:rPr>
                <w:b/>
              </w:rPr>
              <w:t>ЕОМ</w:t>
            </w:r>
            <w:r w:rsidRPr="00BD078E">
              <w:t xml:space="preserve"> – міні-АТС, радіостанції, модеми, монітори, ноутбуки, системні блоки тощо</w:t>
            </w:r>
          </w:p>
        </w:tc>
      </w:tr>
      <w:tr w:rsidR="003D2B2E" w:rsidRPr="00EC45B8" w14:paraId="09CC80E2" w14:textId="77777777" w:rsidTr="00A33BBA">
        <w:trPr>
          <w:trHeight w:val="1806"/>
        </w:trPr>
        <w:tc>
          <w:tcPr>
            <w:tcW w:w="5000" w:type="pct"/>
            <w:shd w:val="clear" w:color="auto" w:fill="auto"/>
          </w:tcPr>
          <w:p w14:paraId="79E2B87D" w14:textId="0EBD5C41" w:rsidR="003D2B2E" w:rsidRPr="00BD078E" w:rsidRDefault="003D2B2E" w:rsidP="00A33BBA">
            <w:pPr>
              <w:suppressAutoHyphens/>
              <w:spacing w:after="120"/>
              <w:rPr>
                <w:b/>
              </w:rPr>
            </w:pPr>
            <w:r w:rsidRPr="00BD078E">
              <w:rPr>
                <w:b/>
              </w:rPr>
              <w:t>Група 6 «Інструменти, прилади, інвентар (меблі)»</w:t>
            </w:r>
            <w:r w:rsidRPr="00BD078E">
              <w:t xml:space="preserve"> –</w:t>
            </w:r>
            <w:r w:rsidR="0044470D" w:rsidRPr="00BD078E">
              <w:t xml:space="preserve"> </w:t>
            </w:r>
            <w:r w:rsidRPr="00BD078E">
              <w:t>манометри, витратоміри, водоміри (лічильники води), пульти керування</w:t>
            </w:r>
            <w:r w:rsidR="00862624" w:rsidRPr="00BD078E">
              <w:t xml:space="preserve">, </w:t>
            </w:r>
            <w:r w:rsidRPr="00BD078E">
              <w:t xml:space="preserve">контрольно-вимірювальні прилади (газоаналізатори, датчики, дифманометри, термометри, діафрагми, індикатори, контактори, регулятори та інші), контрольно-вимірювальні прилади і автоматика, перетворювачі тиску (КВП), регулятори, сигналізатори, інвертори, </w:t>
            </w:r>
            <w:proofErr w:type="spellStart"/>
            <w:r w:rsidRPr="00BD078E">
              <w:t>тепловентилятори</w:t>
            </w:r>
            <w:proofErr w:type="spellEnd"/>
            <w:r w:rsidRPr="00BD078E">
              <w:t>, інші інструменти, прилади, інвентар, меблі (шафи, столи, стільці)</w:t>
            </w:r>
          </w:p>
        </w:tc>
      </w:tr>
      <w:tr w:rsidR="003D2B2E" w:rsidRPr="00EC45B8" w14:paraId="12D1D35A" w14:textId="77777777" w:rsidTr="00A33BBA">
        <w:trPr>
          <w:trHeight w:val="448"/>
        </w:trPr>
        <w:tc>
          <w:tcPr>
            <w:tcW w:w="5000" w:type="pct"/>
            <w:shd w:val="clear" w:color="auto" w:fill="auto"/>
          </w:tcPr>
          <w:p w14:paraId="0579201E" w14:textId="77777777" w:rsidR="003D2B2E" w:rsidRPr="00BD078E" w:rsidRDefault="003D2B2E" w:rsidP="00A33BBA">
            <w:pPr>
              <w:suppressAutoHyphens/>
              <w:spacing w:after="120"/>
              <w:rPr>
                <w:b/>
              </w:rPr>
            </w:pPr>
            <w:r w:rsidRPr="00BD078E">
              <w:rPr>
                <w:b/>
              </w:rPr>
              <w:t xml:space="preserve">Група 11 «Малоцінні необоротні матеріальні активи» </w:t>
            </w:r>
            <w:r w:rsidRPr="00BD078E">
              <w:t>– інші основні засоби, які використовуються на об’єктах виробничого призначення, що забезпечують виробництво теплової енергії (</w:t>
            </w:r>
            <w:r w:rsidRPr="00BD078E">
              <w:rPr>
                <w:i/>
              </w:rPr>
              <w:t xml:space="preserve">строк корисного використання яких більше одного року та які </w:t>
            </w:r>
            <w:proofErr w:type="spellStart"/>
            <w:r w:rsidRPr="00BD078E">
              <w:rPr>
                <w:i/>
              </w:rPr>
              <w:t>зa</w:t>
            </w:r>
            <w:proofErr w:type="spellEnd"/>
            <w:r w:rsidRPr="00BD078E">
              <w:rPr>
                <w:i/>
              </w:rPr>
              <w:t xml:space="preserve"> вартісними ознаками зараховано підприємством </w:t>
            </w:r>
            <w:proofErr w:type="spellStart"/>
            <w:r w:rsidRPr="00BD078E">
              <w:rPr>
                <w:i/>
              </w:rPr>
              <w:t>дo</w:t>
            </w:r>
            <w:proofErr w:type="spellEnd"/>
            <w:r w:rsidRPr="00BD078E">
              <w:rPr>
                <w:i/>
              </w:rPr>
              <w:t xml:space="preserve"> складу малоцінних необоротних матеріальних </w:t>
            </w:r>
            <w:proofErr w:type="spellStart"/>
            <w:r w:rsidRPr="00BD078E">
              <w:rPr>
                <w:i/>
              </w:rPr>
              <w:t>активiв</w:t>
            </w:r>
            <w:proofErr w:type="spellEnd"/>
            <w:r w:rsidRPr="00BD078E">
              <w:t>)</w:t>
            </w:r>
          </w:p>
        </w:tc>
      </w:tr>
    </w:tbl>
    <w:p w14:paraId="16A5DCDE" w14:textId="77777777" w:rsidR="00F17BAD" w:rsidRPr="00EC45B8" w:rsidRDefault="00F17BAD" w:rsidP="00032EC0"/>
    <w:sectPr w:rsidR="00F17BAD" w:rsidRPr="00EC45B8" w:rsidSect="00EB718D">
      <w:headerReference w:type="default" r:id="rId7"/>
      <w:pgSz w:w="11906" w:h="16838"/>
      <w:pgMar w:top="1134" w:right="851" w:bottom="1134" w:left="1701" w:header="1134" w:footer="113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088C934" w14:textId="77777777" w:rsidR="00E33207" w:rsidRDefault="00E33207" w:rsidP="00117327">
      <w:r>
        <w:separator/>
      </w:r>
    </w:p>
  </w:endnote>
  <w:endnote w:type="continuationSeparator" w:id="0">
    <w:p w14:paraId="2271C999" w14:textId="77777777" w:rsidR="00E33207" w:rsidRDefault="00E33207" w:rsidP="001173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979D9F3" w14:textId="77777777" w:rsidR="00E33207" w:rsidRDefault="00E33207" w:rsidP="00117327">
      <w:r>
        <w:separator/>
      </w:r>
    </w:p>
  </w:footnote>
  <w:footnote w:type="continuationSeparator" w:id="0">
    <w:p w14:paraId="7A50F5A9" w14:textId="77777777" w:rsidR="00E33207" w:rsidRDefault="00E33207" w:rsidP="001173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80346810"/>
      <w:docPartObj>
        <w:docPartGallery w:val="Page Numbers (Top of Page)"/>
        <w:docPartUnique/>
      </w:docPartObj>
    </w:sdtPr>
    <w:sdtEndPr/>
    <w:sdtContent>
      <w:p w14:paraId="79F9F064" w14:textId="77777777" w:rsidR="00A46449" w:rsidRDefault="00A46449" w:rsidP="00EB718D">
        <w:pPr>
          <w:pStyle w:val="a3"/>
          <w:jc w:val="right"/>
          <w:rPr>
            <w:lang w:val="ru-RU"/>
          </w:rPr>
        </w:pPr>
      </w:p>
      <w:p w14:paraId="0488160E" w14:textId="0EAA5335" w:rsidR="00EB718D" w:rsidRDefault="00117327" w:rsidP="00EB718D">
        <w:pPr>
          <w:pStyle w:val="a3"/>
          <w:ind w:firstLine="4395"/>
        </w:pPr>
        <w:r w:rsidRPr="001C79E9">
          <w:fldChar w:fldCharType="begin"/>
        </w:r>
        <w:r w:rsidRPr="001C79E9">
          <w:instrText>PAGE   \* MERGEFORMAT</w:instrText>
        </w:r>
        <w:r w:rsidRPr="001C79E9">
          <w:fldChar w:fldCharType="separate"/>
        </w:r>
        <w:r w:rsidR="005044A5">
          <w:rPr>
            <w:noProof/>
          </w:rPr>
          <w:t>2</w:t>
        </w:r>
        <w:r w:rsidRPr="001C79E9">
          <w:fldChar w:fldCharType="end"/>
        </w:r>
      </w:p>
      <w:p w14:paraId="73C2D5F3" w14:textId="77777777" w:rsidR="00117327" w:rsidRPr="001C79E9" w:rsidRDefault="00EB718D" w:rsidP="00EB718D">
        <w:pPr>
          <w:pStyle w:val="a3"/>
          <w:ind w:firstLine="4395"/>
          <w:jc w:val="right"/>
        </w:pPr>
        <w:r>
          <w:t>Продовження додатка 1</w:t>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revisionView w:markup="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52914"/>
    <w:rsid w:val="00032EC0"/>
    <w:rsid w:val="00040169"/>
    <w:rsid w:val="000C2A00"/>
    <w:rsid w:val="00117327"/>
    <w:rsid w:val="001C164E"/>
    <w:rsid w:val="001C79E9"/>
    <w:rsid w:val="001F24C6"/>
    <w:rsid w:val="00271A60"/>
    <w:rsid w:val="00307893"/>
    <w:rsid w:val="0032722F"/>
    <w:rsid w:val="003B46A5"/>
    <w:rsid w:val="003D2B2E"/>
    <w:rsid w:val="0044470D"/>
    <w:rsid w:val="005044A5"/>
    <w:rsid w:val="0053441D"/>
    <w:rsid w:val="005537E1"/>
    <w:rsid w:val="00571C9E"/>
    <w:rsid w:val="00614784"/>
    <w:rsid w:val="006369CA"/>
    <w:rsid w:val="006404BE"/>
    <w:rsid w:val="00685523"/>
    <w:rsid w:val="006F7DE7"/>
    <w:rsid w:val="00761047"/>
    <w:rsid w:val="00761E27"/>
    <w:rsid w:val="007B02B8"/>
    <w:rsid w:val="007F1886"/>
    <w:rsid w:val="008236F2"/>
    <w:rsid w:val="0085243F"/>
    <w:rsid w:val="00862624"/>
    <w:rsid w:val="00A46449"/>
    <w:rsid w:val="00A956F3"/>
    <w:rsid w:val="00AB573A"/>
    <w:rsid w:val="00AD38F6"/>
    <w:rsid w:val="00AD6EB1"/>
    <w:rsid w:val="00B34AFD"/>
    <w:rsid w:val="00B35C8A"/>
    <w:rsid w:val="00BD06D2"/>
    <w:rsid w:val="00BD078E"/>
    <w:rsid w:val="00C23D13"/>
    <w:rsid w:val="00C4088C"/>
    <w:rsid w:val="00C54FD9"/>
    <w:rsid w:val="00D23B99"/>
    <w:rsid w:val="00D456ED"/>
    <w:rsid w:val="00D52914"/>
    <w:rsid w:val="00D55D13"/>
    <w:rsid w:val="00E33207"/>
    <w:rsid w:val="00E42633"/>
    <w:rsid w:val="00E52924"/>
    <w:rsid w:val="00E90735"/>
    <w:rsid w:val="00EA2B4F"/>
    <w:rsid w:val="00EB718D"/>
    <w:rsid w:val="00EB7B14"/>
    <w:rsid w:val="00EC3312"/>
    <w:rsid w:val="00EC45B8"/>
    <w:rsid w:val="00F00E2B"/>
    <w:rsid w:val="00F17BAD"/>
    <w:rsid w:val="00F43242"/>
    <w:rsid w:val="00F976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6777A3"/>
  <w15:docId w15:val="{ED5039FA-77A7-4506-BB10-D58CEE351C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32EC0"/>
    <w:pPr>
      <w:spacing w:after="0" w:line="240" w:lineRule="auto"/>
    </w:pPr>
    <w:rPr>
      <w:rFonts w:ascii="Times New Roman" w:eastAsia="Times New Roman" w:hAnsi="Times New Roman" w:cs="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17327"/>
    <w:pPr>
      <w:tabs>
        <w:tab w:val="center" w:pos="4677"/>
        <w:tab w:val="right" w:pos="9355"/>
      </w:tabs>
    </w:pPr>
  </w:style>
  <w:style w:type="character" w:customStyle="1" w:styleId="a4">
    <w:name w:val="Верхній колонтитул Знак"/>
    <w:basedOn w:val="a0"/>
    <w:link w:val="a3"/>
    <w:uiPriority w:val="99"/>
    <w:rsid w:val="00117327"/>
    <w:rPr>
      <w:rFonts w:ascii="Times New Roman" w:eastAsia="Times New Roman" w:hAnsi="Times New Roman" w:cs="Times New Roman"/>
      <w:sz w:val="24"/>
      <w:szCs w:val="24"/>
      <w:lang w:val="uk-UA" w:eastAsia="uk-UA"/>
    </w:rPr>
  </w:style>
  <w:style w:type="paragraph" w:styleId="a5">
    <w:name w:val="footer"/>
    <w:basedOn w:val="a"/>
    <w:link w:val="a6"/>
    <w:uiPriority w:val="99"/>
    <w:unhideWhenUsed/>
    <w:rsid w:val="00117327"/>
    <w:pPr>
      <w:tabs>
        <w:tab w:val="center" w:pos="4677"/>
        <w:tab w:val="right" w:pos="9355"/>
      </w:tabs>
    </w:pPr>
  </w:style>
  <w:style w:type="character" w:customStyle="1" w:styleId="a6">
    <w:name w:val="Нижній колонтитул Знак"/>
    <w:basedOn w:val="a0"/>
    <w:link w:val="a5"/>
    <w:uiPriority w:val="99"/>
    <w:rsid w:val="00117327"/>
    <w:rPr>
      <w:rFonts w:ascii="Times New Roman" w:eastAsia="Times New Roman" w:hAnsi="Times New Roman" w:cs="Times New Roman"/>
      <w:sz w:val="24"/>
      <w:szCs w:val="24"/>
      <w:lang w:val="uk-UA" w:eastAsia="uk-UA"/>
    </w:rPr>
  </w:style>
  <w:style w:type="character" w:styleId="a7">
    <w:name w:val="annotation reference"/>
    <w:basedOn w:val="a0"/>
    <w:uiPriority w:val="99"/>
    <w:semiHidden/>
    <w:unhideWhenUsed/>
    <w:rsid w:val="00D55D13"/>
    <w:rPr>
      <w:sz w:val="16"/>
      <w:szCs w:val="16"/>
    </w:rPr>
  </w:style>
  <w:style w:type="paragraph" w:styleId="a8">
    <w:name w:val="annotation text"/>
    <w:basedOn w:val="a"/>
    <w:link w:val="a9"/>
    <w:uiPriority w:val="99"/>
    <w:semiHidden/>
    <w:unhideWhenUsed/>
    <w:rsid w:val="00D55D13"/>
    <w:rPr>
      <w:sz w:val="20"/>
      <w:szCs w:val="20"/>
    </w:rPr>
  </w:style>
  <w:style w:type="character" w:customStyle="1" w:styleId="a9">
    <w:name w:val="Текст примітки Знак"/>
    <w:basedOn w:val="a0"/>
    <w:link w:val="a8"/>
    <w:uiPriority w:val="99"/>
    <w:semiHidden/>
    <w:rsid w:val="00D55D13"/>
    <w:rPr>
      <w:rFonts w:ascii="Times New Roman" w:eastAsia="Times New Roman" w:hAnsi="Times New Roman" w:cs="Times New Roman"/>
      <w:sz w:val="20"/>
      <w:szCs w:val="20"/>
      <w:lang w:val="uk-UA" w:eastAsia="uk-UA"/>
    </w:rPr>
  </w:style>
  <w:style w:type="paragraph" w:styleId="aa">
    <w:name w:val="annotation subject"/>
    <w:basedOn w:val="a8"/>
    <w:next w:val="a8"/>
    <w:link w:val="ab"/>
    <w:uiPriority w:val="99"/>
    <w:semiHidden/>
    <w:unhideWhenUsed/>
    <w:rsid w:val="00D55D13"/>
    <w:rPr>
      <w:b/>
      <w:bCs/>
    </w:rPr>
  </w:style>
  <w:style w:type="character" w:customStyle="1" w:styleId="ab">
    <w:name w:val="Тема примітки Знак"/>
    <w:basedOn w:val="a9"/>
    <w:link w:val="aa"/>
    <w:uiPriority w:val="99"/>
    <w:semiHidden/>
    <w:rsid w:val="00D55D13"/>
    <w:rPr>
      <w:rFonts w:ascii="Times New Roman" w:eastAsia="Times New Roman" w:hAnsi="Times New Roman" w:cs="Times New Roman"/>
      <w:b/>
      <w:bCs/>
      <w:sz w:val="20"/>
      <w:szCs w:val="20"/>
      <w:lang w:val="uk-UA" w:eastAsia="uk-UA"/>
    </w:rPr>
  </w:style>
  <w:style w:type="paragraph" w:styleId="ac">
    <w:name w:val="Balloon Text"/>
    <w:basedOn w:val="a"/>
    <w:link w:val="ad"/>
    <w:uiPriority w:val="99"/>
    <w:semiHidden/>
    <w:unhideWhenUsed/>
    <w:rsid w:val="00D55D13"/>
    <w:rPr>
      <w:rFonts w:ascii="Segoe UI" w:hAnsi="Segoe UI" w:cs="Segoe UI"/>
      <w:sz w:val="18"/>
      <w:szCs w:val="18"/>
    </w:rPr>
  </w:style>
  <w:style w:type="character" w:customStyle="1" w:styleId="ad">
    <w:name w:val="Текст у виносці Знак"/>
    <w:basedOn w:val="a0"/>
    <w:link w:val="ac"/>
    <w:uiPriority w:val="99"/>
    <w:semiHidden/>
    <w:rsid w:val="00D55D13"/>
    <w:rPr>
      <w:rFonts w:ascii="Segoe UI" w:eastAsia="Times New Roman" w:hAnsi="Segoe UI" w:cs="Segoe UI"/>
      <w:sz w:val="18"/>
      <w:szCs w:val="18"/>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CE7CC3-552B-4B7A-8758-391826B7D3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3</Pages>
  <Words>4698</Words>
  <Characters>2679</Characters>
  <Application>Microsoft Office Word</Application>
  <DocSecurity>0</DocSecurity>
  <Lines>22</Lines>
  <Paragraphs>14</Paragraphs>
  <ScaleCrop>false</ScaleCrop>
  <HeadingPairs>
    <vt:vector size="2" baseType="variant">
      <vt:variant>
        <vt:lpstr>Назва</vt:lpstr>
      </vt:variant>
      <vt:variant>
        <vt:i4>1</vt:i4>
      </vt:variant>
    </vt:vector>
  </HeadingPairs>
  <TitlesOfParts>
    <vt:vector size="1" baseType="lpstr">
      <vt:lpstr/>
    </vt:vector>
  </TitlesOfParts>
  <Company>NCRE</Company>
  <LinksUpToDate>false</LinksUpToDate>
  <CharactersWithSpaces>7363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Улітіч Анастасія Олегівна</dc:creator>
  <cp:lastModifiedBy>Зоя Шульга</cp:lastModifiedBy>
  <cp:revision>23</cp:revision>
  <dcterms:created xsi:type="dcterms:W3CDTF">2023-05-25T15:10:00Z</dcterms:created>
  <dcterms:modified xsi:type="dcterms:W3CDTF">2023-06-07T13:22:00Z</dcterms:modified>
</cp:coreProperties>
</file>