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9B5451" w14:textId="687229CD" w:rsidR="009F531D" w:rsidRDefault="009F531D" w:rsidP="00011824">
      <w:pPr>
        <w:jc w:val="center"/>
        <w:rPr>
          <w:b/>
          <w:szCs w:val="28"/>
        </w:rPr>
      </w:pPr>
      <w:r w:rsidRPr="005077DC">
        <w:rPr>
          <w:b/>
        </w:rPr>
        <w:t>Порівняльна таблиця до проєкту постанови НКРЕКП «</w:t>
      </w:r>
      <w:r w:rsidRPr="005077DC">
        <w:rPr>
          <w:b/>
          <w:szCs w:val="28"/>
        </w:rPr>
        <w:t xml:space="preserve">Про внесення змін до </w:t>
      </w:r>
      <w:r w:rsidR="00011824">
        <w:rPr>
          <w:b/>
          <w:szCs w:val="28"/>
        </w:rPr>
        <w:t>Кодексу газорозподільних систем</w:t>
      </w:r>
      <w:r w:rsidRPr="005077DC">
        <w:rPr>
          <w:b/>
          <w:szCs w:val="28"/>
        </w:rPr>
        <w:t>»</w:t>
      </w:r>
    </w:p>
    <w:p w14:paraId="45AF2E8B" w14:textId="6C997245" w:rsidR="009F531D" w:rsidRDefault="009F531D"/>
    <w:tbl>
      <w:tblPr>
        <w:tblStyle w:val="a3"/>
        <w:tblW w:w="0" w:type="auto"/>
        <w:tblLook w:val="04A0" w:firstRow="1" w:lastRow="0" w:firstColumn="1" w:lastColumn="0" w:noHBand="0" w:noVBand="1"/>
      </w:tblPr>
      <w:tblGrid>
        <w:gridCol w:w="6354"/>
        <w:gridCol w:w="8774"/>
      </w:tblGrid>
      <w:tr w:rsidR="00277949" w14:paraId="29558FBE" w14:textId="77777777" w:rsidTr="00E877D0">
        <w:tc>
          <w:tcPr>
            <w:tcW w:w="7349" w:type="dxa"/>
          </w:tcPr>
          <w:p w14:paraId="4EC7AC36" w14:textId="04E9E541" w:rsidR="00277949" w:rsidRDefault="00277949" w:rsidP="0096058E">
            <w:pPr>
              <w:jc w:val="center"/>
            </w:pPr>
            <w:r w:rsidRPr="00317CDD">
              <w:rPr>
                <w:b/>
              </w:rPr>
              <w:t xml:space="preserve">Поточна редакція </w:t>
            </w:r>
            <w:r w:rsidR="004B5BEA">
              <w:rPr>
                <w:b/>
              </w:rPr>
              <w:t>Кодексу газорозподільних систем</w:t>
            </w:r>
          </w:p>
        </w:tc>
        <w:tc>
          <w:tcPr>
            <w:tcW w:w="7779" w:type="dxa"/>
          </w:tcPr>
          <w:p w14:paraId="5D2681FC" w14:textId="20B3E797" w:rsidR="00277949" w:rsidRDefault="00CB1122" w:rsidP="00277949">
            <w:pPr>
              <w:jc w:val="center"/>
            </w:pPr>
            <w:r>
              <w:rPr>
                <w:b/>
              </w:rPr>
              <w:t>Зміст положень Проєкту постанови</w:t>
            </w:r>
          </w:p>
        </w:tc>
      </w:tr>
      <w:tr w:rsidR="000D435B" w14:paraId="00313EAD" w14:textId="77777777" w:rsidTr="009E0B52">
        <w:tc>
          <w:tcPr>
            <w:tcW w:w="15128" w:type="dxa"/>
            <w:gridSpan w:val="2"/>
          </w:tcPr>
          <w:p w14:paraId="17FA80F0" w14:textId="07EAF721" w:rsidR="000D435B" w:rsidRDefault="000D435B" w:rsidP="000D435B">
            <w:pPr>
              <w:jc w:val="center"/>
              <w:rPr>
                <w:b/>
              </w:rPr>
            </w:pPr>
            <w:r w:rsidRPr="000D435B">
              <w:rPr>
                <w:b/>
              </w:rPr>
              <w:t>I. Загальні положення</w:t>
            </w:r>
          </w:p>
        </w:tc>
      </w:tr>
      <w:tr w:rsidR="00331BD9" w14:paraId="2656DFAB" w14:textId="77777777" w:rsidTr="00DF4FDF">
        <w:tc>
          <w:tcPr>
            <w:tcW w:w="15128" w:type="dxa"/>
            <w:gridSpan w:val="2"/>
          </w:tcPr>
          <w:p w14:paraId="0EC13D3C" w14:textId="602E1266" w:rsidR="00331BD9" w:rsidRPr="00331BD9" w:rsidRDefault="00331BD9" w:rsidP="00331BD9">
            <w:pPr>
              <w:jc w:val="center"/>
              <w:rPr>
                <w:b/>
              </w:rPr>
            </w:pPr>
            <w:r w:rsidRPr="00331BD9">
              <w:rPr>
                <w:b/>
              </w:rPr>
              <w:t>V. Порядок приєднання об’єктів замовників (технічного доступу) до ГРМ</w:t>
            </w:r>
          </w:p>
        </w:tc>
      </w:tr>
      <w:tr w:rsidR="008B2DAB" w14:paraId="5AECDA49" w14:textId="77777777" w:rsidTr="00E877D0">
        <w:tc>
          <w:tcPr>
            <w:tcW w:w="7349" w:type="dxa"/>
          </w:tcPr>
          <w:p w14:paraId="3C0E76D3" w14:textId="77777777" w:rsidR="008B2DAB" w:rsidRPr="005F7909" w:rsidRDefault="005F7909" w:rsidP="00277949">
            <w:pPr>
              <w:rPr>
                <w:i/>
              </w:rPr>
            </w:pPr>
            <w:r w:rsidRPr="005F7909">
              <w:rPr>
                <w:i/>
              </w:rPr>
              <w:t>Пункт 2 глави 1 розділу V</w:t>
            </w:r>
          </w:p>
          <w:p w14:paraId="5874E181" w14:textId="4B36A96D" w:rsidR="005F7909" w:rsidRPr="005F7909" w:rsidRDefault="005F7909" w:rsidP="00277949">
            <w:r>
              <w:t xml:space="preserve">2. </w:t>
            </w:r>
            <w:r w:rsidRPr="005F7909">
              <w:t xml:space="preserve">Об’єкти (установки) газодобувних підприємств та виробників біометану або інших видів газу з альтернативних джерел, які мають намір приєднатися з метою передачі видобутого/виробленого ними газу до ГРМ, приєднуються з урахуванням того, що видобутий/вироблений ними газ в місці його передачі до ГРМ за своїми фізико-хімічними характеристиками має відповідати нормативно-правовим актам, що регулюють питання якості природного газу. Якщо у місці передачі із потужністю більше 3000 </w:t>
            </w:r>
            <w:proofErr w:type="spellStart"/>
            <w:r w:rsidRPr="005F7909">
              <w:t>куб.м</w:t>
            </w:r>
            <w:proofErr w:type="spellEnd"/>
            <w:r w:rsidRPr="005F7909">
              <w:t xml:space="preserve">/год, таке місце передачі газу має бути обладнано приладами (зокрема хроматографом, потоковим </w:t>
            </w:r>
            <w:proofErr w:type="spellStart"/>
            <w:r w:rsidRPr="005F7909">
              <w:t>густиноміром</w:t>
            </w:r>
            <w:proofErr w:type="spellEnd"/>
            <w:r w:rsidRPr="005F7909">
              <w:t>, вимірювачем точки роси), які на безперервній основі забезпечують контроль фізико-хімічних показників газу, з можливістю дистанційного їх контролю, передачі даних та припинення подачі неякісного газу до ГРМ. В іншому випадку місця передачі облаштовуються місцями відбору проб для визначення ФХП.</w:t>
            </w:r>
          </w:p>
        </w:tc>
        <w:tc>
          <w:tcPr>
            <w:tcW w:w="7779" w:type="dxa"/>
          </w:tcPr>
          <w:p w14:paraId="48252C96" w14:textId="77777777" w:rsidR="008B2DAB" w:rsidRDefault="008B2DAB" w:rsidP="00277949"/>
          <w:p w14:paraId="5225506D" w14:textId="77777777" w:rsidR="005F7909" w:rsidRDefault="005F7909" w:rsidP="00277949">
            <w:r>
              <w:t xml:space="preserve">2. </w:t>
            </w:r>
            <w:r w:rsidRPr="005F7909">
              <w:t xml:space="preserve">Об’єкти (установки) газодобувних підприємств та виробників біометану або інших видів газу з альтернативних джерел, які мають намір приєднатися з метою передачі видобутого/виробленого ними газу до ГРМ, приєднуються з урахуванням того, що видобутий/вироблений ними газ в місці його передачі до ГРМ за своїми фізико-хімічними характеристиками має відповідати нормативно-правовим актам, що регулюють питання якості природного газу. Якщо у місці передачі із потужністю більше 3000 </w:t>
            </w:r>
            <w:proofErr w:type="spellStart"/>
            <w:r w:rsidRPr="005F7909">
              <w:t>куб.м</w:t>
            </w:r>
            <w:proofErr w:type="spellEnd"/>
            <w:r w:rsidRPr="005F7909">
              <w:t xml:space="preserve">/год, таке місце передачі газу має бути обладнано приладами (зокрема хроматографом, потоковим </w:t>
            </w:r>
            <w:proofErr w:type="spellStart"/>
            <w:r w:rsidRPr="005F7909">
              <w:t>густиноміром</w:t>
            </w:r>
            <w:proofErr w:type="spellEnd"/>
            <w:r w:rsidRPr="005F7909">
              <w:t>, вимірювачем точки роси), які на безперервній основі забезпечують контроль фізико-хімічних показників газу, з можливістю дистанційного їх контролю, передачі даних та припинення подачі неякісного газу до ГРМ. В іншому випадку місця передачі облаштовуються місцями відбору проб для визначення ФХП.</w:t>
            </w:r>
          </w:p>
          <w:p w14:paraId="21622DA5" w14:textId="77777777" w:rsidR="00152D1B" w:rsidRDefault="00152D1B" w:rsidP="00277949">
            <w:pPr>
              <w:rPr>
                <w:b/>
              </w:rPr>
            </w:pPr>
            <w:r w:rsidRPr="00152D1B">
              <w:rPr>
                <w:b/>
              </w:rPr>
              <w:t xml:space="preserve">Приєднання об’єктів (установок) виробників біометану та/або інших видів газу з альтернативних джерел до ГРМ здійснюється на підставі договору на приєднання, що укладається за формою, наведеною у додатку 16 до цього Кодексу. При цьому невід’ємною частиною договору на приєднання є технічні умови приєднання (додаток 18), які визначають вихідні дані для проєктування газових мереж зовнішнього газопостачання від місця забезпечення потужності до точки приєднання, які будуються Оператором ГРМ, та вихідні дані для проєктування газових мереж внутрішнього газопостачання об’єкта замовника від точки приєднання до </w:t>
            </w:r>
            <w:r w:rsidRPr="00152D1B">
              <w:rPr>
                <w:b/>
              </w:rPr>
              <w:lastRenderedPageBreak/>
              <w:t>обладнання замовника. Будівництво та введення в експлуатацію газових мереж внутрішнього газопостачання забезпечується замовником.</w:t>
            </w:r>
          </w:p>
          <w:p w14:paraId="16FBF4D9" w14:textId="3CF68A67" w:rsidR="008E357C" w:rsidRPr="00304E60" w:rsidRDefault="008E357C" w:rsidP="00277949">
            <w:pPr>
              <w:rPr>
                <w:i/>
              </w:rPr>
            </w:pPr>
          </w:p>
        </w:tc>
      </w:tr>
      <w:tr w:rsidR="00517387" w14:paraId="6A1179BD" w14:textId="77777777" w:rsidTr="00E877D0">
        <w:tc>
          <w:tcPr>
            <w:tcW w:w="7349" w:type="dxa"/>
          </w:tcPr>
          <w:p w14:paraId="5AB4FCBC" w14:textId="541ADF7C" w:rsidR="00517387" w:rsidRPr="001C5B8B" w:rsidRDefault="00517387" w:rsidP="001C5B8B">
            <w:pPr>
              <w:rPr>
                <w:i/>
              </w:rPr>
            </w:pPr>
            <w:r>
              <w:rPr>
                <w:i/>
              </w:rPr>
              <w:lastRenderedPageBreak/>
              <w:t>Норма відсутня</w:t>
            </w:r>
          </w:p>
        </w:tc>
        <w:tc>
          <w:tcPr>
            <w:tcW w:w="7779" w:type="dxa"/>
          </w:tcPr>
          <w:p w14:paraId="24D49186" w14:textId="12162F47" w:rsidR="002A2130" w:rsidRPr="002A2130" w:rsidRDefault="002A2130" w:rsidP="002A2130">
            <w:pPr>
              <w:jc w:val="left"/>
              <w:rPr>
                <w:i/>
              </w:rPr>
            </w:pPr>
            <w:r w:rsidRPr="002A2130">
              <w:rPr>
                <w:i/>
              </w:rPr>
              <w:t>Доповнити новим додатком 18. У зв’язку з цим додатки 18 – 21 вважати додатками 19 – 22.</w:t>
            </w:r>
          </w:p>
          <w:p w14:paraId="6C509282" w14:textId="51E6582B" w:rsidR="00517387" w:rsidRDefault="00517387" w:rsidP="000F48B4">
            <w:pPr>
              <w:jc w:val="center"/>
            </w:pPr>
          </w:p>
        </w:tc>
      </w:tr>
      <w:tr w:rsidR="000F48B4" w14:paraId="30846D57" w14:textId="77777777" w:rsidTr="00E877D0">
        <w:tc>
          <w:tcPr>
            <w:tcW w:w="7349" w:type="dxa"/>
          </w:tcPr>
          <w:p w14:paraId="4E4F0723" w14:textId="77777777" w:rsidR="000F48B4" w:rsidRDefault="000F48B4" w:rsidP="001C5B8B">
            <w:pPr>
              <w:rPr>
                <w:i/>
              </w:rPr>
            </w:pPr>
          </w:p>
        </w:tc>
        <w:tc>
          <w:tcPr>
            <w:tcW w:w="7779" w:type="dxa"/>
          </w:tcPr>
          <w:p w14:paraId="48D1B7C9" w14:textId="3EB116A9" w:rsidR="000F48B4" w:rsidRPr="00517387" w:rsidRDefault="00A56E09" w:rsidP="000F48B4">
            <w:pPr>
              <w:jc w:val="center"/>
              <w:rPr>
                <w:noProof/>
              </w:rPr>
            </w:pPr>
            <w:r w:rsidRPr="00A56E09">
              <w:rPr>
                <w:noProof/>
              </w:rPr>
              <w:drawing>
                <wp:inline distT="0" distB="0" distL="0" distR="0" wp14:anchorId="733C93B4" wp14:editId="357E05CB">
                  <wp:extent cx="3928745" cy="674751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928745" cy="6747510"/>
                          </a:xfrm>
                          <a:prstGeom prst="rect">
                            <a:avLst/>
                          </a:prstGeom>
                          <a:noFill/>
                          <a:ln>
                            <a:noFill/>
                          </a:ln>
                        </pic:spPr>
                      </pic:pic>
                    </a:graphicData>
                  </a:graphic>
                </wp:inline>
              </w:drawing>
            </w:r>
          </w:p>
        </w:tc>
      </w:tr>
      <w:tr w:rsidR="000F48B4" w14:paraId="4E5EBC07" w14:textId="77777777" w:rsidTr="00E877D0">
        <w:tc>
          <w:tcPr>
            <w:tcW w:w="7349" w:type="dxa"/>
          </w:tcPr>
          <w:p w14:paraId="433D5B9B" w14:textId="77777777" w:rsidR="000F48B4" w:rsidRDefault="000F48B4" w:rsidP="001C5B8B">
            <w:pPr>
              <w:rPr>
                <w:i/>
              </w:rPr>
            </w:pPr>
          </w:p>
        </w:tc>
        <w:tc>
          <w:tcPr>
            <w:tcW w:w="7779" w:type="dxa"/>
          </w:tcPr>
          <w:p w14:paraId="23F02240" w14:textId="688E90EB" w:rsidR="000F48B4" w:rsidRPr="000F48B4" w:rsidRDefault="00A56E09" w:rsidP="000F48B4">
            <w:pPr>
              <w:jc w:val="center"/>
              <w:rPr>
                <w:noProof/>
              </w:rPr>
            </w:pPr>
            <w:r w:rsidRPr="00A56E09">
              <w:rPr>
                <w:noProof/>
              </w:rPr>
              <w:drawing>
                <wp:inline distT="0" distB="0" distL="0" distR="0" wp14:anchorId="4D342DF5" wp14:editId="63D11E91">
                  <wp:extent cx="4802505" cy="674624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02505" cy="6746240"/>
                          </a:xfrm>
                          <a:prstGeom prst="rect">
                            <a:avLst/>
                          </a:prstGeom>
                          <a:noFill/>
                          <a:ln>
                            <a:noFill/>
                          </a:ln>
                        </pic:spPr>
                      </pic:pic>
                    </a:graphicData>
                  </a:graphic>
                </wp:inline>
              </w:drawing>
            </w:r>
          </w:p>
        </w:tc>
      </w:tr>
      <w:tr w:rsidR="000F48B4" w14:paraId="4E6A2914" w14:textId="77777777" w:rsidTr="00E877D0">
        <w:tc>
          <w:tcPr>
            <w:tcW w:w="7349" w:type="dxa"/>
          </w:tcPr>
          <w:p w14:paraId="367DD510" w14:textId="77777777" w:rsidR="000F48B4" w:rsidRDefault="000F48B4" w:rsidP="001C5B8B">
            <w:pPr>
              <w:rPr>
                <w:i/>
              </w:rPr>
            </w:pPr>
          </w:p>
        </w:tc>
        <w:tc>
          <w:tcPr>
            <w:tcW w:w="7779" w:type="dxa"/>
          </w:tcPr>
          <w:p w14:paraId="1463A97F" w14:textId="09F58683" w:rsidR="000F48B4" w:rsidRPr="000F48B4" w:rsidRDefault="00A56E09" w:rsidP="000F48B4">
            <w:pPr>
              <w:jc w:val="center"/>
              <w:rPr>
                <w:noProof/>
              </w:rPr>
            </w:pPr>
            <w:r w:rsidRPr="00A56E09">
              <w:rPr>
                <w:noProof/>
              </w:rPr>
              <w:drawing>
                <wp:inline distT="0" distB="0" distL="0" distR="0" wp14:anchorId="6F20EA33" wp14:editId="6605DCD3">
                  <wp:extent cx="4815840" cy="6743700"/>
                  <wp:effectExtent l="0" t="0" r="381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15840" cy="6743700"/>
                          </a:xfrm>
                          <a:prstGeom prst="rect">
                            <a:avLst/>
                          </a:prstGeom>
                          <a:noFill/>
                          <a:ln>
                            <a:noFill/>
                          </a:ln>
                        </pic:spPr>
                      </pic:pic>
                    </a:graphicData>
                  </a:graphic>
                </wp:inline>
              </w:drawing>
            </w:r>
          </w:p>
        </w:tc>
      </w:tr>
      <w:tr w:rsidR="000F48B4" w14:paraId="109A551B" w14:textId="77777777" w:rsidTr="00E877D0">
        <w:tc>
          <w:tcPr>
            <w:tcW w:w="7349" w:type="dxa"/>
          </w:tcPr>
          <w:p w14:paraId="4DBB324B" w14:textId="77777777" w:rsidR="000F48B4" w:rsidRDefault="000F48B4" w:rsidP="001C5B8B">
            <w:pPr>
              <w:rPr>
                <w:i/>
              </w:rPr>
            </w:pPr>
          </w:p>
        </w:tc>
        <w:tc>
          <w:tcPr>
            <w:tcW w:w="7779" w:type="dxa"/>
          </w:tcPr>
          <w:p w14:paraId="2185444F" w14:textId="2CA06166" w:rsidR="000F48B4" w:rsidRPr="000F48B4" w:rsidRDefault="008B262A" w:rsidP="000F48B4">
            <w:pPr>
              <w:jc w:val="center"/>
              <w:rPr>
                <w:noProof/>
              </w:rPr>
            </w:pPr>
            <w:r w:rsidRPr="008B262A">
              <w:rPr>
                <w:noProof/>
              </w:rPr>
              <w:drawing>
                <wp:inline distT="0" distB="0" distL="0" distR="0" wp14:anchorId="476410B9" wp14:editId="7C498C82">
                  <wp:extent cx="5038725" cy="6743065"/>
                  <wp:effectExtent l="0" t="0" r="9525" b="63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38725" cy="6743065"/>
                          </a:xfrm>
                          <a:prstGeom prst="rect">
                            <a:avLst/>
                          </a:prstGeom>
                          <a:noFill/>
                          <a:ln>
                            <a:noFill/>
                          </a:ln>
                        </pic:spPr>
                      </pic:pic>
                    </a:graphicData>
                  </a:graphic>
                </wp:inline>
              </w:drawing>
            </w:r>
          </w:p>
        </w:tc>
      </w:tr>
      <w:tr w:rsidR="008B262A" w14:paraId="5E8AD71D" w14:textId="77777777" w:rsidTr="00E877D0">
        <w:tc>
          <w:tcPr>
            <w:tcW w:w="7349" w:type="dxa"/>
          </w:tcPr>
          <w:p w14:paraId="1CBBF6BA" w14:textId="77777777" w:rsidR="008B262A" w:rsidRDefault="008B262A" w:rsidP="001C5B8B">
            <w:pPr>
              <w:rPr>
                <w:i/>
              </w:rPr>
            </w:pPr>
          </w:p>
        </w:tc>
        <w:tc>
          <w:tcPr>
            <w:tcW w:w="7779" w:type="dxa"/>
          </w:tcPr>
          <w:p w14:paraId="71F4FC95" w14:textId="73F62311" w:rsidR="008B262A" w:rsidRPr="008B262A" w:rsidRDefault="008B262A" w:rsidP="000F48B4">
            <w:pPr>
              <w:jc w:val="center"/>
              <w:rPr>
                <w:noProof/>
              </w:rPr>
            </w:pPr>
            <w:bookmarkStart w:id="0" w:name="_GoBack"/>
            <w:r w:rsidRPr="008B262A">
              <w:rPr>
                <w:noProof/>
              </w:rPr>
              <w:drawing>
                <wp:inline distT="0" distB="0" distL="0" distR="0" wp14:anchorId="3971AE2D" wp14:editId="0B47466A">
                  <wp:extent cx="5434659" cy="36576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40443" cy="3661493"/>
                          </a:xfrm>
                          <a:prstGeom prst="rect">
                            <a:avLst/>
                          </a:prstGeom>
                          <a:noFill/>
                          <a:ln>
                            <a:noFill/>
                          </a:ln>
                        </pic:spPr>
                      </pic:pic>
                    </a:graphicData>
                  </a:graphic>
                </wp:inline>
              </w:drawing>
            </w:r>
            <w:bookmarkEnd w:id="0"/>
          </w:p>
        </w:tc>
      </w:tr>
    </w:tbl>
    <w:p w14:paraId="55C1B0DC" w14:textId="77777777" w:rsidR="009F531D" w:rsidRDefault="009F531D"/>
    <w:sectPr w:rsidR="009F531D" w:rsidSect="000D435B">
      <w:pgSz w:w="16838" w:h="11906" w:orient="landscape"/>
      <w:pgMar w:top="709" w:right="850" w:bottom="567" w:left="85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D39"/>
    <w:rsid w:val="00011824"/>
    <w:rsid w:val="00027A76"/>
    <w:rsid w:val="00027B47"/>
    <w:rsid w:val="00035253"/>
    <w:rsid w:val="00042D48"/>
    <w:rsid w:val="00076F7D"/>
    <w:rsid w:val="00082BD6"/>
    <w:rsid w:val="000B098F"/>
    <w:rsid w:val="000C0BAD"/>
    <w:rsid w:val="000D435B"/>
    <w:rsid w:val="000F48B4"/>
    <w:rsid w:val="00124306"/>
    <w:rsid w:val="001521CB"/>
    <w:rsid w:val="00152D1B"/>
    <w:rsid w:val="001C5B8B"/>
    <w:rsid w:val="001F5CD6"/>
    <w:rsid w:val="0022072C"/>
    <w:rsid w:val="00243989"/>
    <w:rsid w:val="00261D1B"/>
    <w:rsid w:val="00272301"/>
    <w:rsid w:val="00276B65"/>
    <w:rsid w:val="00277949"/>
    <w:rsid w:val="00282630"/>
    <w:rsid w:val="002862B5"/>
    <w:rsid w:val="002950DB"/>
    <w:rsid w:val="002A2130"/>
    <w:rsid w:val="002B3B4F"/>
    <w:rsid w:val="002B797B"/>
    <w:rsid w:val="00304E60"/>
    <w:rsid w:val="00320553"/>
    <w:rsid w:val="00331BD9"/>
    <w:rsid w:val="00341444"/>
    <w:rsid w:val="00353765"/>
    <w:rsid w:val="003C2886"/>
    <w:rsid w:val="003F6B5B"/>
    <w:rsid w:val="004241FD"/>
    <w:rsid w:val="00446931"/>
    <w:rsid w:val="00452F69"/>
    <w:rsid w:val="00454396"/>
    <w:rsid w:val="004B5BEA"/>
    <w:rsid w:val="004F4DE0"/>
    <w:rsid w:val="00515621"/>
    <w:rsid w:val="00517387"/>
    <w:rsid w:val="00542313"/>
    <w:rsid w:val="005666BC"/>
    <w:rsid w:val="00571480"/>
    <w:rsid w:val="00583E21"/>
    <w:rsid w:val="005A319C"/>
    <w:rsid w:val="005D250B"/>
    <w:rsid w:val="005D608C"/>
    <w:rsid w:val="005D63B3"/>
    <w:rsid w:val="005F7909"/>
    <w:rsid w:val="0060429E"/>
    <w:rsid w:val="00641407"/>
    <w:rsid w:val="006B584D"/>
    <w:rsid w:val="006F0D02"/>
    <w:rsid w:val="007136E2"/>
    <w:rsid w:val="007407AA"/>
    <w:rsid w:val="00765DF3"/>
    <w:rsid w:val="00771238"/>
    <w:rsid w:val="007B0FCA"/>
    <w:rsid w:val="007D0FB2"/>
    <w:rsid w:val="007D7696"/>
    <w:rsid w:val="007E2556"/>
    <w:rsid w:val="007F0E08"/>
    <w:rsid w:val="00807265"/>
    <w:rsid w:val="00824EC6"/>
    <w:rsid w:val="0083386B"/>
    <w:rsid w:val="008809B4"/>
    <w:rsid w:val="008844DB"/>
    <w:rsid w:val="008A5367"/>
    <w:rsid w:val="008B262A"/>
    <w:rsid w:val="008B2DAB"/>
    <w:rsid w:val="008B50D8"/>
    <w:rsid w:val="008C1FC4"/>
    <w:rsid w:val="008E357C"/>
    <w:rsid w:val="00927859"/>
    <w:rsid w:val="009309BF"/>
    <w:rsid w:val="00950D39"/>
    <w:rsid w:val="0096058E"/>
    <w:rsid w:val="009663B6"/>
    <w:rsid w:val="009A1137"/>
    <w:rsid w:val="009E78DC"/>
    <w:rsid w:val="009F531D"/>
    <w:rsid w:val="00A060A4"/>
    <w:rsid w:val="00A13F56"/>
    <w:rsid w:val="00A16CC3"/>
    <w:rsid w:val="00A452BA"/>
    <w:rsid w:val="00A56485"/>
    <w:rsid w:val="00A56E09"/>
    <w:rsid w:val="00A742A9"/>
    <w:rsid w:val="00A968D8"/>
    <w:rsid w:val="00AC2E8F"/>
    <w:rsid w:val="00AE4298"/>
    <w:rsid w:val="00B20F33"/>
    <w:rsid w:val="00B2217E"/>
    <w:rsid w:val="00B24C4B"/>
    <w:rsid w:val="00B50BD2"/>
    <w:rsid w:val="00B55A66"/>
    <w:rsid w:val="00B66B0E"/>
    <w:rsid w:val="00B72256"/>
    <w:rsid w:val="00BB0B6B"/>
    <w:rsid w:val="00BB5C2D"/>
    <w:rsid w:val="00BF53BF"/>
    <w:rsid w:val="00BF72B1"/>
    <w:rsid w:val="00C10038"/>
    <w:rsid w:val="00C71092"/>
    <w:rsid w:val="00C814E5"/>
    <w:rsid w:val="00C84FB5"/>
    <w:rsid w:val="00C978AF"/>
    <w:rsid w:val="00CA2DC2"/>
    <w:rsid w:val="00CB1122"/>
    <w:rsid w:val="00CE7710"/>
    <w:rsid w:val="00CF16E2"/>
    <w:rsid w:val="00D018F9"/>
    <w:rsid w:val="00D150F0"/>
    <w:rsid w:val="00D30842"/>
    <w:rsid w:val="00D37499"/>
    <w:rsid w:val="00D5099F"/>
    <w:rsid w:val="00D5582F"/>
    <w:rsid w:val="00D82DBD"/>
    <w:rsid w:val="00D97A9D"/>
    <w:rsid w:val="00DA1EA9"/>
    <w:rsid w:val="00DA45E3"/>
    <w:rsid w:val="00DB1966"/>
    <w:rsid w:val="00DB465C"/>
    <w:rsid w:val="00DD6FB6"/>
    <w:rsid w:val="00E120E1"/>
    <w:rsid w:val="00E25E68"/>
    <w:rsid w:val="00E262D6"/>
    <w:rsid w:val="00E31613"/>
    <w:rsid w:val="00E415EB"/>
    <w:rsid w:val="00E41D70"/>
    <w:rsid w:val="00E45A84"/>
    <w:rsid w:val="00E65006"/>
    <w:rsid w:val="00E67A81"/>
    <w:rsid w:val="00E877D0"/>
    <w:rsid w:val="00E92B9F"/>
    <w:rsid w:val="00EB2C0F"/>
    <w:rsid w:val="00ED147F"/>
    <w:rsid w:val="00F01552"/>
    <w:rsid w:val="00F1094B"/>
    <w:rsid w:val="00F20520"/>
    <w:rsid w:val="00F21EFA"/>
    <w:rsid w:val="00F63360"/>
    <w:rsid w:val="00F87085"/>
    <w:rsid w:val="00F9457B"/>
    <w:rsid w:val="00FA6C1D"/>
    <w:rsid w:val="00FD361A"/>
    <w:rsid w:val="00FD38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AFB28CF"/>
  <w15:chartTrackingRefBased/>
  <w15:docId w15:val="{FD0A72DC-F4D2-4DAA-97A5-4366A800C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0E08"/>
    <w:pPr>
      <w:spacing w:after="40"/>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F5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353765"/>
    <w:rPr>
      <w:sz w:val="16"/>
      <w:szCs w:val="16"/>
    </w:rPr>
  </w:style>
  <w:style w:type="paragraph" w:styleId="a5">
    <w:name w:val="annotation text"/>
    <w:basedOn w:val="a"/>
    <w:link w:val="a6"/>
    <w:uiPriority w:val="99"/>
    <w:semiHidden/>
    <w:unhideWhenUsed/>
    <w:rsid w:val="00353765"/>
    <w:pPr>
      <w:spacing w:line="240" w:lineRule="auto"/>
    </w:pPr>
    <w:rPr>
      <w:sz w:val="20"/>
      <w:szCs w:val="20"/>
    </w:rPr>
  </w:style>
  <w:style w:type="character" w:customStyle="1" w:styleId="a6">
    <w:name w:val="Текст примітки Знак"/>
    <w:basedOn w:val="a0"/>
    <w:link w:val="a5"/>
    <w:uiPriority w:val="99"/>
    <w:semiHidden/>
    <w:rsid w:val="00353765"/>
    <w:rPr>
      <w:rFonts w:ascii="Times New Roman" w:hAnsi="Times New Roman"/>
      <w:sz w:val="20"/>
      <w:szCs w:val="20"/>
    </w:rPr>
  </w:style>
  <w:style w:type="paragraph" w:styleId="a7">
    <w:name w:val="annotation subject"/>
    <w:basedOn w:val="a5"/>
    <w:next w:val="a5"/>
    <w:link w:val="a8"/>
    <w:uiPriority w:val="99"/>
    <w:semiHidden/>
    <w:unhideWhenUsed/>
    <w:rsid w:val="00353765"/>
    <w:rPr>
      <w:b/>
      <w:bCs/>
    </w:rPr>
  </w:style>
  <w:style w:type="character" w:customStyle="1" w:styleId="a8">
    <w:name w:val="Тема примітки Знак"/>
    <w:basedOn w:val="a6"/>
    <w:link w:val="a7"/>
    <w:uiPriority w:val="99"/>
    <w:semiHidden/>
    <w:rsid w:val="00353765"/>
    <w:rPr>
      <w:rFonts w:ascii="Times New Roman" w:hAnsi="Times New Roman"/>
      <w:b/>
      <w:bCs/>
      <w:sz w:val="20"/>
      <w:szCs w:val="20"/>
    </w:rPr>
  </w:style>
  <w:style w:type="paragraph" w:styleId="a9">
    <w:name w:val="Revision"/>
    <w:hidden/>
    <w:uiPriority w:val="99"/>
    <w:semiHidden/>
    <w:rsid w:val="00353765"/>
    <w:pPr>
      <w:spacing w:after="0" w:line="240" w:lineRule="auto"/>
    </w:pPr>
    <w:rPr>
      <w:rFonts w:ascii="Times New Roman" w:hAnsi="Times New Roman"/>
      <w:sz w:val="28"/>
    </w:rPr>
  </w:style>
  <w:style w:type="paragraph" w:styleId="aa">
    <w:name w:val="Balloon Text"/>
    <w:basedOn w:val="a"/>
    <w:link w:val="ab"/>
    <w:uiPriority w:val="99"/>
    <w:semiHidden/>
    <w:unhideWhenUsed/>
    <w:rsid w:val="00353765"/>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3537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964178">
      <w:bodyDiv w:val="1"/>
      <w:marLeft w:val="0"/>
      <w:marRight w:val="0"/>
      <w:marTop w:val="0"/>
      <w:marBottom w:val="0"/>
      <w:divBdr>
        <w:top w:val="none" w:sz="0" w:space="0" w:color="auto"/>
        <w:left w:val="none" w:sz="0" w:space="0" w:color="auto"/>
        <w:bottom w:val="none" w:sz="0" w:space="0" w:color="auto"/>
        <w:right w:val="none" w:sz="0" w:space="0" w:color="auto"/>
      </w:divBdr>
    </w:div>
    <w:div w:id="671683776">
      <w:bodyDiv w:val="1"/>
      <w:marLeft w:val="0"/>
      <w:marRight w:val="0"/>
      <w:marTop w:val="0"/>
      <w:marBottom w:val="0"/>
      <w:divBdr>
        <w:top w:val="none" w:sz="0" w:space="0" w:color="auto"/>
        <w:left w:val="none" w:sz="0" w:space="0" w:color="auto"/>
        <w:bottom w:val="none" w:sz="0" w:space="0" w:color="auto"/>
        <w:right w:val="none" w:sz="0" w:space="0" w:color="auto"/>
      </w:divBdr>
    </w:div>
    <w:div w:id="950740604">
      <w:bodyDiv w:val="1"/>
      <w:marLeft w:val="0"/>
      <w:marRight w:val="0"/>
      <w:marTop w:val="0"/>
      <w:marBottom w:val="0"/>
      <w:divBdr>
        <w:top w:val="none" w:sz="0" w:space="0" w:color="auto"/>
        <w:left w:val="none" w:sz="0" w:space="0" w:color="auto"/>
        <w:bottom w:val="none" w:sz="0" w:space="0" w:color="auto"/>
        <w:right w:val="none" w:sz="0" w:space="0" w:color="auto"/>
      </w:divBdr>
    </w:div>
    <w:div w:id="1251282238">
      <w:bodyDiv w:val="1"/>
      <w:marLeft w:val="0"/>
      <w:marRight w:val="0"/>
      <w:marTop w:val="0"/>
      <w:marBottom w:val="0"/>
      <w:divBdr>
        <w:top w:val="none" w:sz="0" w:space="0" w:color="auto"/>
        <w:left w:val="none" w:sz="0" w:space="0" w:color="auto"/>
        <w:bottom w:val="none" w:sz="0" w:space="0" w:color="auto"/>
        <w:right w:val="none" w:sz="0" w:space="0" w:color="auto"/>
      </w:divBdr>
    </w:div>
    <w:div w:id="1458793546">
      <w:bodyDiv w:val="1"/>
      <w:marLeft w:val="0"/>
      <w:marRight w:val="0"/>
      <w:marTop w:val="0"/>
      <w:marBottom w:val="0"/>
      <w:divBdr>
        <w:top w:val="none" w:sz="0" w:space="0" w:color="auto"/>
        <w:left w:val="none" w:sz="0" w:space="0" w:color="auto"/>
        <w:bottom w:val="none" w:sz="0" w:space="0" w:color="auto"/>
        <w:right w:val="none" w:sz="0" w:space="0" w:color="auto"/>
      </w:divBdr>
    </w:div>
    <w:div w:id="1589344587">
      <w:bodyDiv w:val="1"/>
      <w:marLeft w:val="0"/>
      <w:marRight w:val="0"/>
      <w:marTop w:val="0"/>
      <w:marBottom w:val="0"/>
      <w:divBdr>
        <w:top w:val="none" w:sz="0" w:space="0" w:color="auto"/>
        <w:left w:val="none" w:sz="0" w:space="0" w:color="auto"/>
        <w:bottom w:val="none" w:sz="0" w:space="0" w:color="auto"/>
        <w:right w:val="none" w:sz="0" w:space="0" w:color="auto"/>
      </w:divBdr>
    </w:div>
    <w:div w:id="175420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emf"/><Relationship Id="rId10"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7</Pages>
  <Words>440</Words>
  <Characters>2508</Characters>
  <Application>Microsoft Office Word</Application>
  <DocSecurity>0</DocSecurity>
  <Lines>20</Lines>
  <Paragraphs>5</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Кужильна</dc:creator>
  <cp:keywords/>
  <dc:description/>
  <cp:lastModifiedBy>Інна Кужильна</cp:lastModifiedBy>
  <cp:revision>9</cp:revision>
  <dcterms:created xsi:type="dcterms:W3CDTF">2024-09-05T14:59:00Z</dcterms:created>
  <dcterms:modified xsi:type="dcterms:W3CDTF">2024-10-01T09:24:00Z</dcterms:modified>
</cp:coreProperties>
</file>