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D5B70" w14:textId="68C79A9C" w:rsidR="007B43DD" w:rsidRPr="00DB672B" w:rsidRDefault="007B43DD" w:rsidP="008C40E6">
      <w:pPr>
        <w:pStyle w:val="a3"/>
        <w:tabs>
          <w:tab w:val="left" w:pos="4050"/>
          <w:tab w:val="right" w:pos="9638"/>
        </w:tabs>
        <w:rPr>
          <w:lang w:val="uk-UA"/>
        </w:rPr>
      </w:pPr>
      <w:r w:rsidRPr="00DB672B">
        <w:rPr>
          <w:noProof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DB672B" w:rsidRDefault="007B43DD" w:rsidP="007B43DD">
      <w:pPr>
        <w:jc w:val="center"/>
        <w:rPr>
          <w:b/>
          <w:szCs w:val="28"/>
          <w:lang w:val="uk-UA"/>
        </w:rPr>
      </w:pPr>
      <w:r w:rsidRPr="00DB672B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DB672B" w:rsidRDefault="007B43DD" w:rsidP="007B43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РЕГУЛЮВАННЯ У СФЕР</w:t>
      </w:r>
      <w:r w:rsidRPr="00FE3E6E">
        <w:rPr>
          <w:b/>
          <w:szCs w:val="28"/>
        </w:rPr>
        <w:t>АХ</w:t>
      </w:r>
      <w:r w:rsidRPr="00DB672B">
        <w:rPr>
          <w:b/>
          <w:szCs w:val="28"/>
          <w:lang w:val="uk-UA"/>
        </w:rPr>
        <w:t xml:space="preserve"> ЕНЕРГЕТИКИ</w:t>
      </w:r>
      <w:r>
        <w:rPr>
          <w:b/>
          <w:szCs w:val="28"/>
          <w:lang w:val="uk-UA"/>
        </w:rPr>
        <w:t xml:space="preserve"> ТА </w:t>
      </w:r>
      <w:r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DB672B" w:rsidRDefault="007B43DD" w:rsidP="007B43DD">
      <w:pPr>
        <w:jc w:val="center"/>
        <w:rPr>
          <w:b/>
          <w:szCs w:val="28"/>
          <w:u w:val="single"/>
          <w:lang w:val="uk-UA"/>
        </w:rPr>
      </w:pPr>
      <w:r w:rsidRPr="00DB672B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DB672B">
        <w:rPr>
          <w:b/>
          <w:szCs w:val="28"/>
          <w:lang w:val="uk-UA"/>
        </w:rPr>
        <w:t>)</w:t>
      </w:r>
    </w:p>
    <w:p w14:paraId="42577DDB" w14:textId="77777777"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DB672B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DB672B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013E07" w:rsidRDefault="007B43DD" w:rsidP="007B43DD">
      <w:pPr>
        <w:rPr>
          <w:sz w:val="16"/>
          <w:szCs w:val="16"/>
          <w:lang w:val="uk-UA"/>
        </w:rPr>
      </w:pP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</w:p>
    <w:p w14:paraId="603C843C" w14:textId="2EA2D6C5" w:rsidR="007B43DD" w:rsidRPr="000A14B6" w:rsidRDefault="007B43DD" w:rsidP="007B43DD">
      <w:pPr>
        <w:jc w:val="center"/>
        <w:rPr>
          <w:sz w:val="24"/>
          <w:szCs w:val="24"/>
          <w:lang w:val="uk-UA"/>
        </w:rPr>
      </w:pPr>
      <w:r w:rsidRPr="000A14B6">
        <w:rPr>
          <w:sz w:val="24"/>
          <w:szCs w:val="24"/>
          <w:lang w:val="uk-UA"/>
        </w:rPr>
        <w:t xml:space="preserve">___________________                          </w:t>
      </w:r>
      <w:r w:rsidR="00624493" w:rsidRPr="000A14B6">
        <w:rPr>
          <w:sz w:val="26"/>
          <w:szCs w:val="26"/>
          <w:lang w:val="uk-UA"/>
        </w:rPr>
        <w:t>Київ</w:t>
      </w:r>
      <w:r w:rsidRPr="000A14B6">
        <w:rPr>
          <w:sz w:val="26"/>
          <w:szCs w:val="26"/>
          <w:lang w:val="uk-UA"/>
        </w:rPr>
        <w:t xml:space="preserve"> </w:t>
      </w:r>
      <w:r w:rsidRPr="000A14B6">
        <w:rPr>
          <w:sz w:val="24"/>
          <w:szCs w:val="24"/>
          <w:lang w:val="uk-UA"/>
        </w:rPr>
        <w:t xml:space="preserve">                         </w:t>
      </w:r>
      <w:r w:rsidRPr="000A14B6">
        <w:rPr>
          <w:sz w:val="26"/>
          <w:szCs w:val="26"/>
          <w:lang w:val="uk-UA"/>
        </w:rPr>
        <w:t>№</w:t>
      </w:r>
      <w:r w:rsidRPr="000A14B6">
        <w:rPr>
          <w:sz w:val="24"/>
          <w:szCs w:val="24"/>
          <w:lang w:val="uk-UA"/>
        </w:rPr>
        <w:t xml:space="preserve"> _______________</w:t>
      </w:r>
    </w:p>
    <w:p w14:paraId="0CA9D18F" w14:textId="77777777"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47D47437" w14:textId="77777777" w:rsidR="003C1D9C" w:rsidRPr="007B43DD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616499EC" w14:textId="407629DA" w:rsidR="00892E58" w:rsidRDefault="00574DFE" w:rsidP="00574DFE">
      <w:pPr>
        <w:ind w:right="4960"/>
        <w:jc w:val="both"/>
        <w:rPr>
          <w:b/>
          <w:szCs w:val="28"/>
          <w:lang w:val="uk-UA"/>
        </w:rPr>
      </w:pPr>
      <w:r w:rsidRPr="00574DFE">
        <w:rPr>
          <w:bCs/>
          <w:lang w:val="uk-UA"/>
        </w:rPr>
        <w:t>Про внесення змін</w:t>
      </w:r>
      <w:r w:rsidR="00D37E41">
        <w:rPr>
          <w:bCs/>
          <w:lang w:val="uk-UA"/>
        </w:rPr>
        <w:t>и</w:t>
      </w:r>
      <w:r w:rsidRPr="00574DFE">
        <w:rPr>
          <w:bCs/>
          <w:lang w:val="uk-UA"/>
        </w:rPr>
        <w:t xml:space="preserve"> до Порядку</w:t>
      </w:r>
      <w:r>
        <w:rPr>
          <w:bCs/>
          <w:lang w:val="uk-UA"/>
        </w:rPr>
        <w:t xml:space="preserve"> </w:t>
      </w:r>
      <w:r w:rsidRPr="00574DFE">
        <w:rPr>
          <w:bCs/>
          <w:lang w:val="uk-UA"/>
        </w:rPr>
        <w:t>формування тарифів на транспортування нафти та нафтопродуктів магістральними трубопроводами</w:t>
      </w:r>
    </w:p>
    <w:p w14:paraId="6B71D483" w14:textId="77777777" w:rsidR="007B43DD" w:rsidRPr="00892E58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08F2A75F" w14:textId="612B2301" w:rsidR="007B43DD" w:rsidRPr="00DB672B" w:rsidRDefault="007B43DD" w:rsidP="007B43DD">
      <w:pPr>
        <w:ind w:firstLine="709"/>
        <w:jc w:val="both"/>
        <w:rPr>
          <w:lang w:val="uk-UA"/>
        </w:rPr>
      </w:pPr>
      <w:r w:rsidRPr="00F4495C">
        <w:rPr>
          <w:lang w:val="uk-UA"/>
        </w:rPr>
        <w:t xml:space="preserve">Відповідно до </w:t>
      </w:r>
      <w:r>
        <w:rPr>
          <w:lang w:val="uk-UA"/>
        </w:rPr>
        <w:t>з</w:t>
      </w:r>
      <w:r w:rsidRPr="00F4495C">
        <w:rPr>
          <w:lang w:val="uk-UA"/>
        </w:rPr>
        <w:t>акон</w:t>
      </w:r>
      <w:r>
        <w:rPr>
          <w:lang w:val="uk-UA"/>
        </w:rPr>
        <w:t>ів</w:t>
      </w:r>
      <w:r w:rsidRPr="00F4495C">
        <w:rPr>
          <w:lang w:val="uk-UA"/>
        </w:rPr>
        <w:t xml:space="preserve"> України </w:t>
      </w:r>
      <w:r>
        <w:rPr>
          <w:lang w:val="uk-UA"/>
        </w:rPr>
        <w:t>«</w:t>
      </w:r>
      <w:r w:rsidRPr="00C65836">
        <w:rPr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lang w:val="uk-UA"/>
        </w:rPr>
        <w:t xml:space="preserve">» та «Про </w:t>
      </w:r>
      <w:r w:rsidR="00775AB8" w:rsidRPr="00775AB8">
        <w:rPr>
          <w:lang w:val="uk-UA"/>
        </w:rPr>
        <w:t>природні монополії</w:t>
      </w:r>
      <w:r>
        <w:rPr>
          <w:lang w:val="uk-UA"/>
        </w:rPr>
        <w:t xml:space="preserve">» </w:t>
      </w:r>
      <w:r w:rsidRPr="00DB672B">
        <w:rPr>
          <w:lang w:val="uk-UA"/>
        </w:rPr>
        <w:t>Національна комісія, що здійс</w:t>
      </w:r>
      <w:r>
        <w:rPr>
          <w:lang w:val="uk-UA"/>
        </w:rPr>
        <w:t>нює державне регулювання у сферах</w:t>
      </w:r>
      <w:r w:rsidRPr="00DB672B">
        <w:rPr>
          <w:lang w:val="uk-UA"/>
        </w:rPr>
        <w:t xml:space="preserve"> енергетики</w:t>
      </w:r>
      <w:r>
        <w:rPr>
          <w:lang w:val="uk-UA"/>
        </w:rPr>
        <w:t xml:space="preserve"> та комунальних послуг</w:t>
      </w:r>
      <w:r w:rsidRPr="00DB672B">
        <w:rPr>
          <w:lang w:val="uk-UA"/>
        </w:rPr>
        <w:t>,</w:t>
      </w:r>
      <w:r>
        <w:rPr>
          <w:lang w:val="uk-UA"/>
        </w:rPr>
        <w:t xml:space="preserve"> </w:t>
      </w:r>
    </w:p>
    <w:p w14:paraId="600B8BB3" w14:textId="77777777"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35FB47F7" w14:textId="77777777" w:rsidR="007B43DD" w:rsidRPr="00DB672B" w:rsidRDefault="007B43DD" w:rsidP="007B43DD">
      <w:pPr>
        <w:jc w:val="both"/>
        <w:rPr>
          <w:b/>
          <w:lang w:val="uk-UA"/>
        </w:rPr>
      </w:pPr>
      <w:r w:rsidRPr="00DB672B">
        <w:rPr>
          <w:b/>
          <w:lang w:val="uk-UA"/>
        </w:rPr>
        <w:t>ПОСТАНОВЛЯЄ:</w:t>
      </w:r>
    </w:p>
    <w:p w14:paraId="0404A4D4" w14:textId="77777777"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20FC56A9" w14:textId="62EBF968" w:rsidR="00D37E41" w:rsidRPr="00D37E41" w:rsidRDefault="00CE05C7" w:rsidP="00D37E41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Pr="00255FDD">
        <w:rPr>
          <w:sz w:val="28"/>
          <w:szCs w:val="28"/>
          <w:lang w:val="uk-UA" w:eastAsia="uk-UA"/>
        </w:rPr>
        <w:t xml:space="preserve">. </w:t>
      </w:r>
      <w:r w:rsidR="00D37E41" w:rsidRPr="00D37E41">
        <w:rPr>
          <w:sz w:val="28"/>
          <w:szCs w:val="28"/>
          <w:lang w:val="uk-UA" w:eastAsia="uk-UA"/>
        </w:rPr>
        <w:t>Главу 10</w:t>
      </w:r>
      <w:r w:rsidR="00D37E41">
        <w:rPr>
          <w:sz w:val="28"/>
          <w:szCs w:val="28"/>
          <w:lang w:val="uk-UA" w:eastAsia="uk-UA"/>
        </w:rPr>
        <w:t xml:space="preserve"> </w:t>
      </w:r>
      <w:r w:rsidR="00775AB8" w:rsidRPr="00775AB8">
        <w:rPr>
          <w:sz w:val="28"/>
          <w:szCs w:val="28"/>
          <w:lang w:val="uk-UA"/>
        </w:rPr>
        <w:t>Порядку формування тарифів на транспортування нафти та нафтопродуктів магістральними трубопроводами, затвердженого постановою Національної комісії, що здійснює державне регулювання у сферах енергетики та комунальних послуг, від 25 травня 2017 року № 690,</w:t>
      </w:r>
      <w:r w:rsidR="00D37E41">
        <w:rPr>
          <w:sz w:val="28"/>
          <w:szCs w:val="28"/>
          <w:lang w:val="uk-UA"/>
        </w:rPr>
        <w:t xml:space="preserve"> </w:t>
      </w:r>
      <w:r w:rsidR="00D37E41" w:rsidRPr="00D37E41">
        <w:rPr>
          <w:sz w:val="28"/>
          <w:szCs w:val="28"/>
          <w:lang w:val="uk-UA" w:eastAsia="uk-UA"/>
        </w:rPr>
        <w:t>викласти в такій редакції:</w:t>
      </w:r>
    </w:p>
    <w:p w14:paraId="7E035F92" w14:textId="77777777" w:rsidR="007C5904" w:rsidRPr="007C5904" w:rsidRDefault="007C5904" w:rsidP="007C5904">
      <w:pPr>
        <w:pStyle w:val="aa"/>
        <w:spacing w:before="0" w:beforeAutospacing="0" w:after="0" w:afterAutospacing="0"/>
        <w:ind w:left="491"/>
        <w:jc w:val="center"/>
        <w:rPr>
          <w:sz w:val="28"/>
          <w:szCs w:val="28"/>
          <w:lang w:val="uk-UA" w:eastAsia="uk-UA"/>
        </w:rPr>
      </w:pPr>
      <w:r w:rsidRPr="007C5904">
        <w:rPr>
          <w:sz w:val="28"/>
          <w:szCs w:val="28"/>
          <w:lang w:val="uk-UA" w:eastAsia="uk-UA"/>
        </w:rPr>
        <w:t>«</w:t>
      </w:r>
      <w:r w:rsidRPr="007C5904">
        <w:rPr>
          <w:b/>
          <w:sz w:val="28"/>
          <w:szCs w:val="28"/>
          <w:lang w:val="uk-UA" w:eastAsia="uk-UA"/>
        </w:rPr>
        <w:t>10. Прикінцеві положення</w:t>
      </w:r>
    </w:p>
    <w:p w14:paraId="02B23E65" w14:textId="77777777" w:rsidR="007C5904" w:rsidRDefault="007C5904" w:rsidP="00D37E41">
      <w:pPr>
        <w:ind w:firstLine="720"/>
        <w:jc w:val="both"/>
        <w:rPr>
          <w:szCs w:val="28"/>
          <w:lang w:val="uk-UA"/>
        </w:rPr>
      </w:pPr>
    </w:p>
    <w:p w14:paraId="49523E59" w14:textId="1225BC97" w:rsidR="00D37E41" w:rsidRPr="0066184C" w:rsidRDefault="00D37E41" w:rsidP="0066184C">
      <w:pPr>
        <w:pStyle w:val="a9"/>
        <w:numPr>
          <w:ilvl w:val="0"/>
          <w:numId w:val="6"/>
        </w:numPr>
        <w:suppressLineNumbers/>
        <w:tabs>
          <w:tab w:val="left" w:pos="1701"/>
        </w:tabs>
        <w:ind w:left="0" w:firstLine="851"/>
        <w:jc w:val="both"/>
        <w:rPr>
          <w:szCs w:val="28"/>
          <w:lang w:val="uk-UA"/>
        </w:rPr>
      </w:pPr>
      <w:r w:rsidRPr="0066184C">
        <w:rPr>
          <w:szCs w:val="28"/>
          <w:lang w:val="uk-UA"/>
        </w:rPr>
        <w:t>При встановленні тарифів на транспортування нафти магістральними трубопроводами, НКРЕКП може прийняти рішення щодо запровадження перехідного періоду.</w:t>
      </w:r>
    </w:p>
    <w:p w14:paraId="732EB438" w14:textId="5AAB7FC8" w:rsidR="00D37E41" w:rsidRPr="005A10E4" w:rsidRDefault="00D37E41" w:rsidP="0066184C">
      <w:pPr>
        <w:pStyle w:val="a9"/>
        <w:suppressLineNumbers/>
        <w:tabs>
          <w:tab w:val="left" w:pos="1701"/>
        </w:tabs>
        <w:ind w:left="0" w:firstLine="851"/>
        <w:jc w:val="both"/>
        <w:rPr>
          <w:szCs w:val="28"/>
          <w:lang w:val="uk-UA"/>
        </w:rPr>
      </w:pPr>
      <w:r w:rsidRPr="005A10E4">
        <w:rPr>
          <w:szCs w:val="28"/>
          <w:lang w:val="uk-UA"/>
        </w:rPr>
        <w:t xml:space="preserve">Тривалість перехідного періоду визначається </w:t>
      </w:r>
      <w:r w:rsidR="007C5904">
        <w:rPr>
          <w:szCs w:val="28"/>
          <w:lang w:val="uk-UA"/>
        </w:rPr>
        <w:t>НКРЕКП</w:t>
      </w:r>
      <w:r w:rsidRPr="005A10E4">
        <w:rPr>
          <w:szCs w:val="28"/>
          <w:lang w:val="uk-UA"/>
        </w:rPr>
        <w:t>.</w:t>
      </w:r>
    </w:p>
    <w:p w14:paraId="61C4CB04" w14:textId="77777777" w:rsidR="00D37E41" w:rsidRPr="00286357" w:rsidRDefault="00D37E41" w:rsidP="005A10E4">
      <w:pPr>
        <w:suppressLineNumbers/>
        <w:ind w:firstLine="720"/>
        <w:jc w:val="both"/>
        <w:rPr>
          <w:szCs w:val="28"/>
          <w:lang w:val="uk-UA"/>
        </w:rPr>
      </w:pPr>
    </w:p>
    <w:p w14:paraId="55AD5043" w14:textId="30F40FDE" w:rsidR="00D37E41" w:rsidRPr="00CE662F" w:rsidRDefault="00D37E41" w:rsidP="00CE662F">
      <w:pPr>
        <w:pStyle w:val="a9"/>
        <w:numPr>
          <w:ilvl w:val="1"/>
          <w:numId w:val="4"/>
        </w:numPr>
        <w:suppressLineNumbers/>
        <w:tabs>
          <w:tab w:val="left" w:pos="1701"/>
        </w:tabs>
        <w:ind w:left="0" w:firstLine="851"/>
        <w:jc w:val="both"/>
        <w:rPr>
          <w:szCs w:val="28"/>
          <w:lang w:val="uk-UA"/>
        </w:rPr>
      </w:pPr>
      <w:r w:rsidRPr="00CE662F">
        <w:rPr>
          <w:szCs w:val="28"/>
          <w:lang w:val="uk-UA"/>
        </w:rPr>
        <w:t>Тарифи на транспортування нафти магістральними трубопроводами на перехідний період встановлюються на кожн</w:t>
      </w:r>
      <w:r w:rsidR="003655A3">
        <w:rPr>
          <w:szCs w:val="28"/>
          <w:lang w:val="uk-UA"/>
        </w:rPr>
        <w:t>ий</w:t>
      </w:r>
      <w:r w:rsidRPr="00CE662F">
        <w:rPr>
          <w:szCs w:val="28"/>
          <w:lang w:val="uk-UA"/>
        </w:rPr>
        <w:t xml:space="preserve"> квартал (рік) перехідного періоду. При цьому тарифи на транспортування нафти магістральними трубопроводами на останній квартал (рік) перехідного періоду можуть бути переглянуті за наявності умов та підстав, зазначених у главі 9 цього Порядку.</w:t>
      </w:r>
    </w:p>
    <w:p w14:paraId="74ED052F" w14:textId="77777777" w:rsidR="00D37E41" w:rsidRPr="00286357" w:rsidRDefault="00D37E41" w:rsidP="00CE662F">
      <w:pPr>
        <w:tabs>
          <w:tab w:val="left" w:pos="1701"/>
        </w:tabs>
        <w:ind w:firstLine="851"/>
        <w:jc w:val="both"/>
        <w:rPr>
          <w:szCs w:val="28"/>
          <w:lang w:val="uk-UA"/>
        </w:rPr>
      </w:pPr>
    </w:p>
    <w:p w14:paraId="4180C0FA" w14:textId="5F854ADB" w:rsidR="00C63A86" w:rsidRPr="00CE662F" w:rsidRDefault="00D37E41" w:rsidP="00CE662F">
      <w:pPr>
        <w:pStyle w:val="a9"/>
        <w:numPr>
          <w:ilvl w:val="0"/>
          <w:numId w:val="5"/>
        </w:numPr>
        <w:ind w:left="0" w:firstLine="709"/>
        <w:jc w:val="both"/>
        <w:rPr>
          <w:szCs w:val="28"/>
          <w:lang w:val="uk-UA"/>
        </w:rPr>
      </w:pPr>
      <w:r w:rsidRPr="00CE662F">
        <w:rPr>
          <w:szCs w:val="28"/>
          <w:lang w:val="uk-UA"/>
        </w:rPr>
        <w:lastRenderedPageBreak/>
        <w:t xml:space="preserve">По завершенню перехідного періоду тариф на транспортування нафти магістральними трубопроводами по кожному </w:t>
      </w:r>
      <w:proofErr w:type="spellStart"/>
      <w:r w:rsidR="003655A3" w:rsidRPr="003655A3">
        <w:rPr>
          <w:i/>
          <w:szCs w:val="28"/>
          <w:lang w:val="en-US"/>
        </w:rPr>
        <w:t>i</w:t>
      </w:r>
      <w:proofErr w:type="spellEnd"/>
      <w:r w:rsidRPr="00CE662F">
        <w:rPr>
          <w:szCs w:val="28"/>
          <w:lang w:val="uk-UA"/>
        </w:rPr>
        <w:t>-му маршруту має досягти цільового рівня (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ціл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bSup>
      </m:oMath>
      <w:r w:rsidRPr="00CE662F">
        <w:rPr>
          <w:szCs w:val="28"/>
          <w:lang w:val="uk-UA"/>
        </w:rPr>
        <w:t>)</w:t>
      </w:r>
      <w:r w:rsidR="00C63A86" w:rsidRPr="00CE662F">
        <w:rPr>
          <w:szCs w:val="28"/>
          <w:lang w:val="uk-UA"/>
        </w:rPr>
        <w:t xml:space="preserve">. </w:t>
      </w:r>
    </w:p>
    <w:p w14:paraId="43ECDD07" w14:textId="6512A5FC" w:rsidR="00D37E41" w:rsidRPr="00A907EB" w:rsidRDefault="00C63A86" w:rsidP="00CE662F">
      <w:pPr>
        <w:ind w:firstLine="709"/>
        <w:jc w:val="both"/>
        <w:rPr>
          <w:szCs w:val="28"/>
          <w:lang w:val="uk-UA"/>
        </w:rPr>
      </w:pPr>
      <w:r w:rsidRPr="00A907EB">
        <w:rPr>
          <w:szCs w:val="28"/>
          <w:lang w:val="uk-UA"/>
        </w:rPr>
        <w:t xml:space="preserve">Цільовий </w:t>
      </w:r>
      <w:r w:rsidR="002E0B9D" w:rsidRPr="00A907EB">
        <w:rPr>
          <w:szCs w:val="28"/>
          <w:lang w:val="uk-UA"/>
        </w:rPr>
        <w:t xml:space="preserve">рівень </w:t>
      </w:r>
      <w:r w:rsidRPr="00A907EB">
        <w:rPr>
          <w:szCs w:val="28"/>
          <w:lang w:val="uk-UA"/>
        </w:rPr>
        <w:t>тариф</w:t>
      </w:r>
      <w:r w:rsidR="002E0B9D" w:rsidRPr="00A907EB">
        <w:rPr>
          <w:szCs w:val="28"/>
          <w:lang w:val="uk-UA"/>
        </w:rPr>
        <w:t>у по</w:t>
      </w:r>
      <w:r w:rsidRPr="00A907EB">
        <w:rPr>
          <w:szCs w:val="28"/>
          <w:lang w:val="uk-UA"/>
        </w:rPr>
        <w:t xml:space="preserve"> кожно</w:t>
      </w:r>
      <w:r w:rsidR="002E0B9D" w:rsidRPr="00A907EB">
        <w:rPr>
          <w:szCs w:val="28"/>
          <w:lang w:val="uk-UA"/>
        </w:rPr>
        <w:t>му</w:t>
      </w:r>
      <w:r w:rsidRPr="00A907EB">
        <w:rPr>
          <w:szCs w:val="28"/>
          <w:lang w:val="uk-UA"/>
        </w:rPr>
        <w:t xml:space="preserve"> </w:t>
      </w:r>
      <w:r w:rsidRPr="003655A3">
        <w:rPr>
          <w:i/>
          <w:szCs w:val="28"/>
          <w:lang w:val="uk-UA"/>
        </w:rPr>
        <w:t>і</w:t>
      </w:r>
      <w:r w:rsidRPr="00A907EB">
        <w:rPr>
          <w:szCs w:val="28"/>
          <w:lang w:val="uk-UA"/>
        </w:rPr>
        <w:t>-</w:t>
      </w:r>
      <w:r w:rsidR="002E0B9D" w:rsidRPr="00A907EB">
        <w:rPr>
          <w:szCs w:val="28"/>
          <w:lang w:val="uk-UA"/>
        </w:rPr>
        <w:t>му</w:t>
      </w:r>
      <w:r w:rsidRPr="00A907EB">
        <w:rPr>
          <w:szCs w:val="28"/>
          <w:lang w:val="uk-UA"/>
        </w:rPr>
        <w:t xml:space="preserve"> маршруту дорівнює тарифу на транспортування нафти магістральними трубопроводами по кожному </w:t>
      </w:r>
      <w:r w:rsidRPr="003655A3">
        <w:rPr>
          <w:i/>
          <w:szCs w:val="28"/>
          <w:lang w:val="uk-UA"/>
        </w:rPr>
        <w:t>і</w:t>
      </w:r>
      <w:r w:rsidRPr="00A907EB">
        <w:rPr>
          <w:szCs w:val="28"/>
          <w:lang w:val="uk-UA"/>
        </w:rPr>
        <w:t>-му маршруту за сегментом транспортування нафти споживачам України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</m:oMath>
      <w:r w:rsidRPr="00A907EB">
        <w:rPr>
          <w:szCs w:val="28"/>
        </w:rPr>
        <w:t>)</w:t>
      </w:r>
      <w:r w:rsidR="00CA2B0E" w:rsidRPr="00A907EB">
        <w:rPr>
          <w:szCs w:val="28"/>
          <w:lang w:val="uk-UA"/>
        </w:rPr>
        <w:t xml:space="preserve">, </w:t>
      </w:r>
      <w:r w:rsidRPr="00A907EB">
        <w:rPr>
          <w:szCs w:val="28"/>
          <w:lang w:val="uk-UA"/>
        </w:rPr>
        <w:t xml:space="preserve">розрахованому за формулою 1 </w:t>
      </w:r>
      <w:r w:rsidR="00D37E41" w:rsidRPr="00A907EB">
        <w:rPr>
          <w:szCs w:val="28"/>
          <w:lang w:val="uk-UA"/>
        </w:rPr>
        <w:t>цього Порядку.</w:t>
      </w:r>
    </w:p>
    <w:p w14:paraId="70E8203E" w14:textId="77777777" w:rsidR="00D37E41" w:rsidRPr="00286357" w:rsidRDefault="00D37E41" w:rsidP="00D37E41">
      <w:pPr>
        <w:ind w:firstLine="709"/>
        <w:jc w:val="both"/>
        <w:rPr>
          <w:szCs w:val="28"/>
          <w:lang w:val="uk-UA"/>
        </w:rPr>
      </w:pPr>
    </w:p>
    <w:p w14:paraId="1429EE66" w14:textId="2190AF97" w:rsidR="00D37E41" w:rsidRPr="00CE662F" w:rsidRDefault="00D37E41" w:rsidP="00CE662F">
      <w:pPr>
        <w:pStyle w:val="a9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szCs w:val="28"/>
          <w:lang w:val="uk-UA"/>
        </w:rPr>
      </w:pPr>
      <w:r w:rsidRPr="00CE662F">
        <w:rPr>
          <w:szCs w:val="28"/>
          <w:lang w:val="uk-UA"/>
        </w:rPr>
        <w:t>На перший квартал (рік) перехідного періоду тарифи на транспортування нафти магістральними трубопроводами по кожному маршруту за сегментом транспортування нафти споживачам України (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розр 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bSup>
      </m:oMath>
      <w:r w:rsidRPr="00CE662F">
        <w:rPr>
          <w:szCs w:val="28"/>
          <w:lang w:val="uk-UA"/>
        </w:rPr>
        <w:t>) розраховуються за формулою</w:t>
      </w:r>
    </w:p>
    <w:p w14:paraId="27AB8CE8" w14:textId="6AB67080" w:rsidR="00D37E41" w:rsidRPr="00286357" w:rsidRDefault="003655A3" w:rsidP="003655A3">
      <w:pPr>
        <w:jc w:val="right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розр 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szCs w:val="28"/>
          <w:lang w:val="uk-UA"/>
        </w:rPr>
        <w:t xml:space="preserve"> = </w:t>
      </w:r>
      <w:bookmarkStart w:id="0" w:name="_Hlk177121437"/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баз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szCs w:val="28"/>
          <w:lang w:val="uk-UA"/>
        </w:rPr>
        <w:t xml:space="preserve"> </w:t>
      </w:r>
      <w:r w:rsidR="00D37E41" w:rsidRPr="00286357">
        <w:rPr>
          <w:szCs w:val="28"/>
        </w:rPr>
        <w:t>+</w:t>
      </w:r>
      <w:r w:rsidR="00D37E41" w:rsidRPr="00286357">
        <w:rPr>
          <w:szCs w:val="28"/>
          <w:lang w:val="uk-UA"/>
        </w:rPr>
        <w:t xml:space="preserve"> </w:t>
      </w:r>
      <m:oMath>
        <m:sSup>
          <m:sSupPr>
            <m:ctrlPr>
              <w:rPr>
                <w:rFonts w:ascii="Cambria Math" w:hAnsi="Cambria Math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D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p>
      </m:oMath>
      <w:bookmarkEnd w:id="0"/>
      <w:r w:rsidR="00D37E41" w:rsidRPr="00286357">
        <w:rPr>
          <w:szCs w:val="28"/>
          <w:lang w:val="uk-UA"/>
        </w:rPr>
        <w:t xml:space="preserve"> (грн за 1 т </w:t>
      </w:r>
      <w:proofErr w:type="spellStart"/>
      <w:r w:rsidR="00D37E41" w:rsidRPr="00286357">
        <w:rPr>
          <w:szCs w:val="28"/>
          <w:lang w:val="uk-UA"/>
        </w:rPr>
        <w:t>нетто</w:t>
      </w:r>
      <w:proofErr w:type="spellEnd"/>
      <w:proofErr w:type="gramStart"/>
      <w:r w:rsidR="00D37E41" w:rsidRPr="00286357">
        <w:rPr>
          <w:szCs w:val="28"/>
          <w:lang w:val="uk-UA"/>
        </w:rPr>
        <w:t xml:space="preserve">), </w:t>
      </w:r>
      <w:r w:rsidRPr="003655A3">
        <w:rPr>
          <w:szCs w:val="28"/>
        </w:rPr>
        <w:t xml:space="preserve">  </w:t>
      </w:r>
      <w:proofErr w:type="gramEnd"/>
      <w:r w:rsidRPr="003655A3">
        <w:rPr>
          <w:szCs w:val="28"/>
        </w:rPr>
        <w:t xml:space="preserve">                           </w:t>
      </w:r>
      <w:r w:rsidR="00D37E41" w:rsidRPr="00286357">
        <w:rPr>
          <w:szCs w:val="28"/>
          <w:lang w:val="uk-UA"/>
        </w:rPr>
        <w:t>(10)</w:t>
      </w:r>
    </w:p>
    <w:p w14:paraId="7B496F8D" w14:textId="24BC8F28" w:rsidR="00D37E41" w:rsidRPr="00286357" w:rsidRDefault="00D37E41" w:rsidP="00D37E41">
      <w:pPr>
        <w:ind w:firstLine="709"/>
        <w:jc w:val="both"/>
        <w:rPr>
          <w:szCs w:val="28"/>
          <w:lang w:val="uk-UA"/>
        </w:rPr>
      </w:pPr>
      <w:r w:rsidRPr="00286357">
        <w:rPr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баз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bSup>
      </m:oMath>
      <w:r w:rsidRPr="00286357">
        <w:rPr>
          <w:szCs w:val="28"/>
          <w:lang w:val="uk-UA"/>
        </w:rPr>
        <w:t xml:space="preserve"> – діючий тариф на транспортування нафти магістральними трубопроводами по </w:t>
      </w:r>
      <w:r w:rsidRPr="003655A3">
        <w:rPr>
          <w:i/>
          <w:szCs w:val="28"/>
          <w:lang w:val="uk-UA"/>
        </w:rPr>
        <w:t>і</w:t>
      </w:r>
      <w:r w:rsidRPr="00286357">
        <w:rPr>
          <w:szCs w:val="28"/>
          <w:lang w:val="uk-UA"/>
        </w:rPr>
        <w:t>-му маршруту, грн за 1 т нетто;</w:t>
      </w:r>
    </w:p>
    <w:p w14:paraId="4B497B2B" w14:textId="1E6B5F4B" w:rsidR="00D37E41" w:rsidRDefault="003655A3" w:rsidP="00D37E41">
      <w:pPr>
        <w:ind w:firstLine="709"/>
        <w:jc w:val="both"/>
        <w:rPr>
          <w:color w:val="000000" w:themeColor="text1"/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D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i</m:t>
            </m:r>
          </m:sup>
        </m:sSup>
      </m:oMath>
      <w:r w:rsidR="00D37E41" w:rsidRPr="00286357">
        <w:rPr>
          <w:szCs w:val="28"/>
          <w:lang w:val="uk-UA"/>
        </w:rPr>
        <w:t xml:space="preserve"> – щоквартальна (щорічна) сума зростання тарифу на транспортування нафти магістральними трубопроводами по </w:t>
      </w:r>
      <w:r w:rsidR="00D37E41" w:rsidRPr="003655A3">
        <w:rPr>
          <w:i/>
          <w:szCs w:val="28"/>
          <w:lang w:val="uk-UA"/>
        </w:rPr>
        <w:t>і</w:t>
      </w:r>
      <w:r w:rsidR="00D37E41" w:rsidRPr="00286357">
        <w:rPr>
          <w:szCs w:val="28"/>
          <w:lang w:val="uk-UA"/>
        </w:rPr>
        <w:t xml:space="preserve">-му маршруту протягом перехідного </w:t>
      </w:r>
      <w:r w:rsidR="00D37E41" w:rsidRPr="00286357">
        <w:rPr>
          <w:color w:val="000000" w:themeColor="text1"/>
          <w:szCs w:val="28"/>
          <w:lang w:val="uk-UA"/>
        </w:rPr>
        <w:t xml:space="preserve">періоду, грн за 1 т </w:t>
      </w:r>
      <w:proofErr w:type="spellStart"/>
      <w:r w:rsidR="00D37E41" w:rsidRPr="00286357">
        <w:rPr>
          <w:color w:val="000000" w:themeColor="text1"/>
          <w:szCs w:val="28"/>
          <w:lang w:val="uk-UA"/>
        </w:rPr>
        <w:t>нетто</w:t>
      </w:r>
      <w:proofErr w:type="spellEnd"/>
      <w:r w:rsidR="00D37E41" w:rsidRPr="00286357">
        <w:rPr>
          <w:color w:val="000000" w:themeColor="text1"/>
          <w:szCs w:val="28"/>
          <w:lang w:val="uk-UA"/>
        </w:rPr>
        <w:t>.</w:t>
      </w:r>
    </w:p>
    <w:p w14:paraId="5D06FFB4" w14:textId="77777777" w:rsidR="00D37E41" w:rsidRPr="00286357" w:rsidRDefault="00D37E41" w:rsidP="00D37E41">
      <w:pPr>
        <w:ind w:firstLine="709"/>
        <w:jc w:val="both"/>
        <w:rPr>
          <w:color w:val="000000" w:themeColor="text1"/>
          <w:szCs w:val="28"/>
          <w:lang w:val="uk-UA"/>
        </w:rPr>
      </w:pPr>
    </w:p>
    <w:p w14:paraId="708C897C" w14:textId="44E9B812" w:rsidR="00D37E41" w:rsidRPr="00CE662F" w:rsidRDefault="00D37E41" w:rsidP="00CE662F">
      <w:pPr>
        <w:pStyle w:val="a9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color w:val="000000" w:themeColor="text1"/>
          <w:szCs w:val="28"/>
          <w:lang w:val="uk-UA"/>
        </w:rPr>
      </w:pPr>
      <w:r w:rsidRPr="00CE662F">
        <w:rPr>
          <w:color w:val="000000" w:themeColor="text1"/>
          <w:szCs w:val="28"/>
          <w:lang w:val="uk-UA"/>
        </w:rPr>
        <w:t>На наступні квартали (роки) перехідного періоду тарифи на транспортування нафти магістральними трубопроводами по кожному маршруту за сегментом транспортування нафти споживачам України 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 xml:space="preserve">розр </m:t>
            </m:r>
            <m:r>
              <w:rPr>
                <w:rFonts w:ascii="Cambria Math" w:hAnsi="Cambria Math"/>
                <w:color w:val="000000" w:themeColor="text1"/>
                <w:szCs w:val="28"/>
                <w:lang w:val="en-US"/>
              </w:rPr>
              <m:t>n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bSup>
      </m:oMath>
      <w:r w:rsidRPr="00CE662F">
        <w:rPr>
          <w:color w:val="000000" w:themeColor="text1"/>
          <w:szCs w:val="28"/>
          <w:lang w:val="uk-UA"/>
        </w:rPr>
        <w:t>) розраховуються за формулою</w:t>
      </w:r>
    </w:p>
    <w:p w14:paraId="5A8345DE" w14:textId="715EAE1F" w:rsidR="00D37E41" w:rsidRPr="00286357" w:rsidRDefault="003655A3" w:rsidP="003655A3">
      <w:pPr>
        <w:ind w:left="2835"/>
        <w:jc w:val="center"/>
        <w:rPr>
          <w:color w:val="000000" w:themeColor="text1"/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 xml:space="preserve">розр </m:t>
            </m:r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color w:val="000000" w:themeColor="text1"/>
          <w:szCs w:val="28"/>
          <w:lang w:val="uk-UA"/>
        </w:rPr>
        <w:t xml:space="preserve"> =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розр (</m:t>
            </m:r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-1)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color w:val="000000" w:themeColor="text1"/>
          <w:szCs w:val="28"/>
          <w:lang w:val="uk-UA"/>
        </w:rPr>
        <w:t xml:space="preserve">+ </w:t>
      </w:r>
      <m:oMath>
        <m:sSup>
          <m:s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D</m:t>
            </m:r>
          </m:e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p>
      </m:oMath>
      <w:r w:rsidR="00D37E41" w:rsidRPr="00286357">
        <w:rPr>
          <w:color w:val="000000" w:themeColor="text1"/>
          <w:szCs w:val="28"/>
          <w:lang w:val="uk-UA"/>
        </w:rPr>
        <w:t xml:space="preserve"> (грн за 1 т </w:t>
      </w:r>
      <w:proofErr w:type="spellStart"/>
      <w:r w:rsidR="00D37E41" w:rsidRPr="00286357">
        <w:rPr>
          <w:color w:val="000000" w:themeColor="text1"/>
          <w:szCs w:val="28"/>
          <w:lang w:val="uk-UA"/>
        </w:rPr>
        <w:t>нетто</w:t>
      </w:r>
      <w:proofErr w:type="spellEnd"/>
      <w:r w:rsidR="00D37E41" w:rsidRPr="00286357">
        <w:rPr>
          <w:color w:val="000000" w:themeColor="text1"/>
          <w:szCs w:val="28"/>
          <w:lang w:val="uk-UA"/>
        </w:rPr>
        <w:t xml:space="preserve">), </w:t>
      </w:r>
      <w:r w:rsidRPr="003655A3">
        <w:rPr>
          <w:color w:val="000000" w:themeColor="text1"/>
          <w:szCs w:val="28"/>
        </w:rPr>
        <w:t xml:space="preserve">                  </w:t>
      </w:r>
      <w:r w:rsidR="00D37E41" w:rsidRPr="00286357">
        <w:rPr>
          <w:color w:val="000000" w:themeColor="text1"/>
          <w:szCs w:val="28"/>
          <w:lang w:val="uk-UA"/>
        </w:rPr>
        <w:t>(11)</w:t>
      </w:r>
    </w:p>
    <w:p w14:paraId="791C3E2C" w14:textId="77777777" w:rsidR="00D37E41" w:rsidRPr="00286357" w:rsidRDefault="00D37E41" w:rsidP="00D37E41">
      <w:pPr>
        <w:ind w:firstLine="709"/>
        <w:jc w:val="both"/>
        <w:rPr>
          <w:color w:val="000000" w:themeColor="text1"/>
          <w:szCs w:val="28"/>
          <w:lang w:val="uk-UA"/>
        </w:rPr>
      </w:pPr>
      <w:r w:rsidRPr="00286357">
        <w:rPr>
          <w:color w:val="000000" w:themeColor="text1"/>
          <w:szCs w:val="28"/>
          <w:lang w:val="uk-UA"/>
        </w:rPr>
        <w:t xml:space="preserve">де </w:t>
      </w:r>
      <w:r>
        <w:rPr>
          <w:color w:val="000000" w:themeColor="text1"/>
          <w:szCs w:val="28"/>
          <w:lang w:val="en-US"/>
        </w:rPr>
        <w:t>n</w:t>
      </w:r>
      <w:r w:rsidRPr="00286357">
        <w:rPr>
          <w:color w:val="000000" w:themeColor="text1"/>
          <w:szCs w:val="28"/>
          <w:lang w:val="uk-UA"/>
        </w:rPr>
        <w:t xml:space="preserve"> – відповідний квартал (рік) перехідного періоду.</w:t>
      </w:r>
    </w:p>
    <w:p w14:paraId="4B8A06BC" w14:textId="77777777" w:rsidR="00D37E41" w:rsidRDefault="00D37E41" w:rsidP="00D37E41">
      <w:pPr>
        <w:ind w:firstLine="709"/>
        <w:jc w:val="both"/>
        <w:rPr>
          <w:color w:val="000000" w:themeColor="text1"/>
          <w:szCs w:val="28"/>
          <w:lang w:val="uk-UA"/>
        </w:rPr>
      </w:pPr>
    </w:p>
    <w:p w14:paraId="093131BE" w14:textId="38F76F3D" w:rsidR="00D37E41" w:rsidRPr="00CE662F" w:rsidRDefault="00D37E41" w:rsidP="0066184C">
      <w:pPr>
        <w:pStyle w:val="a9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color w:val="000000" w:themeColor="text1"/>
          <w:szCs w:val="28"/>
          <w:lang w:val="uk-UA"/>
        </w:rPr>
      </w:pPr>
      <w:r w:rsidRPr="00CE662F">
        <w:rPr>
          <w:color w:val="000000" w:themeColor="text1"/>
          <w:szCs w:val="28"/>
          <w:lang w:val="uk-UA"/>
        </w:rPr>
        <w:t xml:space="preserve">Щоквартальна (щорічна) сума зростання тарифу на транспортування нафти магістральними трубопроводами за сегментом транспортування нафти споживачам України по </w:t>
      </w:r>
      <w:r w:rsidRPr="003655A3">
        <w:rPr>
          <w:i/>
          <w:color w:val="000000" w:themeColor="text1"/>
          <w:szCs w:val="28"/>
          <w:lang w:val="uk-UA"/>
        </w:rPr>
        <w:t>і</w:t>
      </w:r>
      <w:r w:rsidRPr="00CE662F">
        <w:rPr>
          <w:color w:val="000000" w:themeColor="text1"/>
          <w:szCs w:val="28"/>
          <w:lang w:val="uk-UA"/>
        </w:rPr>
        <w:t>-му маршруту протягом перехідного періоду розраховується за формулою</w:t>
      </w:r>
    </w:p>
    <w:p w14:paraId="3F4DF887" w14:textId="44D55038" w:rsidR="00D37E41" w:rsidRPr="00286357" w:rsidRDefault="003655A3" w:rsidP="003655A3">
      <w:pPr>
        <w:ind w:left="2835"/>
        <w:jc w:val="center"/>
        <w:rPr>
          <w:color w:val="000000" w:themeColor="text1"/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D</m:t>
            </m:r>
          </m:e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p>
      </m:oMath>
      <w:r w:rsidR="00D37E41" w:rsidRPr="00286357">
        <w:rPr>
          <w:color w:val="000000" w:themeColor="text1"/>
          <w:szCs w:val="28"/>
          <w:lang w:val="uk-UA"/>
        </w:rPr>
        <w:t xml:space="preserve"> = 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ціл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color w:val="000000" w:themeColor="text1"/>
          <w:szCs w:val="28"/>
          <w:lang w:val="uk-UA"/>
        </w:rPr>
        <w:t xml:space="preserve"> -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баз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</m:t>
            </m:r>
          </m:sup>
        </m:sSubSup>
      </m:oMath>
      <w:r w:rsidR="00D37E41" w:rsidRPr="00286357">
        <w:rPr>
          <w:color w:val="000000" w:themeColor="text1"/>
          <w:szCs w:val="28"/>
          <w:lang w:val="uk-UA"/>
        </w:rPr>
        <w:t xml:space="preserve"> ) / N (грн за 1 т нетто),</w:t>
      </w:r>
      <w:r w:rsidR="00D37E41" w:rsidRPr="00286357" w:rsidDel="0056280E">
        <w:rPr>
          <w:color w:val="000000" w:themeColor="text1"/>
          <w:szCs w:val="28"/>
          <w:lang w:val="uk-UA"/>
        </w:rPr>
        <w:t xml:space="preserve"> </w:t>
      </w:r>
      <w:r w:rsidRPr="003655A3">
        <w:rPr>
          <w:color w:val="000000" w:themeColor="text1"/>
          <w:szCs w:val="28"/>
        </w:rPr>
        <w:t xml:space="preserve">   </w:t>
      </w:r>
      <w:bookmarkStart w:id="1" w:name="_GoBack"/>
      <w:bookmarkEnd w:id="1"/>
      <w:r w:rsidRPr="003655A3">
        <w:rPr>
          <w:color w:val="000000" w:themeColor="text1"/>
          <w:szCs w:val="28"/>
        </w:rPr>
        <w:t xml:space="preserve">                    </w:t>
      </w:r>
      <w:r w:rsidR="00D37E41" w:rsidRPr="00286357">
        <w:rPr>
          <w:color w:val="000000" w:themeColor="text1"/>
          <w:szCs w:val="28"/>
          <w:lang w:val="uk-UA"/>
        </w:rPr>
        <w:t>(12)</w:t>
      </w:r>
    </w:p>
    <w:p w14:paraId="2D4416DB" w14:textId="77777777" w:rsidR="00D37E41" w:rsidRDefault="00D37E41" w:rsidP="00D37E41">
      <w:pPr>
        <w:ind w:firstLine="709"/>
        <w:jc w:val="both"/>
        <w:rPr>
          <w:color w:val="000000" w:themeColor="text1"/>
          <w:szCs w:val="28"/>
          <w:lang w:val="uk-UA"/>
        </w:rPr>
      </w:pPr>
      <w:r w:rsidRPr="00286357">
        <w:rPr>
          <w:color w:val="000000" w:themeColor="text1"/>
          <w:szCs w:val="28"/>
          <w:lang w:val="uk-UA"/>
        </w:rPr>
        <w:t>де</w:t>
      </w:r>
      <w:r w:rsidRPr="00286357">
        <w:rPr>
          <w:color w:val="000000" w:themeColor="text1"/>
          <w:szCs w:val="28"/>
        </w:rPr>
        <w:t xml:space="preserve"> </w:t>
      </w:r>
      <w:r w:rsidRPr="00286357">
        <w:rPr>
          <w:color w:val="000000" w:themeColor="text1"/>
          <w:szCs w:val="28"/>
          <w:lang w:val="en-US"/>
        </w:rPr>
        <w:t>N</w:t>
      </w:r>
      <w:r w:rsidRPr="00286357">
        <w:rPr>
          <w:color w:val="000000" w:themeColor="text1"/>
          <w:szCs w:val="28"/>
        </w:rPr>
        <w:t xml:space="preserve"> </w:t>
      </w:r>
      <w:r w:rsidRPr="00286357">
        <w:rPr>
          <w:color w:val="000000" w:themeColor="text1"/>
          <w:szCs w:val="28"/>
          <w:lang w:val="uk-UA"/>
        </w:rPr>
        <w:t>– кількість кварталів (років) перехідного періоду.</w:t>
      </w:r>
      <w:r>
        <w:rPr>
          <w:color w:val="000000" w:themeColor="text1"/>
          <w:szCs w:val="28"/>
          <w:lang w:val="uk-UA"/>
        </w:rPr>
        <w:t>».</w:t>
      </w:r>
    </w:p>
    <w:p w14:paraId="0454716E" w14:textId="36902DAD" w:rsidR="00D37E41" w:rsidRDefault="00D37E41" w:rsidP="00813AE4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</w:p>
    <w:p w14:paraId="3A800A14" w14:textId="07147EAD" w:rsidR="008E44C7" w:rsidRPr="00C85D8E" w:rsidRDefault="00E05D4D" w:rsidP="00813AE4">
      <w:pPr>
        <w:pStyle w:val="aa"/>
        <w:tabs>
          <w:tab w:val="left" w:pos="993"/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624493" w:rsidRPr="002E0234">
        <w:rPr>
          <w:sz w:val="28"/>
          <w:szCs w:val="28"/>
          <w:lang w:val="uk-UA" w:eastAsia="uk-UA"/>
        </w:rPr>
        <w:t>.</w:t>
      </w:r>
      <w:r w:rsidR="00813AE4">
        <w:rPr>
          <w:sz w:val="28"/>
          <w:szCs w:val="28"/>
          <w:lang w:val="en-US" w:eastAsia="uk-UA"/>
        </w:rPr>
        <w:t>  </w:t>
      </w:r>
      <w:r w:rsidR="00624493" w:rsidRPr="002E0234">
        <w:rPr>
          <w:color w:val="000000"/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584A8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D0F6620" w14:textId="63D388C8" w:rsidR="00624493" w:rsidRDefault="00624493" w:rsidP="006244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14:paraId="45335625" w14:textId="77777777" w:rsidR="00D37E41" w:rsidRPr="00255FDD" w:rsidRDefault="00D37E41" w:rsidP="006244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14:paraId="5F71025A" w14:textId="7866649A" w:rsidR="007B43DD" w:rsidRDefault="007B43DD" w:rsidP="005D7C3A">
      <w:pPr>
        <w:jc w:val="both"/>
        <w:rPr>
          <w:lang w:val="uk-UA"/>
        </w:rPr>
      </w:pPr>
      <w:r w:rsidRPr="00995FA3">
        <w:rPr>
          <w:lang w:val="uk-UA"/>
        </w:rPr>
        <w:t>Голова НКРЕКП</w:t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="00D40BFB">
        <w:rPr>
          <w:lang w:val="uk-UA"/>
        </w:rPr>
        <w:tab/>
      </w:r>
      <w:r w:rsidRPr="00995FA3">
        <w:rPr>
          <w:lang w:val="uk-UA"/>
        </w:rPr>
        <w:tab/>
      </w:r>
      <w:r w:rsidR="00E05D4D">
        <w:rPr>
          <w:lang w:val="uk-UA"/>
        </w:rPr>
        <w:t xml:space="preserve">        Юрій ВЛАСЕНКО</w:t>
      </w:r>
    </w:p>
    <w:sectPr w:rsidR="007B43DD" w:rsidSect="00E460B8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A5E6F" w14:textId="77777777" w:rsidR="001E3FC6" w:rsidRDefault="001E3FC6" w:rsidP="003C1D9C">
      <w:r>
        <w:separator/>
      </w:r>
    </w:p>
  </w:endnote>
  <w:endnote w:type="continuationSeparator" w:id="0">
    <w:p w14:paraId="5292FF35" w14:textId="77777777" w:rsidR="001E3FC6" w:rsidRDefault="001E3FC6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3205D" w14:textId="77777777" w:rsidR="001E3FC6" w:rsidRDefault="001E3FC6" w:rsidP="003C1D9C">
      <w:r>
        <w:separator/>
      </w:r>
    </w:p>
  </w:footnote>
  <w:footnote w:type="continuationSeparator" w:id="0">
    <w:p w14:paraId="41082ACB" w14:textId="77777777" w:rsidR="001E3FC6" w:rsidRDefault="001E3FC6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3F877" w14:textId="77777777" w:rsidR="003C1D9C" w:rsidRPr="003C1D9C" w:rsidRDefault="003C1D9C" w:rsidP="003C1D9C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2469B"/>
    <w:multiLevelType w:val="hybridMultilevel"/>
    <w:tmpl w:val="0E180EFA"/>
    <w:lvl w:ilvl="0" w:tplc="F724C51A">
      <w:start w:val="3"/>
      <w:numFmt w:val="decimal"/>
      <w:lvlText w:val="10.%1."/>
      <w:lvlJc w:val="left"/>
      <w:pPr>
        <w:ind w:left="47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475" w:hanging="360"/>
      </w:pPr>
    </w:lvl>
    <w:lvl w:ilvl="2" w:tplc="0422001B" w:tentative="1">
      <w:start w:val="1"/>
      <w:numFmt w:val="lowerRoman"/>
      <w:lvlText w:val="%3."/>
      <w:lvlJc w:val="right"/>
      <w:pPr>
        <w:ind w:left="6195" w:hanging="180"/>
      </w:pPr>
    </w:lvl>
    <w:lvl w:ilvl="3" w:tplc="0422000F" w:tentative="1">
      <w:start w:val="1"/>
      <w:numFmt w:val="decimal"/>
      <w:lvlText w:val="%4."/>
      <w:lvlJc w:val="left"/>
      <w:pPr>
        <w:ind w:left="6915" w:hanging="360"/>
      </w:pPr>
    </w:lvl>
    <w:lvl w:ilvl="4" w:tplc="04220019" w:tentative="1">
      <w:start w:val="1"/>
      <w:numFmt w:val="lowerLetter"/>
      <w:lvlText w:val="%5."/>
      <w:lvlJc w:val="left"/>
      <w:pPr>
        <w:ind w:left="7635" w:hanging="360"/>
      </w:pPr>
    </w:lvl>
    <w:lvl w:ilvl="5" w:tplc="0422001B" w:tentative="1">
      <w:start w:val="1"/>
      <w:numFmt w:val="lowerRoman"/>
      <w:lvlText w:val="%6."/>
      <w:lvlJc w:val="right"/>
      <w:pPr>
        <w:ind w:left="8355" w:hanging="180"/>
      </w:pPr>
    </w:lvl>
    <w:lvl w:ilvl="6" w:tplc="0422000F" w:tentative="1">
      <w:start w:val="1"/>
      <w:numFmt w:val="decimal"/>
      <w:lvlText w:val="%7."/>
      <w:lvlJc w:val="left"/>
      <w:pPr>
        <w:ind w:left="9075" w:hanging="360"/>
      </w:pPr>
    </w:lvl>
    <w:lvl w:ilvl="7" w:tplc="04220019" w:tentative="1">
      <w:start w:val="1"/>
      <w:numFmt w:val="lowerLetter"/>
      <w:lvlText w:val="%8."/>
      <w:lvlJc w:val="left"/>
      <w:pPr>
        <w:ind w:left="9795" w:hanging="360"/>
      </w:pPr>
    </w:lvl>
    <w:lvl w:ilvl="8" w:tplc="0422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" w15:restartNumberingAfterBreak="0">
    <w:nsid w:val="0C4A2677"/>
    <w:multiLevelType w:val="hybridMultilevel"/>
    <w:tmpl w:val="96B295AA"/>
    <w:lvl w:ilvl="0" w:tplc="595EEF2C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38F5C47"/>
    <w:multiLevelType w:val="hybridMultilevel"/>
    <w:tmpl w:val="9BDA812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B64195"/>
    <w:multiLevelType w:val="hybridMultilevel"/>
    <w:tmpl w:val="87869AD6"/>
    <w:lvl w:ilvl="0" w:tplc="444C632E">
      <w:start w:val="1"/>
      <w:numFmt w:val="decimal"/>
      <w:lvlText w:val="«10.%1."/>
      <w:lvlJc w:val="left"/>
      <w:pPr>
        <w:ind w:left="21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92119"/>
    <w:multiLevelType w:val="hybridMultilevel"/>
    <w:tmpl w:val="FFD64778"/>
    <w:lvl w:ilvl="0" w:tplc="444C632E">
      <w:start w:val="1"/>
      <w:numFmt w:val="decimal"/>
      <w:lvlText w:val="«10.%1."/>
      <w:lvlJc w:val="left"/>
      <w:pPr>
        <w:ind w:left="2869" w:hanging="360"/>
      </w:pPr>
      <w:rPr>
        <w:rFonts w:hint="default"/>
      </w:rPr>
    </w:lvl>
    <w:lvl w:ilvl="1" w:tplc="434E8DB6">
      <w:start w:val="2"/>
      <w:numFmt w:val="decimal"/>
      <w:lvlText w:val="10.%2."/>
      <w:lvlJc w:val="left"/>
      <w:pPr>
        <w:ind w:left="2149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30719"/>
    <w:rsid w:val="000A14B6"/>
    <w:rsid w:val="000C0247"/>
    <w:rsid w:val="000E5091"/>
    <w:rsid w:val="001313DC"/>
    <w:rsid w:val="0017633B"/>
    <w:rsid w:val="001864AD"/>
    <w:rsid w:val="001A48F0"/>
    <w:rsid w:val="001E3FC6"/>
    <w:rsid w:val="00250E3D"/>
    <w:rsid w:val="0028414A"/>
    <w:rsid w:val="002A5296"/>
    <w:rsid w:val="002C153A"/>
    <w:rsid w:val="002E0234"/>
    <w:rsid w:val="002E0B9D"/>
    <w:rsid w:val="00330199"/>
    <w:rsid w:val="003655A3"/>
    <w:rsid w:val="003C1706"/>
    <w:rsid w:val="003C1D9C"/>
    <w:rsid w:val="003D086F"/>
    <w:rsid w:val="0045161D"/>
    <w:rsid w:val="004601F5"/>
    <w:rsid w:val="004A074D"/>
    <w:rsid w:val="004D3E2D"/>
    <w:rsid w:val="004E37EB"/>
    <w:rsid w:val="004E4C4B"/>
    <w:rsid w:val="005410F0"/>
    <w:rsid w:val="00574DFE"/>
    <w:rsid w:val="00584A84"/>
    <w:rsid w:val="005A10E4"/>
    <w:rsid w:val="005D7C3A"/>
    <w:rsid w:val="00612D56"/>
    <w:rsid w:val="006238ED"/>
    <w:rsid w:val="00624493"/>
    <w:rsid w:val="0066184C"/>
    <w:rsid w:val="00674CC5"/>
    <w:rsid w:val="00675FFA"/>
    <w:rsid w:val="006E0E19"/>
    <w:rsid w:val="006E5BB2"/>
    <w:rsid w:val="00731B51"/>
    <w:rsid w:val="00757462"/>
    <w:rsid w:val="00761393"/>
    <w:rsid w:val="00775AB8"/>
    <w:rsid w:val="007A040B"/>
    <w:rsid w:val="007B2F2D"/>
    <w:rsid w:val="007B43DD"/>
    <w:rsid w:val="007C39FD"/>
    <w:rsid w:val="007C5904"/>
    <w:rsid w:val="00810E69"/>
    <w:rsid w:val="00813AE4"/>
    <w:rsid w:val="008346C9"/>
    <w:rsid w:val="00892E58"/>
    <w:rsid w:val="008C40E6"/>
    <w:rsid w:val="008E44C7"/>
    <w:rsid w:val="008F4479"/>
    <w:rsid w:val="0091696E"/>
    <w:rsid w:val="009260C8"/>
    <w:rsid w:val="00957A2B"/>
    <w:rsid w:val="009668DE"/>
    <w:rsid w:val="009C6CD0"/>
    <w:rsid w:val="009E11F6"/>
    <w:rsid w:val="009E70A0"/>
    <w:rsid w:val="00A0738E"/>
    <w:rsid w:val="00A34388"/>
    <w:rsid w:val="00A670CE"/>
    <w:rsid w:val="00A907EB"/>
    <w:rsid w:val="00B07E28"/>
    <w:rsid w:val="00B14F06"/>
    <w:rsid w:val="00B728DD"/>
    <w:rsid w:val="00BC3F60"/>
    <w:rsid w:val="00BE3619"/>
    <w:rsid w:val="00BF4E4F"/>
    <w:rsid w:val="00C22101"/>
    <w:rsid w:val="00C63A86"/>
    <w:rsid w:val="00C85D8E"/>
    <w:rsid w:val="00C87434"/>
    <w:rsid w:val="00CA1F58"/>
    <w:rsid w:val="00CA2B0E"/>
    <w:rsid w:val="00CE05C7"/>
    <w:rsid w:val="00CE662F"/>
    <w:rsid w:val="00CF78E8"/>
    <w:rsid w:val="00D014C3"/>
    <w:rsid w:val="00D060B6"/>
    <w:rsid w:val="00D37E41"/>
    <w:rsid w:val="00D40BFB"/>
    <w:rsid w:val="00D86C68"/>
    <w:rsid w:val="00D9025A"/>
    <w:rsid w:val="00DA62A2"/>
    <w:rsid w:val="00DC0E8C"/>
    <w:rsid w:val="00DC2C8C"/>
    <w:rsid w:val="00DC6656"/>
    <w:rsid w:val="00E05D4D"/>
    <w:rsid w:val="00E30B4A"/>
    <w:rsid w:val="00E37CB1"/>
    <w:rsid w:val="00E460B8"/>
    <w:rsid w:val="00E713C5"/>
    <w:rsid w:val="00EC2CC9"/>
    <w:rsid w:val="00EE5486"/>
    <w:rsid w:val="00F46B39"/>
    <w:rsid w:val="00F8529E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Placeholder Text"/>
    <w:basedOn w:val="a0"/>
    <w:uiPriority w:val="99"/>
    <w:semiHidden/>
    <w:rsid w:val="00C63A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0D42-9C18-449A-951E-1E092901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Борис Пиж</cp:lastModifiedBy>
  <cp:revision>12</cp:revision>
  <cp:lastPrinted>2024-08-28T05:57:00Z</cp:lastPrinted>
  <dcterms:created xsi:type="dcterms:W3CDTF">2024-09-24T08:07:00Z</dcterms:created>
  <dcterms:modified xsi:type="dcterms:W3CDTF">2024-09-30T09:21:00Z</dcterms:modified>
</cp:coreProperties>
</file>