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79C9F" w14:textId="1174E298" w:rsidR="0036459A" w:rsidRPr="00CA2E36" w:rsidRDefault="00674AA0" w:rsidP="00674AA0">
      <w:pPr>
        <w:jc w:val="center"/>
        <w:rPr>
          <w:b/>
        </w:rPr>
      </w:pPr>
      <w:r>
        <w:rPr>
          <w:rStyle w:val="rvts15"/>
          <w:b/>
          <w:bCs/>
          <w:shd w:val="clear" w:color="auto" w:fill="FFFFFF"/>
        </w:rPr>
        <w:t xml:space="preserve">Порівняльна </w:t>
      </w:r>
      <w:r w:rsidRPr="00CA2E36">
        <w:rPr>
          <w:rStyle w:val="rvts15"/>
          <w:b/>
          <w:bCs/>
          <w:shd w:val="clear" w:color="auto" w:fill="FFFFFF"/>
        </w:rPr>
        <w:t xml:space="preserve">таблиця до проекту рішення НКРЕКП, що має ознаки регуляторного </w:t>
      </w:r>
      <w:proofErr w:type="spellStart"/>
      <w:r w:rsidRPr="00CA2E36">
        <w:rPr>
          <w:rStyle w:val="rvts15"/>
          <w:b/>
          <w:bCs/>
          <w:shd w:val="clear" w:color="auto" w:fill="FFFFFF"/>
        </w:rPr>
        <w:t>акта</w:t>
      </w:r>
      <w:proofErr w:type="spellEnd"/>
      <w:r w:rsidRPr="00CA2E36">
        <w:rPr>
          <w:rStyle w:val="rvts15"/>
          <w:b/>
          <w:bCs/>
          <w:shd w:val="clear" w:color="auto" w:fill="FFFFFF"/>
        </w:rPr>
        <w:t xml:space="preserve"> «</w:t>
      </w:r>
      <w:r w:rsidR="00CA2E36" w:rsidRPr="00CA2E36">
        <w:rPr>
          <w:b/>
          <w:bCs/>
          <w:shd w:val="clear" w:color="auto" w:fill="FFFFFF"/>
        </w:rPr>
        <w:t>Про затвердження Змін до постанови НКРЕКП від 27 грудня 2023 року № 2624</w:t>
      </w:r>
      <w:r w:rsidRPr="00CA2E36">
        <w:rPr>
          <w:b/>
          <w:bCs/>
          <w:shd w:val="clear" w:color="auto" w:fill="FFFFFF"/>
        </w:rPr>
        <w:t>»</w:t>
      </w:r>
    </w:p>
    <w:tbl>
      <w:tblPr>
        <w:tblStyle w:val="a3"/>
        <w:tblW w:w="0" w:type="auto"/>
        <w:tblLook w:val="04A0" w:firstRow="1" w:lastRow="0" w:firstColumn="1" w:lastColumn="0" w:noHBand="0" w:noVBand="1"/>
      </w:tblPr>
      <w:tblGrid>
        <w:gridCol w:w="7650"/>
        <w:gridCol w:w="7478"/>
      </w:tblGrid>
      <w:tr w:rsidR="00CA2E36" w:rsidRPr="00CA2E36" w14:paraId="583BFFEC" w14:textId="77777777" w:rsidTr="00A52AD2">
        <w:tc>
          <w:tcPr>
            <w:tcW w:w="7650" w:type="dxa"/>
          </w:tcPr>
          <w:p w14:paraId="54A0832F" w14:textId="754B0B2F" w:rsidR="00F4785B" w:rsidRPr="00CA2E36" w:rsidRDefault="00CA2E36" w:rsidP="00823D8A">
            <w:pPr>
              <w:spacing w:after="0" w:line="240" w:lineRule="auto"/>
              <w:jc w:val="center"/>
              <w:rPr>
                <w:b/>
                <w:sz w:val="22"/>
                <w:szCs w:val="22"/>
              </w:rPr>
            </w:pPr>
            <w:r>
              <w:rPr>
                <w:b/>
                <w:bCs/>
                <w:sz w:val="22"/>
                <w:szCs w:val="22"/>
                <w:shd w:val="clear" w:color="auto" w:fill="FFFFFF"/>
              </w:rPr>
              <w:t>Діюча р</w:t>
            </w:r>
            <w:r w:rsidR="005042B9" w:rsidRPr="00CA2E36">
              <w:rPr>
                <w:b/>
                <w:bCs/>
                <w:sz w:val="22"/>
                <w:szCs w:val="22"/>
                <w:shd w:val="clear" w:color="auto" w:fill="FFFFFF"/>
              </w:rPr>
              <w:t>едакці</w:t>
            </w:r>
            <w:r>
              <w:rPr>
                <w:b/>
                <w:bCs/>
                <w:sz w:val="22"/>
                <w:szCs w:val="22"/>
                <w:shd w:val="clear" w:color="auto" w:fill="FFFFFF"/>
              </w:rPr>
              <w:t>я</w:t>
            </w:r>
            <w:r w:rsidR="005042B9" w:rsidRPr="00CA2E36">
              <w:rPr>
                <w:b/>
                <w:bCs/>
                <w:sz w:val="22"/>
                <w:szCs w:val="22"/>
                <w:shd w:val="clear" w:color="auto" w:fill="FFFFFF"/>
              </w:rPr>
              <w:t xml:space="preserve"> </w:t>
            </w:r>
            <w:r>
              <w:rPr>
                <w:b/>
                <w:bCs/>
                <w:sz w:val="22"/>
                <w:szCs w:val="22"/>
                <w:shd w:val="clear" w:color="auto" w:fill="FFFFFF"/>
              </w:rPr>
              <w:t>п</w:t>
            </w:r>
            <w:r w:rsidRPr="00CA2E36">
              <w:rPr>
                <w:b/>
                <w:sz w:val="22"/>
                <w:szCs w:val="22"/>
              </w:rPr>
              <w:t>останов</w:t>
            </w:r>
            <w:r>
              <w:rPr>
                <w:b/>
                <w:sz w:val="22"/>
                <w:szCs w:val="22"/>
              </w:rPr>
              <w:t>и</w:t>
            </w:r>
            <w:r w:rsidRPr="00CA2E36">
              <w:rPr>
                <w:b/>
                <w:sz w:val="22"/>
                <w:szCs w:val="22"/>
              </w:rPr>
              <w:t xml:space="preserve"> НКРЕКП від </w:t>
            </w:r>
            <w:r w:rsidRPr="00CA2E36">
              <w:rPr>
                <w:b/>
                <w:bCs/>
                <w:sz w:val="22"/>
                <w:szCs w:val="22"/>
                <w:shd w:val="clear" w:color="auto" w:fill="FFFFFF"/>
              </w:rPr>
              <w:t>27.12.2023  № 2624</w:t>
            </w:r>
          </w:p>
        </w:tc>
        <w:tc>
          <w:tcPr>
            <w:tcW w:w="7478" w:type="dxa"/>
          </w:tcPr>
          <w:p w14:paraId="2CD592FE" w14:textId="7496A809" w:rsidR="00F4785B" w:rsidRPr="00CA2E36" w:rsidRDefault="00F4785B" w:rsidP="00823D8A">
            <w:pPr>
              <w:spacing w:after="0" w:line="240" w:lineRule="auto"/>
              <w:jc w:val="center"/>
              <w:rPr>
                <w:b/>
                <w:bCs/>
                <w:sz w:val="22"/>
                <w:szCs w:val="22"/>
                <w:shd w:val="clear" w:color="auto" w:fill="FFFFFF"/>
              </w:rPr>
            </w:pPr>
            <w:proofErr w:type="spellStart"/>
            <w:r w:rsidRPr="00CA2E36">
              <w:rPr>
                <w:b/>
                <w:bCs/>
                <w:sz w:val="22"/>
                <w:szCs w:val="22"/>
                <w:shd w:val="clear" w:color="auto" w:fill="FFFFFF"/>
              </w:rPr>
              <w:t>Проєкт</w:t>
            </w:r>
            <w:proofErr w:type="spellEnd"/>
            <w:r w:rsidRPr="00CA2E36">
              <w:rPr>
                <w:b/>
                <w:bCs/>
                <w:sz w:val="22"/>
                <w:szCs w:val="22"/>
                <w:shd w:val="clear" w:color="auto" w:fill="FFFFFF"/>
              </w:rPr>
              <w:t xml:space="preserve"> постанови НКРЕКП «Про </w:t>
            </w:r>
            <w:r w:rsidR="005042B9" w:rsidRPr="00CA2E36">
              <w:rPr>
                <w:b/>
                <w:bCs/>
                <w:sz w:val="22"/>
                <w:szCs w:val="22"/>
                <w:shd w:val="clear" w:color="auto" w:fill="FFFFFF"/>
              </w:rPr>
              <w:t xml:space="preserve">затвердження </w:t>
            </w:r>
            <w:r w:rsidR="00CA2E36">
              <w:rPr>
                <w:b/>
                <w:bCs/>
                <w:sz w:val="22"/>
                <w:szCs w:val="22"/>
                <w:shd w:val="clear" w:color="auto" w:fill="FFFFFF"/>
              </w:rPr>
              <w:t>З</w:t>
            </w:r>
            <w:r w:rsidR="005042B9" w:rsidRPr="00CA2E36">
              <w:rPr>
                <w:b/>
                <w:bCs/>
                <w:sz w:val="22"/>
                <w:szCs w:val="22"/>
                <w:shd w:val="clear" w:color="auto" w:fill="FFFFFF"/>
              </w:rPr>
              <w:t xml:space="preserve">мін до </w:t>
            </w:r>
            <w:r w:rsidR="00CA2E36">
              <w:rPr>
                <w:b/>
                <w:bCs/>
                <w:sz w:val="22"/>
                <w:szCs w:val="22"/>
                <w:shd w:val="clear" w:color="auto" w:fill="FFFFFF"/>
              </w:rPr>
              <w:t>постанови НКРЕКП від 27 грудня 2023 року № 2624</w:t>
            </w:r>
            <w:r w:rsidRPr="00CA2E36">
              <w:rPr>
                <w:b/>
                <w:bCs/>
                <w:sz w:val="22"/>
                <w:szCs w:val="22"/>
                <w:shd w:val="clear" w:color="auto" w:fill="FFFFFF"/>
              </w:rPr>
              <w:t>»</w:t>
            </w:r>
          </w:p>
          <w:p w14:paraId="1874E9DA" w14:textId="77777777" w:rsidR="00823D8A" w:rsidRPr="00CA2E36" w:rsidRDefault="00823D8A" w:rsidP="00823D8A">
            <w:pPr>
              <w:spacing w:after="0" w:line="240" w:lineRule="auto"/>
              <w:jc w:val="center"/>
              <w:rPr>
                <w:b/>
                <w:sz w:val="22"/>
                <w:szCs w:val="22"/>
              </w:rPr>
            </w:pPr>
          </w:p>
        </w:tc>
      </w:tr>
      <w:tr w:rsidR="00CA2E36" w:rsidRPr="00CA2E36" w14:paraId="3D1D6A0C" w14:textId="77777777" w:rsidTr="000F5472">
        <w:tc>
          <w:tcPr>
            <w:tcW w:w="15128" w:type="dxa"/>
            <w:gridSpan w:val="2"/>
          </w:tcPr>
          <w:p w14:paraId="7C82B317" w14:textId="688F2522" w:rsidR="00A52AD2" w:rsidRPr="00CA2E36" w:rsidRDefault="00CA2E36" w:rsidP="00823D8A">
            <w:pPr>
              <w:spacing w:after="0" w:line="240" w:lineRule="auto"/>
              <w:jc w:val="center"/>
              <w:rPr>
                <w:b/>
                <w:sz w:val="22"/>
                <w:szCs w:val="22"/>
              </w:rPr>
            </w:pPr>
            <w:r w:rsidRPr="00CA2E36">
              <w:rPr>
                <w:b/>
                <w:sz w:val="22"/>
                <w:szCs w:val="22"/>
              </w:rPr>
              <w:t xml:space="preserve">Постанова НКРЕКП від </w:t>
            </w:r>
            <w:r w:rsidRPr="00CA2E36">
              <w:rPr>
                <w:b/>
                <w:bCs/>
                <w:sz w:val="22"/>
                <w:szCs w:val="22"/>
                <w:shd w:val="clear" w:color="auto" w:fill="FFFFFF"/>
              </w:rPr>
              <w:t>27.12.2023  № 2624</w:t>
            </w:r>
          </w:p>
        </w:tc>
      </w:tr>
      <w:tr w:rsidR="00CA2E36" w:rsidRPr="00CA2E36" w14:paraId="7FFB5E2F" w14:textId="77777777" w:rsidTr="00A52AD2">
        <w:tc>
          <w:tcPr>
            <w:tcW w:w="7650" w:type="dxa"/>
          </w:tcPr>
          <w:p w14:paraId="2E81BB4A"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2. Адміністратору комерційного обліку (НЕК «УКРЕНЕРГО»):</w:t>
            </w:r>
          </w:p>
          <w:p w14:paraId="41FAD1B6"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0" w:name="n7"/>
            <w:bookmarkEnd w:id="0"/>
            <w:r w:rsidRPr="00CA2E36">
              <w:rPr>
                <w:sz w:val="22"/>
                <w:szCs w:val="22"/>
                <w:lang w:val="uk-UA"/>
              </w:rPr>
              <w:t xml:space="preserve">1) забезпечити наявність та опрацювання в центральній інформаційно-телекомунікаційній платформі </w:t>
            </w:r>
            <w:proofErr w:type="spellStart"/>
            <w:r w:rsidRPr="00CA2E36">
              <w:rPr>
                <w:sz w:val="22"/>
                <w:szCs w:val="22"/>
                <w:lang w:val="uk-UA"/>
              </w:rPr>
              <w:t>Датахаб</w:t>
            </w:r>
            <w:proofErr w:type="spellEnd"/>
            <w:r w:rsidRPr="00CA2E36">
              <w:rPr>
                <w:sz w:val="22"/>
                <w:szCs w:val="22"/>
                <w:lang w:val="uk-UA"/>
              </w:rPr>
              <w:t xml:space="preserve"> інформації (даних) щодо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визначеної у </w:t>
            </w:r>
            <w:hyperlink r:id="rId5" w:anchor="n50" w:history="1">
              <w:r w:rsidRPr="00CA2E36">
                <w:rPr>
                  <w:rStyle w:val="a4"/>
                  <w:color w:val="auto"/>
                  <w:sz w:val="22"/>
                  <w:szCs w:val="22"/>
                  <w:u w:val="none"/>
                  <w:lang w:val="uk-UA"/>
                </w:rPr>
                <w:t>пункті 8</w:t>
              </w:r>
            </w:hyperlink>
            <w:r w:rsidRPr="00CA2E36">
              <w:rPr>
                <w:sz w:val="22"/>
                <w:szCs w:val="22"/>
                <w:lang w:val="uk-UA"/>
              </w:rPr>
              <w:t> Порядку, а саме:</w:t>
            </w:r>
          </w:p>
          <w:p w14:paraId="4E4C0610"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1" w:name="n8"/>
            <w:bookmarkEnd w:id="1"/>
            <w:r w:rsidRPr="00CA2E36">
              <w:rPr>
                <w:sz w:val="22"/>
                <w:szCs w:val="22"/>
                <w:lang w:val="uk-UA"/>
              </w:rPr>
              <w:t>інформації, передбаченої у </w:t>
            </w:r>
            <w:hyperlink r:id="rId6" w:anchor="n51" w:history="1">
              <w:r w:rsidRPr="00CA2E36">
                <w:rPr>
                  <w:rStyle w:val="a4"/>
                  <w:color w:val="auto"/>
                  <w:sz w:val="22"/>
                  <w:szCs w:val="22"/>
                  <w:u w:val="none"/>
                  <w:lang w:val="uk-UA"/>
                </w:rPr>
                <w:t>підпунктах 1</w:t>
              </w:r>
            </w:hyperlink>
            <w:r w:rsidRPr="00CA2E36">
              <w:rPr>
                <w:sz w:val="22"/>
                <w:szCs w:val="22"/>
                <w:lang w:val="uk-UA"/>
              </w:rPr>
              <w:t> та </w:t>
            </w:r>
            <w:hyperlink r:id="rId7" w:anchor="n54" w:history="1">
              <w:r w:rsidRPr="00CA2E36">
                <w:rPr>
                  <w:rStyle w:val="a4"/>
                  <w:color w:val="auto"/>
                  <w:sz w:val="22"/>
                  <w:szCs w:val="22"/>
                  <w:u w:val="none"/>
                  <w:lang w:val="uk-UA"/>
                </w:rPr>
                <w:t>4</w:t>
              </w:r>
            </w:hyperlink>
            <w:r w:rsidRPr="00CA2E36">
              <w:rPr>
                <w:sz w:val="22"/>
                <w:szCs w:val="22"/>
                <w:lang w:val="uk-UA"/>
              </w:rPr>
              <w:t>, щодо юридичних осіб, фізичних осіб - підприємців та громадських формувань, до 01 лютого 2024 року;</w:t>
            </w:r>
          </w:p>
          <w:p w14:paraId="55917093"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2" w:name="n9"/>
            <w:bookmarkEnd w:id="2"/>
            <w:r w:rsidRPr="00CA2E36">
              <w:rPr>
                <w:sz w:val="22"/>
                <w:szCs w:val="22"/>
                <w:lang w:val="uk-UA"/>
              </w:rPr>
              <w:t>інформації, передбаченої у підпунктах 1 та 4, щодо фізичних осіб до  01 липня 2024 року;</w:t>
            </w:r>
          </w:p>
          <w:p w14:paraId="47988C4C"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3" w:name="n10"/>
            <w:bookmarkEnd w:id="3"/>
            <w:r w:rsidRPr="00CA2E36">
              <w:rPr>
                <w:sz w:val="22"/>
                <w:szCs w:val="22"/>
                <w:lang w:val="uk-UA"/>
              </w:rPr>
              <w:t>інформації, передбаченої у </w:t>
            </w:r>
            <w:hyperlink r:id="rId8" w:anchor="n65" w:history="1">
              <w:r w:rsidRPr="00CA2E36">
                <w:rPr>
                  <w:rStyle w:val="a4"/>
                  <w:color w:val="auto"/>
                  <w:sz w:val="22"/>
                  <w:szCs w:val="22"/>
                  <w:u w:val="none"/>
                  <w:lang w:val="uk-UA"/>
                </w:rPr>
                <w:t>підпунктах 15</w:t>
              </w:r>
            </w:hyperlink>
            <w:r w:rsidRPr="00CA2E36">
              <w:rPr>
                <w:sz w:val="22"/>
                <w:szCs w:val="22"/>
                <w:lang w:val="uk-UA"/>
              </w:rPr>
              <w:t> та </w:t>
            </w:r>
            <w:hyperlink r:id="rId9" w:anchor="n66" w:history="1">
              <w:r w:rsidRPr="00CA2E36">
                <w:rPr>
                  <w:rStyle w:val="a4"/>
                  <w:color w:val="auto"/>
                  <w:sz w:val="22"/>
                  <w:szCs w:val="22"/>
                  <w:u w:val="none"/>
                  <w:lang w:val="uk-UA"/>
                </w:rPr>
                <w:t>16</w:t>
              </w:r>
            </w:hyperlink>
            <w:r w:rsidRPr="00CA2E36">
              <w:rPr>
                <w:sz w:val="22"/>
                <w:szCs w:val="22"/>
                <w:lang w:val="uk-UA"/>
              </w:rPr>
              <w:t>, до 01 червня 2024 року;</w:t>
            </w:r>
          </w:p>
          <w:p w14:paraId="42364C58" w14:textId="579B4DF6" w:rsidR="006D2563"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4" w:name="n11"/>
            <w:bookmarkEnd w:id="4"/>
            <w:r w:rsidRPr="00CA2E36">
              <w:rPr>
                <w:sz w:val="22"/>
                <w:szCs w:val="22"/>
                <w:lang w:val="uk-UA"/>
              </w:rPr>
              <w:t>інформації, передбаченої в інших підпунктах (крім </w:t>
            </w:r>
            <w:hyperlink r:id="rId10" w:anchor="n53" w:history="1">
              <w:r w:rsidRPr="00CA2E36">
                <w:rPr>
                  <w:rStyle w:val="a4"/>
                  <w:color w:val="auto"/>
                  <w:sz w:val="22"/>
                  <w:szCs w:val="22"/>
                  <w:u w:val="none"/>
                  <w:lang w:val="uk-UA"/>
                </w:rPr>
                <w:t>підпункту 3</w:t>
              </w:r>
            </w:hyperlink>
            <w:r w:rsidRPr="00CA2E36">
              <w:rPr>
                <w:sz w:val="22"/>
                <w:szCs w:val="22"/>
                <w:lang w:val="uk-UA"/>
              </w:rPr>
              <w:t xml:space="preserve">) (згідно з діючими довідниками </w:t>
            </w:r>
            <w:proofErr w:type="spellStart"/>
            <w:r w:rsidRPr="00CA2E36">
              <w:rPr>
                <w:sz w:val="22"/>
                <w:szCs w:val="22"/>
                <w:lang w:val="uk-UA"/>
              </w:rPr>
              <w:t>Датахаб</w:t>
            </w:r>
            <w:proofErr w:type="spellEnd"/>
            <w:r w:rsidRPr="00CA2E36">
              <w:rPr>
                <w:sz w:val="22"/>
                <w:szCs w:val="22"/>
                <w:lang w:val="uk-UA"/>
              </w:rPr>
              <w:t>), до 10 січня 2024 року;</w:t>
            </w:r>
            <w:bookmarkStart w:id="5" w:name="n12"/>
            <w:bookmarkEnd w:id="5"/>
          </w:p>
          <w:p w14:paraId="5D6F00EE" w14:textId="217DF69F" w:rsidR="006D2563" w:rsidRPr="00CA2E36" w:rsidRDefault="006D2563" w:rsidP="00FE7C93">
            <w:pPr>
              <w:spacing w:after="0" w:line="240" w:lineRule="auto"/>
              <w:jc w:val="both"/>
              <w:rPr>
                <w:b/>
                <w:bCs/>
                <w:sz w:val="22"/>
                <w:szCs w:val="22"/>
                <w:shd w:val="clear" w:color="auto" w:fill="FFFFFF"/>
              </w:rPr>
            </w:pPr>
            <w:r w:rsidRPr="00CA2E36">
              <w:rPr>
                <w:b/>
                <w:bCs/>
                <w:sz w:val="22"/>
                <w:szCs w:val="22"/>
                <w:shd w:val="clear" w:color="auto" w:fill="FFFFFF"/>
              </w:rPr>
              <w:t>Положення відсутнє</w:t>
            </w:r>
          </w:p>
        </w:tc>
        <w:tc>
          <w:tcPr>
            <w:tcW w:w="7478" w:type="dxa"/>
          </w:tcPr>
          <w:p w14:paraId="4BFA8638" w14:textId="237D2BC3" w:rsidR="008D66CC" w:rsidRPr="008D66CC" w:rsidRDefault="008D66CC" w:rsidP="008D66CC">
            <w:pPr>
              <w:shd w:val="clear" w:color="auto" w:fill="FFFFFF"/>
              <w:tabs>
                <w:tab w:val="left" w:pos="993"/>
              </w:tabs>
              <w:jc w:val="both"/>
              <w:rPr>
                <w:rFonts w:eastAsia="Times New Roman"/>
                <w:bCs/>
                <w:sz w:val="22"/>
                <w:szCs w:val="22"/>
                <w:shd w:val="clear" w:color="auto" w:fill="FFFFFF"/>
              </w:rPr>
            </w:pPr>
            <w:r>
              <w:rPr>
                <w:bCs/>
                <w:sz w:val="22"/>
                <w:szCs w:val="22"/>
                <w:shd w:val="clear" w:color="auto" w:fill="FFFFFF"/>
                <w:lang w:val="ru-RU"/>
              </w:rPr>
              <w:t xml:space="preserve">        </w:t>
            </w:r>
            <w:r w:rsidRPr="008D66CC">
              <w:rPr>
                <w:bCs/>
                <w:sz w:val="22"/>
                <w:szCs w:val="22"/>
                <w:shd w:val="clear" w:color="auto" w:fill="FFFFFF"/>
              </w:rPr>
              <w:t>підпункт 1 доповнити новим абзацом такого змісту:</w:t>
            </w:r>
          </w:p>
          <w:p w14:paraId="6A90B7F4" w14:textId="67268649"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2. Адміністратору комерційного обліку (НЕК «УКРЕНЕРГО»):</w:t>
            </w:r>
          </w:p>
          <w:p w14:paraId="4CEDEE79"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 xml:space="preserve">1) забезпечити наявність та опрацювання в центральній інформаційно-телекомунікаційній платформі </w:t>
            </w:r>
            <w:proofErr w:type="spellStart"/>
            <w:r w:rsidRPr="00CA2E36">
              <w:rPr>
                <w:sz w:val="22"/>
                <w:szCs w:val="22"/>
                <w:lang w:val="uk-UA"/>
              </w:rPr>
              <w:t>Датахаб</w:t>
            </w:r>
            <w:proofErr w:type="spellEnd"/>
            <w:r w:rsidRPr="00CA2E36">
              <w:rPr>
                <w:sz w:val="22"/>
                <w:szCs w:val="22"/>
                <w:lang w:val="uk-UA"/>
              </w:rPr>
              <w:t xml:space="preserve"> інформації (даних) щодо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визначеної у </w:t>
            </w:r>
            <w:hyperlink r:id="rId11" w:anchor="n50" w:history="1">
              <w:r w:rsidRPr="00CA2E36">
                <w:rPr>
                  <w:rStyle w:val="a4"/>
                  <w:color w:val="auto"/>
                  <w:sz w:val="22"/>
                  <w:szCs w:val="22"/>
                  <w:u w:val="none"/>
                  <w:lang w:val="uk-UA"/>
                </w:rPr>
                <w:t>пункті 8</w:t>
              </w:r>
            </w:hyperlink>
            <w:r w:rsidRPr="00CA2E36">
              <w:rPr>
                <w:sz w:val="22"/>
                <w:szCs w:val="22"/>
                <w:lang w:val="uk-UA"/>
              </w:rPr>
              <w:t> Порядку, а саме:</w:t>
            </w:r>
          </w:p>
          <w:p w14:paraId="5EE278D6"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інформації, передбаченої у </w:t>
            </w:r>
            <w:hyperlink r:id="rId12" w:anchor="n51" w:history="1">
              <w:r w:rsidRPr="00CA2E36">
                <w:rPr>
                  <w:rStyle w:val="a4"/>
                  <w:color w:val="auto"/>
                  <w:sz w:val="22"/>
                  <w:szCs w:val="22"/>
                  <w:u w:val="none"/>
                  <w:lang w:val="uk-UA"/>
                </w:rPr>
                <w:t>підпунктах 1</w:t>
              </w:r>
            </w:hyperlink>
            <w:r w:rsidRPr="00CA2E36">
              <w:rPr>
                <w:sz w:val="22"/>
                <w:szCs w:val="22"/>
                <w:lang w:val="uk-UA"/>
              </w:rPr>
              <w:t> та </w:t>
            </w:r>
            <w:hyperlink r:id="rId13" w:anchor="n54" w:history="1">
              <w:r w:rsidRPr="00CA2E36">
                <w:rPr>
                  <w:rStyle w:val="a4"/>
                  <w:color w:val="auto"/>
                  <w:sz w:val="22"/>
                  <w:szCs w:val="22"/>
                  <w:u w:val="none"/>
                  <w:lang w:val="uk-UA"/>
                </w:rPr>
                <w:t>4</w:t>
              </w:r>
            </w:hyperlink>
            <w:r w:rsidRPr="00CA2E36">
              <w:rPr>
                <w:sz w:val="22"/>
                <w:szCs w:val="22"/>
                <w:lang w:val="uk-UA"/>
              </w:rPr>
              <w:t>, щодо юридичних осіб, фізичних осіб - підприємців та громадських формувань, до 01 лютого 2024 року;</w:t>
            </w:r>
          </w:p>
          <w:p w14:paraId="3142A4A0"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інформації, передбаченої у підпунктах 1 та 4, щодо фізичних осіб до  01 липня 2024 року;</w:t>
            </w:r>
          </w:p>
          <w:p w14:paraId="64B263C4"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інформації, передбаченої у </w:t>
            </w:r>
            <w:hyperlink r:id="rId14" w:anchor="n65" w:history="1">
              <w:r w:rsidRPr="00CA2E36">
                <w:rPr>
                  <w:rStyle w:val="a4"/>
                  <w:color w:val="auto"/>
                  <w:sz w:val="22"/>
                  <w:szCs w:val="22"/>
                  <w:u w:val="none"/>
                  <w:lang w:val="uk-UA"/>
                </w:rPr>
                <w:t>підпунктах 15</w:t>
              </w:r>
            </w:hyperlink>
            <w:r w:rsidRPr="00CA2E36">
              <w:rPr>
                <w:sz w:val="22"/>
                <w:szCs w:val="22"/>
                <w:lang w:val="uk-UA"/>
              </w:rPr>
              <w:t> та </w:t>
            </w:r>
            <w:hyperlink r:id="rId15" w:anchor="n66" w:history="1">
              <w:r w:rsidRPr="00CA2E36">
                <w:rPr>
                  <w:rStyle w:val="a4"/>
                  <w:color w:val="auto"/>
                  <w:sz w:val="22"/>
                  <w:szCs w:val="22"/>
                  <w:u w:val="none"/>
                  <w:lang w:val="uk-UA"/>
                </w:rPr>
                <w:t>16</w:t>
              </w:r>
            </w:hyperlink>
            <w:r w:rsidRPr="00CA2E36">
              <w:rPr>
                <w:sz w:val="22"/>
                <w:szCs w:val="22"/>
                <w:lang w:val="uk-UA"/>
              </w:rPr>
              <w:t>, до 01 червня 2024 року;</w:t>
            </w:r>
          </w:p>
          <w:p w14:paraId="2AAA47A5" w14:textId="3AC5B012"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інформації, передбаченої в інших підпунктах (крім </w:t>
            </w:r>
            <w:hyperlink r:id="rId16" w:anchor="n53" w:history="1">
              <w:r w:rsidRPr="00CA2E36">
                <w:rPr>
                  <w:rStyle w:val="a4"/>
                  <w:color w:val="auto"/>
                  <w:sz w:val="22"/>
                  <w:szCs w:val="22"/>
                  <w:u w:val="none"/>
                  <w:lang w:val="uk-UA"/>
                </w:rPr>
                <w:t>підпункту 3</w:t>
              </w:r>
            </w:hyperlink>
            <w:r w:rsidRPr="00CA2E36">
              <w:rPr>
                <w:sz w:val="22"/>
                <w:szCs w:val="22"/>
                <w:lang w:val="uk-UA"/>
              </w:rPr>
              <w:t xml:space="preserve">) (згідно з діючими довідниками </w:t>
            </w:r>
            <w:proofErr w:type="spellStart"/>
            <w:r w:rsidRPr="00CA2E36">
              <w:rPr>
                <w:sz w:val="22"/>
                <w:szCs w:val="22"/>
                <w:lang w:val="uk-UA"/>
              </w:rPr>
              <w:t>Датахаб</w:t>
            </w:r>
            <w:proofErr w:type="spellEnd"/>
            <w:r w:rsidRPr="00CA2E36">
              <w:rPr>
                <w:sz w:val="22"/>
                <w:szCs w:val="22"/>
                <w:lang w:val="uk-UA"/>
              </w:rPr>
              <w:t>), до 10 січня 2024 року;</w:t>
            </w:r>
          </w:p>
          <w:p w14:paraId="4D0073B0" w14:textId="2B11B146" w:rsidR="00C81EA6" w:rsidRPr="008D66CC" w:rsidRDefault="00A24B4A" w:rsidP="00C81EA6">
            <w:pPr>
              <w:pStyle w:val="rvps2"/>
              <w:shd w:val="clear" w:color="auto" w:fill="FFFFFF"/>
              <w:spacing w:before="0" w:beforeAutospacing="0" w:after="150" w:afterAutospacing="0"/>
              <w:ind w:firstLine="450"/>
              <w:jc w:val="both"/>
              <w:rPr>
                <w:b/>
                <w:sz w:val="22"/>
                <w:szCs w:val="22"/>
                <w:lang w:val="uk-UA"/>
              </w:rPr>
            </w:pPr>
            <w:r w:rsidRPr="008D66CC">
              <w:rPr>
                <w:b/>
                <w:bCs/>
                <w:szCs w:val="28"/>
                <w:shd w:val="clear" w:color="auto" w:fill="FFFFFF"/>
                <w:lang w:val="uk-UA"/>
              </w:rPr>
              <w:t>інформації (даних) щодо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до 01 березня 2025 року</w:t>
            </w:r>
            <w:r w:rsidRPr="008D66CC">
              <w:rPr>
                <w:b/>
                <w:bCs/>
                <w:szCs w:val="28"/>
                <w:shd w:val="clear" w:color="auto" w:fill="FFFFFF"/>
                <w:lang w:val="uk-UA"/>
              </w:rPr>
              <w:t>;</w:t>
            </w:r>
          </w:p>
          <w:p w14:paraId="06838E6B" w14:textId="3BC52DB4" w:rsidR="006D2563" w:rsidRPr="00CA2E36" w:rsidRDefault="006D2563" w:rsidP="006D2563">
            <w:pPr>
              <w:spacing w:after="0" w:line="240" w:lineRule="auto"/>
              <w:rPr>
                <w:b/>
                <w:bCs/>
                <w:sz w:val="22"/>
                <w:szCs w:val="22"/>
                <w:shd w:val="clear" w:color="auto" w:fill="FFFFFF"/>
              </w:rPr>
            </w:pPr>
          </w:p>
        </w:tc>
      </w:tr>
      <w:tr w:rsidR="00C81EA6" w:rsidRPr="00CA2E36" w14:paraId="553A0CE9" w14:textId="77777777" w:rsidTr="00A52AD2">
        <w:tc>
          <w:tcPr>
            <w:tcW w:w="7650" w:type="dxa"/>
          </w:tcPr>
          <w:p w14:paraId="3E75C4A6"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2) надати НКРЕКП в електронній формі інформацію, визначену пунктом 8 Порядку, щодо:</w:t>
            </w:r>
          </w:p>
          <w:p w14:paraId="4705F20A"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bookmarkStart w:id="6" w:name="n13"/>
            <w:bookmarkEnd w:id="6"/>
            <w:r w:rsidRPr="00CA2E36">
              <w:rPr>
                <w:sz w:val="22"/>
                <w:szCs w:val="22"/>
                <w:lang w:val="uk-UA"/>
              </w:rPr>
              <w:lastRenderedPageBreak/>
              <w:t>виробників електричної енергії, що використовують альтернативні джерела енергії, до 01 березня 2024 року;</w:t>
            </w:r>
          </w:p>
          <w:p w14:paraId="4A234C63" w14:textId="77777777" w:rsidR="00C81EA6" w:rsidRPr="00CA2E36" w:rsidRDefault="00C81EA6" w:rsidP="00C81EA6">
            <w:pPr>
              <w:pStyle w:val="rvps2"/>
              <w:shd w:val="clear" w:color="auto" w:fill="FFFFFF"/>
              <w:spacing w:before="0" w:beforeAutospacing="0" w:after="150" w:afterAutospacing="0"/>
              <w:ind w:firstLine="450"/>
              <w:jc w:val="both"/>
              <w:rPr>
                <w:b/>
                <w:sz w:val="22"/>
                <w:szCs w:val="22"/>
                <w:lang w:val="uk-UA"/>
              </w:rPr>
            </w:pPr>
            <w:bookmarkStart w:id="7" w:name="n14"/>
            <w:bookmarkEnd w:id="7"/>
            <w:r w:rsidRPr="00CA2E36">
              <w:rPr>
                <w:b/>
                <w:sz w:val="22"/>
                <w:szCs w:val="22"/>
                <w:lang w:val="uk-UA"/>
              </w:rPr>
              <w:t>активних споживачів, що використовують альтернативні джерела енергії для виробництва електричної енергії, до 01 квітня 2025 року;</w:t>
            </w:r>
          </w:p>
          <w:p w14:paraId="0B5714DF" w14:textId="73F70A39" w:rsidR="00C81EA6" w:rsidRDefault="00C81EA6" w:rsidP="00C81EA6">
            <w:pPr>
              <w:pStyle w:val="rvps2"/>
              <w:shd w:val="clear" w:color="auto" w:fill="FFFFFF"/>
              <w:spacing w:before="0" w:beforeAutospacing="0" w:after="150" w:afterAutospacing="0"/>
              <w:ind w:firstLine="450"/>
              <w:jc w:val="both"/>
              <w:rPr>
                <w:sz w:val="22"/>
                <w:szCs w:val="22"/>
                <w:lang w:val="uk-UA"/>
              </w:rPr>
            </w:pPr>
            <w:bookmarkStart w:id="8" w:name="n81"/>
            <w:bookmarkStart w:id="9" w:name="n15"/>
            <w:bookmarkEnd w:id="8"/>
            <w:bookmarkEnd w:id="9"/>
            <w:r w:rsidRPr="00CA2E36">
              <w:rPr>
                <w:sz w:val="22"/>
                <w:szCs w:val="22"/>
                <w:lang w:val="uk-UA"/>
              </w:rPr>
              <w:t>інших споживачів, що використовують альтернативні джерела енергії для виробництва електричної енергії, до 01 квітня 2025 року.</w:t>
            </w:r>
          </w:p>
          <w:p w14:paraId="67501B13" w14:textId="072B972D"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2E5342B6" w14:textId="4B32FDC8"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7E3ECE4C" w14:textId="4A7D4859"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434D5938" w14:textId="09649FD9"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74550DE3" w14:textId="7E02B74B"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493EC5EF" w14:textId="083C4E40"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0C929A5C" w14:textId="6F387C3B" w:rsidR="00CA2E36" w:rsidRDefault="00CA2E36" w:rsidP="00C81EA6">
            <w:pPr>
              <w:pStyle w:val="rvps2"/>
              <w:shd w:val="clear" w:color="auto" w:fill="FFFFFF"/>
              <w:spacing w:before="0" w:beforeAutospacing="0" w:after="150" w:afterAutospacing="0"/>
              <w:ind w:firstLine="450"/>
              <w:jc w:val="both"/>
              <w:rPr>
                <w:sz w:val="22"/>
                <w:szCs w:val="22"/>
                <w:lang w:val="uk-UA"/>
              </w:rPr>
            </w:pPr>
          </w:p>
          <w:p w14:paraId="637A0D47" w14:textId="56A85B16" w:rsidR="00CA2E36" w:rsidRPr="00CA2E36" w:rsidRDefault="00CA2E36" w:rsidP="00CA2E36">
            <w:pPr>
              <w:pStyle w:val="rvps2"/>
              <w:shd w:val="clear" w:color="auto" w:fill="FFFFFF"/>
              <w:spacing w:before="0" w:beforeAutospacing="0" w:after="150" w:afterAutospacing="0"/>
              <w:jc w:val="both"/>
              <w:rPr>
                <w:sz w:val="22"/>
                <w:szCs w:val="22"/>
                <w:lang w:val="uk-UA"/>
              </w:rPr>
            </w:pPr>
            <w:r>
              <w:rPr>
                <w:sz w:val="22"/>
                <w:szCs w:val="22"/>
                <w:lang w:val="uk-UA"/>
              </w:rPr>
              <w:t xml:space="preserve">  </w:t>
            </w:r>
            <w:r w:rsidRPr="00CA2E36">
              <w:rPr>
                <w:b/>
                <w:bCs/>
                <w:sz w:val="22"/>
                <w:szCs w:val="22"/>
                <w:shd w:val="clear" w:color="auto" w:fill="FFFFFF"/>
                <w:lang w:val="uk-UA"/>
              </w:rPr>
              <w:t>Положення відсутнє</w:t>
            </w:r>
          </w:p>
          <w:p w14:paraId="36EBB4E2"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p>
        </w:tc>
        <w:tc>
          <w:tcPr>
            <w:tcW w:w="7478" w:type="dxa"/>
          </w:tcPr>
          <w:p w14:paraId="29E82E92"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lastRenderedPageBreak/>
              <w:t>2) надати НКРЕКП в електронній формі інформацію, визначену пунктом 8 Порядку, щодо:</w:t>
            </w:r>
          </w:p>
          <w:p w14:paraId="4B4F5B99"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lastRenderedPageBreak/>
              <w:t>виробників електричної енергії, що використовують альтернативні джерела енергії, до 01 березня 2024 року;</w:t>
            </w:r>
          </w:p>
          <w:p w14:paraId="628EA5E5" w14:textId="495D4554" w:rsidR="00A24B4A" w:rsidRDefault="00A24B4A" w:rsidP="00A24B4A">
            <w:pPr>
              <w:pStyle w:val="a9"/>
              <w:shd w:val="clear" w:color="auto" w:fill="FFFFFF"/>
              <w:tabs>
                <w:tab w:val="left" w:pos="993"/>
              </w:tabs>
              <w:ind w:left="0" w:firstLine="709"/>
              <w:jc w:val="both"/>
              <w:rPr>
                <w:b/>
                <w:bCs/>
                <w:sz w:val="22"/>
                <w:szCs w:val="22"/>
                <w:shd w:val="clear" w:color="auto" w:fill="FFFFFF"/>
                <w:lang w:val="uk-UA"/>
              </w:rPr>
            </w:pPr>
            <w:r w:rsidRPr="00A24B4A">
              <w:rPr>
                <w:b/>
                <w:bCs/>
                <w:sz w:val="22"/>
                <w:szCs w:val="22"/>
                <w:shd w:val="clear" w:color="auto" w:fill="FFFFFF"/>
                <w:lang w:val="uk-UA"/>
              </w:rPr>
              <w:t>активних споживачів, що використовують альтернативні джерела енергії для виробництва електричної енергії (крім активних споживачів – приватних домогосподарств, які уклали договір з постачальником універсальних послуг про купівлю-продаж електричної енергії за «зеленим» тарифом), до 01 квітня 2025 року;</w:t>
            </w:r>
          </w:p>
          <w:p w14:paraId="1A3973A5" w14:textId="77777777" w:rsidR="00A24B4A" w:rsidRPr="00A24B4A" w:rsidRDefault="00A24B4A" w:rsidP="00A24B4A">
            <w:pPr>
              <w:pStyle w:val="a9"/>
              <w:shd w:val="clear" w:color="auto" w:fill="FFFFFF"/>
              <w:tabs>
                <w:tab w:val="left" w:pos="993"/>
              </w:tabs>
              <w:ind w:left="0" w:firstLine="709"/>
              <w:jc w:val="both"/>
              <w:rPr>
                <w:b/>
                <w:bCs/>
                <w:sz w:val="22"/>
                <w:szCs w:val="22"/>
                <w:shd w:val="clear" w:color="auto" w:fill="FFFFFF"/>
                <w:lang w:val="uk-UA"/>
              </w:rPr>
            </w:pPr>
          </w:p>
          <w:p w14:paraId="323DB09B" w14:textId="157F228D" w:rsidR="00C81EA6" w:rsidRPr="00A24B4A" w:rsidRDefault="00A24B4A" w:rsidP="00A24B4A">
            <w:pPr>
              <w:pStyle w:val="rvps2"/>
              <w:shd w:val="clear" w:color="auto" w:fill="FFFFFF"/>
              <w:spacing w:before="0" w:beforeAutospacing="0" w:after="150" w:afterAutospacing="0"/>
              <w:ind w:firstLine="450"/>
              <w:jc w:val="both"/>
              <w:rPr>
                <w:b/>
                <w:sz w:val="22"/>
                <w:szCs w:val="22"/>
                <w:lang w:val="uk-UA"/>
              </w:rPr>
            </w:pPr>
            <w:bookmarkStart w:id="10" w:name="_Hlk176877328"/>
            <w:r w:rsidRPr="00A24B4A">
              <w:rPr>
                <w:b/>
                <w:bCs/>
                <w:sz w:val="22"/>
                <w:szCs w:val="22"/>
                <w:shd w:val="clear" w:color="auto" w:fill="FFFFFF"/>
                <w:lang w:val="uk-UA"/>
              </w:rPr>
              <w:t>агрегованих генеруючих установок</w:t>
            </w:r>
            <w:bookmarkEnd w:id="10"/>
            <w:r w:rsidRPr="00A24B4A">
              <w:rPr>
                <w:b/>
                <w:bCs/>
                <w:sz w:val="22"/>
                <w:szCs w:val="22"/>
                <w:shd w:val="clear" w:color="auto" w:fill="FFFFFF"/>
                <w:lang w:val="uk-UA"/>
              </w:rPr>
              <w:t>,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до 01 квітня 2025 року</w:t>
            </w:r>
            <w:r w:rsidR="00C81EA6" w:rsidRPr="00A24B4A">
              <w:rPr>
                <w:b/>
                <w:sz w:val="22"/>
                <w:szCs w:val="22"/>
                <w:lang w:val="uk-UA"/>
              </w:rPr>
              <w:t>;</w:t>
            </w:r>
          </w:p>
          <w:p w14:paraId="087AC0D5" w14:textId="05B1F15E"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lang w:val="uk-UA"/>
              </w:rPr>
              <w:t>інших споживачів, що використовують альтернативні джерела енергії для виробництва електричної енергії, до 01 квітня 2025 року</w:t>
            </w:r>
            <w:r w:rsidR="00CA2E36" w:rsidRPr="00CA2E36">
              <w:rPr>
                <w:sz w:val="22"/>
                <w:szCs w:val="22"/>
                <w:lang w:val="uk-UA"/>
              </w:rPr>
              <w:t>.</w:t>
            </w:r>
          </w:p>
          <w:p w14:paraId="1D740F46" w14:textId="09561A0A" w:rsidR="00C81EA6" w:rsidRPr="00A24B4A" w:rsidRDefault="00A24B4A" w:rsidP="00C81EA6">
            <w:pPr>
              <w:pStyle w:val="rvps2"/>
              <w:shd w:val="clear" w:color="auto" w:fill="FFFFFF"/>
              <w:spacing w:before="0" w:beforeAutospacing="0" w:after="150" w:afterAutospacing="0"/>
              <w:ind w:firstLine="450"/>
              <w:jc w:val="both"/>
              <w:rPr>
                <w:b/>
                <w:sz w:val="22"/>
                <w:szCs w:val="22"/>
                <w:lang w:val="uk-UA"/>
              </w:rPr>
            </w:pPr>
            <w:r w:rsidRPr="00A24B4A">
              <w:rPr>
                <w:b/>
                <w:bCs/>
                <w:szCs w:val="28"/>
                <w:shd w:val="clear" w:color="auto" w:fill="FFFFFF"/>
                <w:lang w:val="uk-UA"/>
              </w:rPr>
              <w:t>Інформація за визначеними цією постановою об'єктами електроенергетики, електроустановками споживачів та агрегованими генеруючими установками може бути надана НКРЕКП окремими реєстрами/файлами</w:t>
            </w:r>
            <w:r w:rsidR="00CA2E36" w:rsidRPr="00A24B4A">
              <w:rPr>
                <w:b/>
                <w:bCs/>
                <w:sz w:val="22"/>
                <w:szCs w:val="22"/>
                <w:shd w:val="clear" w:color="auto" w:fill="FFFFFF"/>
                <w:lang w:val="uk-UA"/>
              </w:rPr>
              <w:t>.</w:t>
            </w:r>
          </w:p>
          <w:p w14:paraId="0B8700E5" w14:textId="77777777" w:rsidR="00C81EA6" w:rsidRPr="00CA2E36" w:rsidRDefault="00C81EA6" w:rsidP="00C81EA6">
            <w:pPr>
              <w:pStyle w:val="rvps2"/>
              <w:shd w:val="clear" w:color="auto" w:fill="FFFFFF"/>
              <w:spacing w:before="0" w:beforeAutospacing="0" w:after="150" w:afterAutospacing="0"/>
              <w:ind w:firstLine="450"/>
              <w:jc w:val="both"/>
              <w:rPr>
                <w:sz w:val="22"/>
                <w:szCs w:val="22"/>
                <w:lang w:val="uk-UA"/>
              </w:rPr>
            </w:pPr>
          </w:p>
        </w:tc>
      </w:tr>
      <w:tr w:rsidR="00CA2E36" w:rsidRPr="00CA2E36" w14:paraId="070431C4" w14:textId="77777777" w:rsidTr="00A52AD2">
        <w:tc>
          <w:tcPr>
            <w:tcW w:w="7650" w:type="dxa"/>
          </w:tcPr>
          <w:p w14:paraId="245AA9FB" w14:textId="755AF3DB" w:rsidR="00CA2E36" w:rsidRPr="00CA2E36" w:rsidRDefault="00CA2E36" w:rsidP="00C81EA6">
            <w:pPr>
              <w:pStyle w:val="rvps2"/>
              <w:shd w:val="clear" w:color="auto" w:fill="FFFFFF"/>
              <w:spacing w:before="0" w:beforeAutospacing="0" w:after="150" w:afterAutospacing="0"/>
              <w:ind w:firstLine="450"/>
              <w:jc w:val="both"/>
              <w:rPr>
                <w:sz w:val="22"/>
                <w:szCs w:val="22"/>
                <w:lang w:val="uk-UA"/>
              </w:rPr>
            </w:pPr>
            <w:r w:rsidRPr="00CA2E36">
              <w:rPr>
                <w:sz w:val="22"/>
                <w:szCs w:val="22"/>
                <w:shd w:val="clear" w:color="auto" w:fill="FFFFFF"/>
                <w:lang w:val="uk-UA"/>
              </w:rPr>
              <w:lastRenderedPageBreak/>
              <w:t>3) щомісячно, не пізніше 7 числа, повідомляти НКРЕКП в електронній формі про зміни у наданій інформації відповідно до підпункту 2 цього пункту.</w:t>
            </w:r>
          </w:p>
        </w:tc>
        <w:tc>
          <w:tcPr>
            <w:tcW w:w="7478" w:type="dxa"/>
          </w:tcPr>
          <w:p w14:paraId="357E85A3" w14:textId="383AB768" w:rsidR="00A24B4A" w:rsidRPr="00A24B4A" w:rsidRDefault="00A24B4A" w:rsidP="00A24B4A">
            <w:pPr>
              <w:shd w:val="clear" w:color="auto" w:fill="FFFFFF"/>
              <w:tabs>
                <w:tab w:val="left" w:pos="0"/>
                <w:tab w:val="left" w:pos="993"/>
              </w:tabs>
              <w:spacing w:after="0"/>
              <w:ind w:firstLine="453"/>
              <w:jc w:val="both"/>
              <w:rPr>
                <w:rFonts w:eastAsia="Times New Roman"/>
                <w:bCs/>
                <w:sz w:val="22"/>
                <w:szCs w:val="22"/>
                <w:shd w:val="clear" w:color="auto" w:fill="FFFFFF"/>
              </w:rPr>
            </w:pPr>
            <w:r w:rsidRPr="00A24B4A">
              <w:rPr>
                <w:bCs/>
                <w:sz w:val="22"/>
                <w:szCs w:val="22"/>
                <w:shd w:val="clear" w:color="auto" w:fill="FFFFFF"/>
              </w:rPr>
              <w:t>підпункт 3 викласти в такій редакції:</w:t>
            </w:r>
          </w:p>
          <w:p w14:paraId="1035D383" w14:textId="77777777" w:rsidR="00CA2E36" w:rsidRDefault="00A24B4A" w:rsidP="00A24B4A">
            <w:pPr>
              <w:pStyle w:val="rvps2"/>
              <w:shd w:val="clear" w:color="auto" w:fill="FFFFFF"/>
              <w:spacing w:before="0" w:beforeAutospacing="0" w:after="0" w:afterAutospacing="0"/>
              <w:ind w:firstLine="450"/>
              <w:jc w:val="both"/>
              <w:rPr>
                <w:b/>
                <w:bCs/>
                <w:sz w:val="22"/>
                <w:szCs w:val="22"/>
                <w:shd w:val="clear" w:color="auto" w:fill="FFFFFF"/>
                <w:lang w:val="uk-UA"/>
              </w:rPr>
            </w:pPr>
            <w:r w:rsidRPr="00A24B4A">
              <w:rPr>
                <w:b/>
                <w:bCs/>
                <w:sz w:val="22"/>
                <w:szCs w:val="22"/>
                <w:shd w:val="clear" w:color="auto" w:fill="FFFFFF"/>
                <w:lang w:val="uk-UA"/>
              </w:rPr>
              <w:t>«</w:t>
            </w:r>
            <w:r w:rsidR="00CA2E36" w:rsidRPr="00A24B4A">
              <w:rPr>
                <w:b/>
                <w:bCs/>
                <w:sz w:val="22"/>
                <w:szCs w:val="22"/>
                <w:shd w:val="clear" w:color="auto" w:fill="FFFFFF"/>
                <w:lang w:val="uk-UA"/>
              </w:rPr>
              <w:t xml:space="preserve">3) </w:t>
            </w:r>
            <w:r w:rsidRPr="00A24B4A">
              <w:rPr>
                <w:b/>
                <w:bCs/>
                <w:sz w:val="22"/>
                <w:szCs w:val="22"/>
                <w:shd w:val="clear" w:color="auto" w:fill="FFFFFF"/>
                <w:lang w:val="uk-UA"/>
              </w:rPr>
              <w:t xml:space="preserve">з дати введення в дослідну експлуатацію – інформаційно-комунікаційної системи 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 (далі – система), забезпечити підтримання постійного інформаційного обміну зазначеної системи з </w:t>
            </w:r>
            <w:proofErr w:type="spellStart"/>
            <w:r w:rsidRPr="00A24B4A">
              <w:rPr>
                <w:b/>
                <w:bCs/>
                <w:sz w:val="22"/>
                <w:szCs w:val="22"/>
                <w:shd w:val="clear" w:color="auto" w:fill="FFFFFF"/>
                <w:lang w:val="uk-UA"/>
              </w:rPr>
              <w:t>Датахаб</w:t>
            </w:r>
            <w:proofErr w:type="spellEnd"/>
            <w:r w:rsidRPr="00A24B4A">
              <w:rPr>
                <w:b/>
                <w:bCs/>
                <w:sz w:val="22"/>
                <w:szCs w:val="22"/>
                <w:shd w:val="clear" w:color="auto" w:fill="FFFFFF"/>
                <w:lang w:val="uk-UA"/>
              </w:rPr>
              <w:t>, у тому числі передачу за запитом системи набору даних, визначених підпунктом 2 цього пункту.</w:t>
            </w:r>
            <w:r w:rsidRPr="00A24B4A">
              <w:rPr>
                <w:b/>
                <w:sz w:val="22"/>
                <w:szCs w:val="22"/>
                <w:lang w:val="uk-UA"/>
              </w:rPr>
              <w:t xml:space="preserve"> </w:t>
            </w:r>
            <w:r w:rsidRPr="00A24B4A">
              <w:rPr>
                <w:b/>
                <w:bCs/>
                <w:sz w:val="22"/>
                <w:szCs w:val="22"/>
                <w:shd w:val="clear" w:color="auto" w:fill="FFFFFF"/>
                <w:lang w:val="uk-UA"/>
              </w:rPr>
              <w:t>До запуску системи, щомісячно, не пізніше 7 числа, повідомляти НКРЕКП в електронній формі про зміни у наданій інформації відповідно до підпункту 2 цього пункту</w:t>
            </w:r>
            <w:r w:rsidR="00CA2E36" w:rsidRPr="00A24B4A">
              <w:rPr>
                <w:b/>
                <w:bCs/>
                <w:sz w:val="22"/>
                <w:szCs w:val="22"/>
                <w:shd w:val="clear" w:color="auto" w:fill="FFFFFF"/>
                <w:lang w:val="uk-UA"/>
              </w:rPr>
              <w:t>.</w:t>
            </w:r>
            <w:r>
              <w:rPr>
                <w:b/>
                <w:bCs/>
                <w:sz w:val="22"/>
                <w:szCs w:val="22"/>
                <w:shd w:val="clear" w:color="auto" w:fill="FFFFFF"/>
                <w:lang w:val="uk-UA"/>
              </w:rPr>
              <w:t>».</w:t>
            </w:r>
          </w:p>
          <w:p w14:paraId="4537C16C" w14:textId="14049E33" w:rsidR="008D66CC" w:rsidRPr="00CA2E36" w:rsidRDefault="008D66CC" w:rsidP="00A24B4A">
            <w:pPr>
              <w:pStyle w:val="rvps2"/>
              <w:shd w:val="clear" w:color="auto" w:fill="FFFFFF"/>
              <w:spacing w:before="0" w:beforeAutospacing="0" w:after="0" w:afterAutospacing="0"/>
              <w:ind w:firstLine="450"/>
              <w:jc w:val="both"/>
              <w:rPr>
                <w:b/>
                <w:sz w:val="22"/>
                <w:szCs w:val="22"/>
                <w:lang w:val="uk-UA"/>
              </w:rPr>
            </w:pPr>
          </w:p>
        </w:tc>
      </w:tr>
      <w:tr w:rsidR="00CA2E36" w:rsidRPr="00CA2E36" w14:paraId="5886D1EB" w14:textId="77777777" w:rsidTr="008C3689">
        <w:tc>
          <w:tcPr>
            <w:tcW w:w="15128" w:type="dxa"/>
            <w:gridSpan w:val="2"/>
          </w:tcPr>
          <w:p w14:paraId="4298476B" w14:textId="77777777" w:rsidR="00A52AD2" w:rsidRDefault="00CA2E36" w:rsidP="00823D8A">
            <w:pPr>
              <w:spacing w:after="0" w:line="240" w:lineRule="auto"/>
              <w:jc w:val="center"/>
              <w:rPr>
                <w:rStyle w:val="rvts23"/>
                <w:b/>
                <w:bCs/>
                <w:sz w:val="22"/>
                <w:szCs w:val="22"/>
                <w:shd w:val="clear" w:color="auto" w:fill="FFFFFF"/>
              </w:rPr>
            </w:pPr>
            <w:r w:rsidRPr="00A24B4A">
              <w:rPr>
                <w:rStyle w:val="rvts23"/>
                <w:b/>
                <w:bCs/>
                <w:sz w:val="22"/>
                <w:szCs w:val="22"/>
                <w:shd w:val="clear" w:color="auto" w:fill="FFFFFF"/>
              </w:rPr>
              <w:lastRenderedPageBreak/>
              <w:t>П</w:t>
            </w:r>
            <w:r w:rsidRPr="00A24B4A">
              <w:rPr>
                <w:rStyle w:val="rvts23"/>
                <w:b/>
                <w:sz w:val="22"/>
                <w:szCs w:val="22"/>
              </w:rPr>
              <w:t xml:space="preserve">орядок </w:t>
            </w:r>
            <w:r w:rsidRPr="00A24B4A">
              <w:rPr>
                <w:rStyle w:val="rvts23"/>
                <w:b/>
                <w:bCs/>
                <w:sz w:val="22"/>
                <w:szCs w:val="22"/>
                <w:shd w:val="clear" w:color="auto" w:fill="FFFFFF"/>
              </w:rPr>
              <w:t>формування та ведення реєстру об’єктів електроенергетики та електроустановок споживачів (у тому числі активних споживачів), що використовують альтернативні джерела енергії для виробництва електричної енергії</w:t>
            </w:r>
          </w:p>
          <w:p w14:paraId="73A9EA1A" w14:textId="7D0BA3CF" w:rsidR="008D66CC" w:rsidRPr="00A24B4A" w:rsidRDefault="008D66CC" w:rsidP="00823D8A">
            <w:pPr>
              <w:spacing w:after="0" w:line="240" w:lineRule="auto"/>
              <w:jc w:val="center"/>
              <w:rPr>
                <w:b/>
                <w:bCs/>
                <w:sz w:val="22"/>
                <w:szCs w:val="22"/>
                <w:shd w:val="clear" w:color="auto" w:fill="FFFFFF"/>
              </w:rPr>
            </w:pPr>
            <w:bookmarkStart w:id="11" w:name="_GoBack"/>
            <w:bookmarkEnd w:id="11"/>
          </w:p>
        </w:tc>
      </w:tr>
      <w:tr w:rsidR="00CA2E36" w:rsidRPr="008D66CC" w14:paraId="2AADEB4B" w14:textId="77777777" w:rsidTr="00A52AD2">
        <w:tc>
          <w:tcPr>
            <w:tcW w:w="7650" w:type="dxa"/>
          </w:tcPr>
          <w:p w14:paraId="584FE28A"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r w:rsidRPr="00A24B4A">
              <w:rPr>
                <w:sz w:val="22"/>
                <w:szCs w:val="22"/>
                <w:lang w:val="uk-UA"/>
              </w:rPr>
              <w:t>8. До реєстру вноситься така інформація:</w:t>
            </w:r>
          </w:p>
          <w:p w14:paraId="0BB2B049"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2" w:name="n51"/>
            <w:bookmarkEnd w:id="12"/>
            <w:r w:rsidRPr="00A24B4A">
              <w:rPr>
                <w:sz w:val="22"/>
                <w:szCs w:val="22"/>
                <w:lang w:val="uk-UA"/>
              </w:rPr>
              <w:t>1) повне найменування суб'єкта господарювання, що здійснює діяльність з виробництва електричної енергії або споживача (у тому числі активного споживача) відповідно до даних державних реєстрів;</w:t>
            </w:r>
          </w:p>
          <w:p w14:paraId="6121A66D"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3" w:name="n52"/>
            <w:bookmarkEnd w:id="13"/>
            <w:r w:rsidRPr="00A24B4A">
              <w:rPr>
                <w:sz w:val="22"/>
                <w:szCs w:val="22"/>
                <w:lang w:val="uk-UA"/>
              </w:rPr>
              <w:t>2) ідентифікаційний код юридичної особи в Єдиному державному реєстрі підприємств і організацій України або реєстраційний номер облікової картки платника податків в Україні або серія та номер паспорта (для фізичної особи - підприємця,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w:t>
            </w:r>
          </w:p>
          <w:p w14:paraId="62FA8F7E"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4" w:name="n53"/>
            <w:bookmarkEnd w:id="14"/>
            <w:r w:rsidRPr="00A24B4A">
              <w:rPr>
                <w:sz w:val="22"/>
                <w:szCs w:val="22"/>
                <w:lang w:val="uk-UA"/>
              </w:rPr>
              <w:t>3) 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w:t>
            </w:r>
          </w:p>
          <w:p w14:paraId="415FC431"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5" w:name="n54"/>
            <w:bookmarkEnd w:id="15"/>
            <w:r w:rsidRPr="00A24B4A">
              <w:rPr>
                <w:sz w:val="22"/>
                <w:szCs w:val="22"/>
                <w:lang w:val="uk-UA"/>
              </w:rPr>
              <w:t>4) місцезнаходження виробника електричної енергії або споживача (у тому числі активного споживача) (не надається щодо фізичних осіб), що здійснює діяльність з виробництва електричної енергії відповідно до даних державних реєстрів;</w:t>
            </w:r>
          </w:p>
          <w:p w14:paraId="11F66977"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6" w:name="n55"/>
            <w:bookmarkEnd w:id="16"/>
            <w:r w:rsidRPr="00A24B4A">
              <w:rPr>
                <w:sz w:val="22"/>
                <w:szCs w:val="22"/>
                <w:lang w:val="uk-UA"/>
              </w:rPr>
              <w:t>5) назва (диспетчерське найменування) об’єкта електроенергетики, його черги (пускового комплексу), електроустановки споживача (у тому числі активного споживача (за наявності);</w:t>
            </w:r>
          </w:p>
          <w:p w14:paraId="3538AFA8"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7" w:name="n56"/>
            <w:bookmarkEnd w:id="17"/>
            <w:r w:rsidRPr="00A24B4A">
              <w:rPr>
                <w:sz w:val="22"/>
                <w:szCs w:val="22"/>
                <w:lang w:val="uk-UA"/>
              </w:rPr>
              <w:t>6) місцезнаходження та географічні координати (GPS-координати) (за наявності) об’єкта електроенергетики, його черги (пускового комплексу), електроустановки споживача (у тому числі активного споживача), у тому числі відповідно до даних державних реєстрів, кодифікаторів (за наявності);</w:t>
            </w:r>
          </w:p>
          <w:p w14:paraId="5AB78710"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8" w:name="n57"/>
            <w:bookmarkEnd w:id="18"/>
            <w:r w:rsidRPr="00A24B4A">
              <w:rPr>
                <w:sz w:val="22"/>
                <w:szCs w:val="22"/>
                <w:lang w:val="uk-UA"/>
              </w:rPr>
              <w:t>7) встановлена потужність об’єкта електроенергетики, його черги (пускового комплексу) або встановлена потужність генеруючої установки споживача (у тому числі активного споживача), у кіловатах;</w:t>
            </w:r>
          </w:p>
          <w:p w14:paraId="4DC55225"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19" w:name="n58"/>
            <w:bookmarkEnd w:id="19"/>
            <w:r w:rsidRPr="00A24B4A">
              <w:rPr>
                <w:sz w:val="22"/>
                <w:szCs w:val="22"/>
                <w:lang w:val="uk-UA"/>
              </w:rPr>
              <w:lastRenderedPageBreak/>
              <w:t>8) дата встановлення «зеленого» тарифу (згідно з укладеним договором купівлі-продажу за «зеленим» тарифом або відповідно до постанови НКРЕКП (для виробників електричної енергії)) (за наявності);</w:t>
            </w:r>
          </w:p>
          <w:p w14:paraId="25ED2D69"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0" w:name="n59"/>
            <w:bookmarkEnd w:id="20"/>
            <w:r w:rsidRPr="00A24B4A">
              <w:rPr>
                <w:sz w:val="22"/>
                <w:szCs w:val="22"/>
                <w:lang w:val="uk-UA"/>
              </w:rPr>
              <w:t>9) ЕІС-коди (типу Z) точки комерційного обліку/площадки комерційного обліку об’єкта генерації (для електроустановок споживачів (у тому числі активних споживачів);</w:t>
            </w:r>
          </w:p>
          <w:p w14:paraId="16F3D210"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1" w:name="n60"/>
            <w:bookmarkEnd w:id="21"/>
            <w:r w:rsidRPr="00A24B4A">
              <w:rPr>
                <w:sz w:val="22"/>
                <w:szCs w:val="22"/>
                <w:lang w:val="uk-UA"/>
              </w:rPr>
              <w:t>10) ЕІС-код (типу Z) одиниці генерації за площадкою комерційного обліку;</w:t>
            </w:r>
          </w:p>
          <w:p w14:paraId="22CE7D24"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2" w:name="n61"/>
            <w:bookmarkEnd w:id="22"/>
            <w:r w:rsidRPr="00A24B4A">
              <w:rPr>
                <w:sz w:val="22"/>
                <w:szCs w:val="22"/>
                <w:lang w:val="uk-UA"/>
              </w:rPr>
              <w:t>11) дата введення в експлуатацію об’єкта електроенергетики, його черги (пускового комплексу), електроустановки споживача (у тому числі активного споживача) (за наявності);</w:t>
            </w:r>
          </w:p>
          <w:p w14:paraId="66A392EF"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3" w:name="n62"/>
            <w:bookmarkEnd w:id="23"/>
            <w:r w:rsidRPr="00A24B4A">
              <w:rPr>
                <w:sz w:val="22"/>
                <w:szCs w:val="22"/>
                <w:lang w:val="uk-UA"/>
              </w:rPr>
              <w:t>12) мережа (область обліку), до якої підключено об’єкт електроенергетики, його чергу (пусковий комплекс), електроустановку споживача (у тому числі активного споживача) (система передачі, системи розподілу, власна мережі, мережа іншого власника, пряма лінія тощо, найменування ОСР (інше));</w:t>
            </w:r>
          </w:p>
          <w:p w14:paraId="2C48D841"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4" w:name="n63"/>
            <w:bookmarkEnd w:id="24"/>
            <w:r w:rsidRPr="00A24B4A">
              <w:rPr>
                <w:sz w:val="22"/>
                <w:szCs w:val="22"/>
                <w:lang w:val="uk-UA"/>
              </w:rPr>
              <w:t xml:space="preserve">13) тип технології, що використовується при виробництві електричної енергії з відновлюваних джерел енергії (відповідно до типу генерації згідно з довідниками </w:t>
            </w:r>
            <w:proofErr w:type="spellStart"/>
            <w:r w:rsidRPr="00A24B4A">
              <w:rPr>
                <w:sz w:val="22"/>
                <w:szCs w:val="22"/>
                <w:lang w:val="uk-UA"/>
              </w:rPr>
              <w:t>Датахаб</w:t>
            </w:r>
            <w:proofErr w:type="spellEnd"/>
            <w:r w:rsidRPr="00A24B4A">
              <w:rPr>
                <w:sz w:val="22"/>
                <w:szCs w:val="22"/>
                <w:lang w:val="uk-UA"/>
              </w:rPr>
              <w:t>);</w:t>
            </w:r>
          </w:p>
          <w:p w14:paraId="019D1201"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5" w:name="n64"/>
            <w:bookmarkEnd w:id="25"/>
            <w:r w:rsidRPr="00A24B4A">
              <w:rPr>
                <w:sz w:val="22"/>
                <w:szCs w:val="22"/>
                <w:lang w:val="uk-UA"/>
              </w:rPr>
              <w:t xml:space="preserve">14) характеристику відновлюваного джерела енергії, що використовується для виробництва електричної енергії (відповідно до типу генерації згідно з довідниками </w:t>
            </w:r>
            <w:proofErr w:type="spellStart"/>
            <w:r w:rsidRPr="00A24B4A">
              <w:rPr>
                <w:sz w:val="22"/>
                <w:szCs w:val="22"/>
                <w:lang w:val="uk-UA"/>
              </w:rPr>
              <w:t>Датахаб</w:t>
            </w:r>
            <w:proofErr w:type="spellEnd"/>
            <w:r w:rsidRPr="00A24B4A">
              <w:rPr>
                <w:sz w:val="22"/>
                <w:szCs w:val="22"/>
                <w:lang w:val="uk-UA"/>
              </w:rPr>
              <w:t>);</w:t>
            </w:r>
          </w:p>
          <w:p w14:paraId="01C8626B"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6" w:name="n65"/>
            <w:bookmarkEnd w:id="26"/>
            <w:r w:rsidRPr="00A24B4A">
              <w:rPr>
                <w:sz w:val="22"/>
                <w:szCs w:val="22"/>
                <w:lang w:val="uk-UA"/>
              </w:rPr>
              <w:t>15) спроможність до автономної роботи об’єкта електроенергетики або електроустановки споживача (у тому числі активного споживача);</w:t>
            </w:r>
          </w:p>
          <w:p w14:paraId="7F74633B" w14:textId="77777777" w:rsidR="00CA2E36" w:rsidRPr="00A24B4A" w:rsidRDefault="00CA2E36" w:rsidP="00CA2E36">
            <w:pPr>
              <w:pStyle w:val="rvps2"/>
              <w:shd w:val="clear" w:color="auto" w:fill="FFFFFF"/>
              <w:spacing w:before="0" w:beforeAutospacing="0" w:after="150" w:afterAutospacing="0"/>
              <w:ind w:firstLine="450"/>
              <w:jc w:val="both"/>
              <w:rPr>
                <w:sz w:val="22"/>
                <w:szCs w:val="22"/>
                <w:lang w:val="uk-UA"/>
              </w:rPr>
            </w:pPr>
            <w:bookmarkStart w:id="27" w:name="n66"/>
            <w:bookmarkEnd w:id="27"/>
            <w:r w:rsidRPr="00A24B4A">
              <w:rPr>
                <w:sz w:val="22"/>
                <w:szCs w:val="22"/>
                <w:lang w:val="uk-UA"/>
              </w:rPr>
              <w:t>16) 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механізм ринкової премії, надання послуги із забезпечення стабільності ціни на електричну енергію тощо) (за наявності).</w:t>
            </w:r>
          </w:p>
          <w:p w14:paraId="1E5078A0" w14:textId="6323325C" w:rsidR="006D2563" w:rsidRPr="00A24B4A" w:rsidRDefault="006D2563" w:rsidP="00A52AD2">
            <w:pPr>
              <w:spacing w:after="0" w:line="240" w:lineRule="auto"/>
              <w:jc w:val="both"/>
              <w:rPr>
                <w:b/>
                <w:bCs/>
                <w:sz w:val="22"/>
                <w:szCs w:val="22"/>
                <w:shd w:val="clear" w:color="auto" w:fill="FFFFFF"/>
              </w:rPr>
            </w:pPr>
          </w:p>
        </w:tc>
        <w:tc>
          <w:tcPr>
            <w:tcW w:w="7478" w:type="dxa"/>
          </w:tcPr>
          <w:p w14:paraId="5938E9DA" w14:textId="25FD2F48" w:rsidR="00A24B4A" w:rsidRPr="008D66CC" w:rsidRDefault="008D66CC" w:rsidP="00A24B4A">
            <w:pPr>
              <w:shd w:val="clear" w:color="auto" w:fill="FFFFFF"/>
              <w:tabs>
                <w:tab w:val="left" w:pos="0"/>
                <w:tab w:val="left" w:pos="709"/>
                <w:tab w:val="left" w:pos="993"/>
              </w:tabs>
              <w:spacing w:after="0" w:line="240" w:lineRule="auto"/>
              <w:ind w:firstLine="312"/>
              <w:jc w:val="both"/>
              <w:rPr>
                <w:bCs/>
                <w:sz w:val="22"/>
                <w:szCs w:val="22"/>
                <w:shd w:val="clear" w:color="auto" w:fill="FFFFFF"/>
              </w:rPr>
            </w:pPr>
            <w:r>
              <w:rPr>
                <w:bCs/>
                <w:sz w:val="22"/>
                <w:szCs w:val="22"/>
                <w:shd w:val="clear" w:color="auto" w:fill="FFFFFF"/>
                <w:lang w:val="ru-RU"/>
              </w:rPr>
              <w:lastRenderedPageBreak/>
              <w:t>п</w:t>
            </w:r>
            <w:proofErr w:type="spellStart"/>
            <w:r w:rsidR="00A24B4A" w:rsidRPr="008D66CC">
              <w:rPr>
                <w:bCs/>
                <w:sz w:val="22"/>
                <w:szCs w:val="22"/>
                <w:shd w:val="clear" w:color="auto" w:fill="FFFFFF"/>
              </w:rPr>
              <w:t>ункт</w:t>
            </w:r>
            <w:proofErr w:type="spellEnd"/>
            <w:r w:rsidR="00A24B4A" w:rsidRPr="008D66CC">
              <w:rPr>
                <w:bCs/>
                <w:sz w:val="22"/>
                <w:szCs w:val="22"/>
                <w:shd w:val="clear" w:color="auto" w:fill="FFFFFF"/>
              </w:rPr>
              <w:t xml:space="preserve"> 8 викласти в такій редакції</w:t>
            </w:r>
            <w:r w:rsidR="00A24B4A" w:rsidRPr="008D66CC">
              <w:rPr>
                <w:bCs/>
                <w:sz w:val="22"/>
                <w:szCs w:val="22"/>
                <w:shd w:val="clear" w:color="auto" w:fill="FFFFFF"/>
              </w:rPr>
              <w:t>:</w:t>
            </w:r>
          </w:p>
          <w:p w14:paraId="4B34A176" w14:textId="657087D6" w:rsidR="00CA2E36" w:rsidRPr="008D66CC" w:rsidRDefault="00A24B4A" w:rsidP="00A24B4A">
            <w:pPr>
              <w:shd w:val="clear" w:color="auto" w:fill="FFFFFF"/>
              <w:tabs>
                <w:tab w:val="left" w:pos="0"/>
                <w:tab w:val="left" w:pos="709"/>
                <w:tab w:val="left" w:pos="993"/>
              </w:tabs>
              <w:spacing w:after="0" w:line="240" w:lineRule="auto"/>
              <w:ind w:firstLine="312"/>
              <w:jc w:val="both"/>
              <w:rPr>
                <w:b/>
                <w:bCs/>
                <w:sz w:val="22"/>
                <w:szCs w:val="22"/>
                <w:shd w:val="clear" w:color="auto" w:fill="FFFFFF"/>
              </w:rPr>
            </w:pPr>
            <w:r w:rsidRPr="008D66CC">
              <w:rPr>
                <w:b/>
                <w:bCs/>
                <w:sz w:val="22"/>
                <w:szCs w:val="22"/>
                <w:shd w:val="clear" w:color="auto" w:fill="FFFFFF"/>
              </w:rPr>
              <w:t>«</w:t>
            </w:r>
            <w:r w:rsidR="00CA2E36" w:rsidRPr="008D66CC">
              <w:rPr>
                <w:b/>
                <w:bCs/>
                <w:sz w:val="22"/>
                <w:szCs w:val="22"/>
                <w:shd w:val="clear" w:color="auto" w:fill="FFFFFF"/>
              </w:rPr>
              <w:t>8. До реєстру вноситься така інформація:</w:t>
            </w:r>
          </w:p>
          <w:p w14:paraId="2D9A9372" w14:textId="089324F6" w:rsidR="00A24B4A" w:rsidRPr="008D66CC" w:rsidRDefault="00A24B4A" w:rsidP="00A24B4A">
            <w:pPr>
              <w:shd w:val="clear" w:color="auto" w:fill="FFFFFF"/>
              <w:tabs>
                <w:tab w:val="left" w:pos="0"/>
                <w:tab w:val="left" w:pos="709"/>
                <w:tab w:val="left" w:pos="993"/>
              </w:tabs>
              <w:ind w:firstLine="311"/>
              <w:jc w:val="both"/>
              <w:rPr>
                <w:rFonts w:eastAsia="Times New Roman"/>
                <w:b/>
                <w:bCs/>
                <w:sz w:val="22"/>
                <w:szCs w:val="22"/>
                <w:shd w:val="clear" w:color="auto" w:fill="FFFFFF"/>
              </w:rPr>
            </w:pPr>
            <w:r w:rsidRPr="008D66CC">
              <w:rPr>
                <w:b/>
                <w:bCs/>
                <w:sz w:val="22"/>
                <w:szCs w:val="22"/>
                <w:shd w:val="clear" w:color="auto" w:fill="FFFFFF"/>
              </w:rPr>
              <w:t>1) повне найменування суб'єкта господарювання, що здійснює діяльність з виробництва електричної енергії або споживача (у тому числі активного споживача) відповідно до даних державних реєстрів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повне найменування відповідного постачальника  універсальних послуг);</w:t>
            </w:r>
          </w:p>
          <w:p w14:paraId="7E5AE40B" w14:textId="0FFDA3F2" w:rsidR="00A24B4A" w:rsidRPr="008D66CC" w:rsidRDefault="00A24B4A" w:rsidP="00A24B4A">
            <w:pPr>
              <w:shd w:val="clear" w:color="auto" w:fill="FFFFFF"/>
              <w:tabs>
                <w:tab w:val="left" w:pos="0"/>
                <w:tab w:val="left" w:pos="709"/>
                <w:tab w:val="left" w:pos="993"/>
              </w:tabs>
              <w:ind w:firstLine="311"/>
              <w:jc w:val="both"/>
              <w:rPr>
                <w:b/>
                <w:bCs/>
                <w:sz w:val="22"/>
                <w:szCs w:val="22"/>
                <w:shd w:val="clear" w:color="auto" w:fill="FFFFFF"/>
              </w:rPr>
            </w:pPr>
            <w:r w:rsidRPr="008D66CC">
              <w:rPr>
                <w:b/>
                <w:bCs/>
                <w:sz w:val="22"/>
                <w:szCs w:val="22"/>
                <w:shd w:val="clear" w:color="auto" w:fill="FFFFFF"/>
              </w:rPr>
              <w:t>2) ідентифікаційний код юридичної особи згідно з даними Єдиного державного реєстру підприємств і організацій України або реєстраційний номер облікової картки платника податків в Україні або серія та номер паспорта (для фізичної особи–підприємця,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ідентифікаційний код відповідного постачальника універсальних послуг);</w:t>
            </w:r>
          </w:p>
          <w:p w14:paraId="07208F43" w14:textId="108745B2" w:rsidR="00A24B4A" w:rsidRPr="008D66CC" w:rsidRDefault="00A24B4A" w:rsidP="00A24B4A">
            <w:pPr>
              <w:shd w:val="clear" w:color="auto" w:fill="FFFFFF"/>
              <w:tabs>
                <w:tab w:val="left" w:pos="0"/>
                <w:tab w:val="left" w:pos="709"/>
                <w:tab w:val="left" w:pos="993"/>
              </w:tabs>
              <w:ind w:firstLine="311"/>
              <w:jc w:val="both"/>
              <w:rPr>
                <w:b/>
                <w:bCs/>
                <w:sz w:val="22"/>
                <w:szCs w:val="22"/>
                <w:shd w:val="clear" w:color="auto" w:fill="FFFFFF"/>
              </w:rPr>
            </w:pPr>
            <w:r w:rsidRPr="008D66CC">
              <w:rPr>
                <w:b/>
                <w:bCs/>
                <w:sz w:val="22"/>
                <w:szCs w:val="22"/>
                <w:shd w:val="clear" w:color="auto" w:fill="FFFFFF"/>
              </w:rPr>
              <w:t xml:space="preserve">3) дата рішення НКРЕКП про видачу ліцензії та/або дата набуття права на провадження ліцензованої діяльності з виробництва електричної енергії (для ліцензіатів)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w:t>
            </w:r>
            <w:r w:rsidRPr="008D66CC">
              <w:rPr>
                <w:b/>
                <w:bCs/>
                <w:sz w:val="22"/>
                <w:szCs w:val="22"/>
                <w:shd w:val="clear" w:color="auto" w:fill="FFFFFF"/>
              </w:rPr>
              <w:lastRenderedPageBreak/>
              <w:t>постачальником 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2577D569" w14:textId="30897BC8" w:rsidR="00A24B4A" w:rsidRPr="008D66CC" w:rsidRDefault="00A24B4A" w:rsidP="00A24B4A">
            <w:pPr>
              <w:shd w:val="clear" w:color="auto" w:fill="FFFFFF"/>
              <w:tabs>
                <w:tab w:val="left" w:pos="0"/>
                <w:tab w:val="left" w:pos="709"/>
                <w:tab w:val="left" w:pos="993"/>
              </w:tabs>
              <w:ind w:firstLine="311"/>
              <w:jc w:val="both"/>
              <w:rPr>
                <w:b/>
                <w:bCs/>
                <w:sz w:val="22"/>
                <w:szCs w:val="22"/>
                <w:shd w:val="clear" w:color="auto" w:fill="FFFFFF"/>
              </w:rPr>
            </w:pPr>
            <w:r w:rsidRPr="008D66CC">
              <w:rPr>
                <w:b/>
                <w:bCs/>
                <w:sz w:val="22"/>
                <w:szCs w:val="22"/>
                <w:shd w:val="clear" w:color="auto" w:fill="FFFFFF"/>
              </w:rPr>
              <w:t>4) місцезнаходження виробника електричної енергії або споживача (у тому числі активного споживача) (не надається щодо фізичних осіб), що здійснює діяльність з виробництва електричної енергії відповідно до даних державних реєстрів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місцезнаходження відповідного постачальника універсальних послуг);</w:t>
            </w:r>
          </w:p>
          <w:p w14:paraId="7E1E94D7" w14:textId="255E7163" w:rsidR="00A24B4A" w:rsidRPr="008D66CC" w:rsidRDefault="00A24B4A" w:rsidP="00A24B4A">
            <w:pPr>
              <w:shd w:val="clear" w:color="auto" w:fill="FFFFFF"/>
              <w:tabs>
                <w:tab w:val="left" w:pos="709"/>
                <w:tab w:val="left" w:pos="993"/>
              </w:tabs>
              <w:ind w:firstLine="311"/>
              <w:jc w:val="both"/>
              <w:rPr>
                <w:b/>
                <w:bCs/>
                <w:sz w:val="22"/>
                <w:szCs w:val="22"/>
                <w:shd w:val="clear" w:color="auto" w:fill="FFFFFF"/>
              </w:rPr>
            </w:pPr>
            <w:r w:rsidRPr="008D66CC">
              <w:rPr>
                <w:b/>
                <w:bCs/>
                <w:sz w:val="22"/>
                <w:szCs w:val="22"/>
                <w:shd w:val="clear" w:color="auto" w:fill="FFFFFF"/>
              </w:rPr>
              <w:t>5) назва (диспетчерське найменування)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загальна інформація щодо належності (віднесення) агрегованої генеруючої установки до відповідного постачальника універсальний послуг у форматі «Агрегована генеруюча установка найменування постачальника універсальної послуги», найменування виду агрегованої групи»);</w:t>
            </w:r>
          </w:p>
          <w:p w14:paraId="35A3856B" w14:textId="3330B29D" w:rsidR="00A24B4A" w:rsidRPr="008D66CC" w:rsidRDefault="00A24B4A" w:rsidP="00A24B4A">
            <w:pPr>
              <w:shd w:val="clear" w:color="auto" w:fill="FFFFFF"/>
              <w:tabs>
                <w:tab w:val="left" w:pos="0"/>
                <w:tab w:val="left" w:pos="709"/>
                <w:tab w:val="left" w:pos="993"/>
              </w:tabs>
              <w:ind w:firstLine="311"/>
              <w:jc w:val="both"/>
              <w:rPr>
                <w:b/>
                <w:bCs/>
                <w:sz w:val="22"/>
                <w:szCs w:val="22"/>
                <w:shd w:val="clear" w:color="auto" w:fill="FFFFFF"/>
              </w:rPr>
            </w:pPr>
            <w:r w:rsidRPr="008D66CC">
              <w:rPr>
                <w:b/>
                <w:bCs/>
                <w:sz w:val="22"/>
                <w:szCs w:val="22"/>
                <w:shd w:val="clear" w:color="auto" w:fill="FFFFFF"/>
              </w:rPr>
              <w:t xml:space="preserve">6) місцезнаходження та географічні координати (GPS-координати) (за наявності) об’єкта електроенергетики, його черги (пускового комплексу), електроустановки споживача (у тому числі активного споживача), у тому числі відповідно до даних державних реєстрів, кодифікаторів (за наявності) (для агрегованих генеруючих установок, які характеризують загальну потужність усіх площадок комерційного </w:t>
            </w:r>
            <w:r w:rsidRPr="008D66CC">
              <w:rPr>
                <w:b/>
                <w:bCs/>
                <w:sz w:val="22"/>
                <w:szCs w:val="22"/>
                <w:shd w:val="clear" w:color="auto" w:fill="FFFFFF"/>
              </w:rPr>
              <w:lastRenderedPageBreak/>
              <w:t>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територія ліцензійної діяльності відповідного постачальника універсальних послуг згідно з ліцензіями     (область або м. Київ));</w:t>
            </w:r>
          </w:p>
          <w:p w14:paraId="4DCCB58D" w14:textId="6E410E18"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 xml:space="preserve">7) встановлена потужність об’єкта електроенергетики, його черги (пускового комплексу) або встановлена потужність генеруючої 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встановлена потужність агрегованої генеруючої установки, яка відповідає сумі значень встановлених </w:t>
            </w:r>
            <w:proofErr w:type="spellStart"/>
            <w:r w:rsidRPr="008D66CC">
              <w:rPr>
                <w:b/>
                <w:bCs/>
                <w:sz w:val="22"/>
                <w:szCs w:val="22"/>
                <w:shd w:val="clear" w:color="auto" w:fill="FFFFFF"/>
              </w:rPr>
              <w:t>потужностей</w:t>
            </w:r>
            <w:proofErr w:type="spellEnd"/>
            <w:r w:rsidRPr="008D66CC">
              <w:rPr>
                <w:b/>
                <w:bCs/>
                <w:sz w:val="22"/>
                <w:szCs w:val="22"/>
                <w:shd w:val="clear" w:color="auto" w:fill="FFFFFF"/>
              </w:rPr>
              <w:t xml:space="preserve"> одиниць генерації за всіма площадками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з урахуванням даних щодо мережі (області обліку), до якої приєднані одиниці генерації та типу технології/характеристики відновлюваного джерела енергії, що використовується для виробництва електричної енергії),  у кіловатах;</w:t>
            </w:r>
          </w:p>
          <w:p w14:paraId="415DB804" w14:textId="77777777"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 xml:space="preserve">8) дата початку застосування схеми підтримки, для створення об’єкта електроенергетики або виду підтримки виробників електричної енергії з альтернативних джерел енергії («зеленого тарифу» згідно з укладеним договором купівлі-продажу за «зеленим» тарифом або відповідно до постанови НКРЕКП (для виробників електричної енергії), механізму ринкової премії, надання послуги із забезпечення стабільності ціни на електричну енергію тощо) для площадки комерційного обліку або агрегованої генеруючої групи (за наявності) (для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w:t>
            </w:r>
            <w:r w:rsidRPr="008D66CC">
              <w:rPr>
                <w:b/>
                <w:bCs/>
                <w:sz w:val="22"/>
                <w:szCs w:val="22"/>
                <w:shd w:val="clear" w:color="auto" w:fill="FFFFFF"/>
              </w:rPr>
              <w:lastRenderedPageBreak/>
              <w:t>універсальних послуг про купівлю-продаж електричної енергії за «зеленим» тарифом, вказується дата рішення НКРЕКП про 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43694A78" w14:textId="77777777"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p>
          <w:p w14:paraId="67057CF6" w14:textId="50C69F7C"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9) ЕІС-коди (типу Z) точки комерційного обліку/площадки комерційного обліку об’єкта генерації (для електроустановок споживачів (у тому числі активних споживачів)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вказуються                 ЕІС-коди типу Z агрегованих генеруючих установок ПУП за кожною областю обліку та за визначеними для них параметрами узагальнених видів генерації/типів палива;</w:t>
            </w:r>
          </w:p>
          <w:p w14:paraId="548CB2DE" w14:textId="6EE1401F"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10) ЕІС-код (типу Z) одиниці генерації за площадкою комерційного обліку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інформація не вказується);</w:t>
            </w:r>
          </w:p>
          <w:p w14:paraId="665B10DE" w14:textId="5265CA90"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 xml:space="preserve">11) дата введення в експлуатацію об’єкта електроенергетики, його черги (пускового комплексу), електроустановки споживача (у тому числі активного споживача) (за наявності)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вказується дата рішення НКРЕКП про </w:t>
            </w:r>
            <w:r w:rsidRPr="008D66CC">
              <w:rPr>
                <w:b/>
                <w:bCs/>
                <w:sz w:val="22"/>
                <w:szCs w:val="22"/>
                <w:shd w:val="clear" w:color="auto" w:fill="FFFFFF"/>
              </w:rPr>
              <w:lastRenderedPageBreak/>
              <w:t>видачу ліцензії відповідному постачальнику універсальних послуг або дата набуття ним права на провадження ліцензованої діяльності з постачання електричної енергії);</w:t>
            </w:r>
          </w:p>
          <w:p w14:paraId="60DF86D1" w14:textId="2618E655"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12) мережа (область обліку), до якої підключено об’єкт електроенергетики, його чергу (пусковий комплекс), електроустановку споживача (у тому числі активного споживача) або до якої підключено площадки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у складі відповідних агрегованих генеруючих установок (система передачі, системи розподілу, власна мережа, мережа іншого власника, пряма лінія тощо, найменування оператора системи (інше));</w:t>
            </w:r>
          </w:p>
          <w:p w14:paraId="179E8A89" w14:textId="24491390"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 xml:space="preserve">13) тип технології, що використовується при виробництві електричної енергії з відновлюваних джерел енергії (відповідно до типу генерації згідно з довідниками </w:t>
            </w:r>
            <w:proofErr w:type="spellStart"/>
            <w:r w:rsidRPr="008D66CC">
              <w:rPr>
                <w:b/>
                <w:bCs/>
                <w:sz w:val="22"/>
                <w:szCs w:val="22"/>
                <w:shd w:val="clear" w:color="auto" w:fill="FFFFFF"/>
              </w:rPr>
              <w:t>Датахаб</w:t>
            </w:r>
            <w:proofErr w:type="spellEnd"/>
            <w:r w:rsidRPr="008D66CC">
              <w:rPr>
                <w:b/>
                <w:bCs/>
                <w:sz w:val="22"/>
                <w:szCs w:val="22"/>
                <w:shd w:val="clear" w:color="auto" w:fill="FFFFFF"/>
              </w:rPr>
              <w:t xml:space="preserve"> за властивостями площадок або агрегованих генеруючих установок);</w:t>
            </w:r>
          </w:p>
          <w:p w14:paraId="383557DA" w14:textId="77777777"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 xml:space="preserve">14) характеристику відновлюваного джерела енергії, що використовується для виробництва електричної енергії (відповідно до типу генерації згідно з довідниками </w:t>
            </w:r>
            <w:proofErr w:type="spellStart"/>
            <w:r w:rsidRPr="008D66CC">
              <w:rPr>
                <w:b/>
                <w:bCs/>
                <w:sz w:val="22"/>
                <w:szCs w:val="22"/>
                <w:shd w:val="clear" w:color="auto" w:fill="FFFFFF"/>
              </w:rPr>
              <w:t>Датахаб</w:t>
            </w:r>
            <w:proofErr w:type="spellEnd"/>
            <w:r w:rsidRPr="008D66CC">
              <w:rPr>
                <w:b/>
                <w:bCs/>
                <w:sz w:val="22"/>
                <w:szCs w:val="22"/>
                <w:shd w:val="clear" w:color="auto" w:fill="FFFFFF"/>
              </w:rPr>
              <w:t xml:space="preserve"> за властивостями одиниць генерації або агрегованих генеруючих установок);</w:t>
            </w:r>
          </w:p>
          <w:p w14:paraId="26C57E36" w14:textId="22803622" w:rsidR="00A24B4A" w:rsidRPr="008D66CC" w:rsidRDefault="00A24B4A" w:rsidP="00A24B4A">
            <w:pPr>
              <w:shd w:val="clear" w:color="auto" w:fill="FFFFFF"/>
              <w:tabs>
                <w:tab w:val="left" w:pos="0"/>
                <w:tab w:val="left" w:pos="709"/>
                <w:tab w:val="left" w:pos="993"/>
              </w:tabs>
              <w:ind w:firstLine="567"/>
              <w:jc w:val="both"/>
              <w:rPr>
                <w:b/>
                <w:bCs/>
                <w:sz w:val="22"/>
                <w:szCs w:val="22"/>
                <w:shd w:val="clear" w:color="auto" w:fill="FFFFFF"/>
              </w:rPr>
            </w:pPr>
            <w:r w:rsidRPr="008D66CC">
              <w:rPr>
                <w:b/>
                <w:bCs/>
                <w:sz w:val="22"/>
                <w:szCs w:val="22"/>
                <w:shd w:val="clear" w:color="auto" w:fill="FFFFFF"/>
              </w:rPr>
              <w:t>15) спроможність до автономної роботи об’єкта електроенергетики або електроустановки споживача (у тому числі активного споживача) (для агрегованих генеруючих установок, які характеризують загальну потужність усіх площадок комерційного обліку генеруючих установок активних споживачів – приватних домогосподарств, які уклали договір з відповідним постачальником універсальних послуг про купівлю-продаж електричної енергії за «зеленим» тарифом, інформація не вказується);</w:t>
            </w:r>
          </w:p>
          <w:p w14:paraId="10305EB4" w14:textId="47315F76" w:rsidR="006D2563" w:rsidRPr="008D66CC" w:rsidRDefault="00A24B4A" w:rsidP="00A24B4A">
            <w:pPr>
              <w:spacing w:after="0" w:line="240" w:lineRule="auto"/>
              <w:jc w:val="both"/>
              <w:rPr>
                <w:b/>
                <w:bCs/>
                <w:sz w:val="22"/>
                <w:szCs w:val="22"/>
                <w:shd w:val="clear" w:color="auto" w:fill="FFFFFF"/>
              </w:rPr>
            </w:pPr>
            <w:r w:rsidRPr="008D66CC">
              <w:rPr>
                <w:b/>
                <w:bCs/>
                <w:sz w:val="22"/>
                <w:szCs w:val="22"/>
                <w:shd w:val="clear" w:color="auto" w:fill="FFFFFF"/>
              </w:rPr>
              <w:t xml:space="preserve">      </w:t>
            </w:r>
            <w:r w:rsidRPr="008D66CC">
              <w:rPr>
                <w:b/>
                <w:bCs/>
                <w:sz w:val="22"/>
                <w:szCs w:val="22"/>
                <w:shd w:val="clear" w:color="auto" w:fill="FFFFFF"/>
              </w:rPr>
              <w:t xml:space="preserve">16) схема підтримки, яка застосовується/застосовувалася для створення об’єкта електроенергетики або виду підтримки виробників електричної енергії з альтернативних джерел енергії («зелений» тариф, </w:t>
            </w:r>
            <w:r w:rsidRPr="008D66CC">
              <w:rPr>
                <w:b/>
                <w:bCs/>
                <w:sz w:val="22"/>
                <w:szCs w:val="22"/>
                <w:shd w:val="clear" w:color="auto" w:fill="FFFFFF"/>
              </w:rPr>
              <w:lastRenderedPageBreak/>
              <w:t>механізм ринкової премії, надання послуги із забезпечення стабільності ціни на електричну енергію тощо) (за наявності) для площадки комерційного обліку або агрегованої генеруючої групи.</w:t>
            </w:r>
            <w:r w:rsidRPr="008D66CC">
              <w:rPr>
                <w:b/>
                <w:bCs/>
                <w:sz w:val="22"/>
                <w:szCs w:val="22"/>
                <w:shd w:val="clear" w:color="auto" w:fill="FFFFFF"/>
              </w:rPr>
              <w:t>».</w:t>
            </w:r>
          </w:p>
        </w:tc>
      </w:tr>
    </w:tbl>
    <w:p w14:paraId="2086EDDD" w14:textId="77777777" w:rsidR="00F4785B" w:rsidRDefault="00F4785B"/>
    <w:sectPr w:rsidR="00F4785B" w:rsidSect="00F4785B">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altName w:val="Gautami"/>
    <w:panose1 w:val="02000500000000000000"/>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6B4822"/>
    <w:multiLevelType w:val="hybridMultilevel"/>
    <w:tmpl w:val="A6E2CE10"/>
    <w:lvl w:ilvl="0" w:tplc="D2D8376C">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85B"/>
    <w:rsid w:val="00016A25"/>
    <w:rsid w:val="00027429"/>
    <w:rsid w:val="000B2254"/>
    <w:rsid w:val="000C6517"/>
    <w:rsid w:val="00251C44"/>
    <w:rsid w:val="00272256"/>
    <w:rsid w:val="002F0BC9"/>
    <w:rsid w:val="0036459A"/>
    <w:rsid w:val="003B4472"/>
    <w:rsid w:val="00444566"/>
    <w:rsid w:val="004F2AC3"/>
    <w:rsid w:val="005042B9"/>
    <w:rsid w:val="005572AC"/>
    <w:rsid w:val="00626676"/>
    <w:rsid w:val="00674AA0"/>
    <w:rsid w:val="006D0FEB"/>
    <w:rsid w:val="006D2563"/>
    <w:rsid w:val="006D78B5"/>
    <w:rsid w:val="007716FD"/>
    <w:rsid w:val="00823D8A"/>
    <w:rsid w:val="00843871"/>
    <w:rsid w:val="00846B96"/>
    <w:rsid w:val="00890A7A"/>
    <w:rsid w:val="008D66CC"/>
    <w:rsid w:val="00914315"/>
    <w:rsid w:val="009B605A"/>
    <w:rsid w:val="009C6B35"/>
    <w:rsid w:val="00A24B4A"/>
    <w:rsid w:val="00A269AF"/>
    <w:rsid w:val="00A52AD2"/>
    <w:rsid w:val="00B46FD6"/>
    <w:rsid w:val="00C1629F"/>
    <w:rsid w:val="00C3301B"/>
    <w:rsid w:val="00C81EA6"/>
    <w:rsid w:val="00CA2E36"/>
    <w:rsid w:val="00CB1BF7"/>
    <w:rsid w:val="00D8086C"/>
    <w:rsid w:val="00DA3840"/>
    <w:rsid w:val="00DD6F68"/>
    <w:rsid w:val="00E10A87"/>
    <w:rsid w:val="00EA3864"/>
    <w:rsid w:val="00F05382"/>
    <w:rsid w:val="00F4785B"/>
    <w:rsid w:val="00F531A2"/>
    <w:rsid w:val="00FB5E8C"/>
    <w:rsid w:val="00FE7C93"/>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A46D1"/>
  <w15:chartTrackingRefBased/>
  <w15:docId w15:val="{3DD5B337-A66E-4525-AF8E-54BB9BF7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4785B"/>
    <w:pPr>
      <w:spacing w:after="160" w:line="259" w:lineRule="auto"/>
    </w:pPr>
    <w:rPr>
      <w:rFonts w:eastAsiaTheme="minorHAnsi"/>
      <w:sz w:val="28"/>
      <w:szCs w:val="28"/>
      <w:lang w:val="uk-UA"/>
    </w:rPr>
  </w:style>
  <w:style w:type="paragraph" w:styleId="1">
    <w:name w:val="heading 1"/>
    <w:basedOn w:val="a"/>
    <w:next w:val="a"/>
    <w:link w:val="10"/>
    <w:qFormat/>
    <w:rsid w:val="00C3301B"/>
    <w:pPr>
      <w:keepNext/>
      <w:spacing w:after="0" w:line="240" w:lineRule="auto"/>
      <w:jc w:val="center"/>
      <w:outlineLvl w:val="0"/>
    </w:pPr>
    <w:rPr>
      <w:rFonts w:eastAsia="Times New Roman"/>
      <w:szCs w:val="20"/>
      <w:lang w:eastAsia="ru-RU"/>
    </w:rPr>
  </w:style>
  <w:style w:type="paragraph" w:styleId="2">
    <w:name w:val="heading 2"/>
    <w:basedOn w:val="a"/>
    <w:next w:val="a"/>
    <w:link w:val="20"/>
    <w:qFormat/>
    <w:rsid w:val="00C3301B"/>
    <w:pPr>
      <w:keepNext/>
      <w:spacing w:after="0" w:line="240" w:lineRule="auto"/>
      <w:ind w:left="4956" w:firstLine="708"/>
      <w:jc w:val="both"/>
      <w:outlineLvl w:val="1"/>
    </w:pPr>
    <w:rPr>
      <w:rFonts w:eastAsia="Times New Roman"/>
      <w:b/>
      <w:bCs/>
      <w:szCs w:val="20"/>
      <w:lang w:eastAsia="ru-RU"/>
    </w:rPr>
  </w:style>
  <w:style w:type="paragraph" w:styleId="3">
    <w:name w:val="heading 3"/>
    <w:basedOn w:val="a"/>
    <w:link w:val="30"/>
    <w:uiPriority w:val="9"/>
    <w:qFormat/>
    <w:rsid w:val="00444566"/>
    <w:pPr>
      <w:spacing w:before="100" w:beforeAutospacing="1" w:after="100" w:afterAutospacing="1" w:line="240" w:lineRule="auto"/>
      <w:outlineLvl w:val="2"/>
    </w:pPr>
    <w:rPr>
      <w:rFonts w:eastAsia="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table" w:styleId="a3">
    <w:name w:val="Table Grid"/>
    <w:basedOn w:val="a1"/>
    <w:uiPriority w:val="39"/>
    <w:rsid w:val="00F4785B"/>
    <w:rPr>
      <w:rFonts w:eastAsiaTheme="minorHAnsi"/>
      <w:sz w:val="28"/>
      <w:szCs w:val="28"/>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23D8A"/>
    <w:pPr>
      <w:spacing w:before="100" w:beforeAutospacing="1" w:after="100" w:afterAutospacing="1" w:line="240" w:lineRule="auto"/>
    </w:pPr>
    <w:rPr>
      <w:rFonts w:eastAsia="Times New Roman"/>
      <w:sz w:val="24"/>
      <w:szCs w:val="24"/>
      <w:lang w:val="ru-RU" w:eastAsia="ru-RU"/>
    </w:rPr>
  </w:style>
  <w:style w:type="character" w:styleId="a4">
    <w:name w:val="Hyperlink"/>
    <w:basedOn w:val="a0"/>
    <w:uiPriority w:val="99"/>
    <w:unhideWhenUsed/>
    <w:rsid w:val="00823D8A"/>
    <w:rPr>
      <w:color w:val="0000FF"/>
      <w:u w:val="single"/>
    </w:rPr>
  </w:style>
  <w:style w:type="character" w:customStyle="1" w:styleId="rvts46">
    <w:name w:val="rvts46"/>
    <w:basedOn w:val="a0"/>
    <w:rsid w:val="00823D8A"/>
  </w:style>
  <w:style w:type="character" w:customStyle="1" w:styleId="st42">
    <w:name w:val="st42"/>
    <w:uiPriority w:val="99"/>
    <w:rsid w:val="00823D8A"/>
    <w:rPr>
      <w:color w:val="000000"/>
    </w:rPr>
  </w:style>
  <w:style w:type="character" w:customStyle="1" w:styleId="rvts23">
    <w:name w:val="rvts23"/>
    <w:basedOn w:val="a0"/>
    <w:rsid w:val="002F0BC9"/>
  </w:style>
  <w:style w:type="character" w:customStyle="1" w:styleId="cf01">
    <w:name w:val="cf01"/>
    <w:basedOn w:val="a0"/>
    <w:rsid w:val="002F0BC9"/>
    <w:rPr>
      <w:rFonts w:ascii="Segoe UI" w:hAnsi="Segoe UI" w:cs="Segoe UI" w:hint="default"/>
      <w:sz w:val="18"/>
      <w:szCs w:val="18"/>
    </w:rPr>
  </w:style>
  <w:style w:type="character" w:customStyle="1" w:styleId="cf11">
    <w:name w:val="cf11"/>
    <w:basedOn w:val="a0"/>
    <w:rsid w:val="002F0BC9"/>
    <w:rPr>
      <w:rFonts w:ascii="Segoe UI" w:hAnsi="Segoe UI" w:cs="Segoe UI" w:hint="default"/>
      <w:strike/>
      <w:sz w:val="18"/>
      <w:szCs w:val="18"/>
    </w:rPr>
  </w:style>
  <w:style w:type="character" w:customStyle="1" w:styleId="rvts15">
    <w:name w:val="rvts15"/>
    <w:basedOn w:val="a0"/>
    <w:rsid w:val="00674AA0"/>
  </w:style>
  <w:style w:type="paragraph" w:customStyle="1" w:styleId="tr">
    <w:name w:val="tr"/>
    <w:basedOn w:val="a"/>
    <w:rsid w:val="00F531A2"/>
    <w:pPr>
      <w:spacing w:before="100" w:beforeAutospacing="1" w:after="100" w:afterAutospacing="1" w:line="240" w:lineRule="auto"/>
    </w:pPr>
    <w:rPr>
      <w:rFonts w:eastAsia="Times New Roman"/>
      <w:sz w:val="24"/>
      <w:szCs w:val="24"/>
      <w:lang w:val="ru-RU" w:eastAsia="ru-RU"/>
    </w:rPr>
  </w:style>
  <w:style w:type="paragraph" w:styleId="a5">
    <w:name w:val="Balloon Text"/>
    <w:basedOn w:val="a"/>
    <w:link w:val="a6"/>
    <w:uiPriority w:val="99"/>
    <w:semiHidden/>
    <w:unhideWhenUsed/>
    <w:rsid w:val="00846B9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46B96"/>
    <w:rPr>
      <w:rFonts w:ascii="Segoe UI" w:eastAsiaTheme="minorHAnsi" w:hAnsi="Segoe UI" w:cs="Segoe UI"/>
      <w:sz w:val="18"/>
      <w:szCs w:val="18"/>
      <w:lang w:val="uk-UA"/>
    </w:rPr>
  </w:style>
  <w:style w:type="paragraph" w:customStyle="1" w:styleId="tj">
    <w:name w:val="tj"/>
    <w:basedOn w:val="a"/>
    <w:rsid w:val="00A269AF"/>
    <w:pPr>
      <w:spacing w:before="100" w:beforeAutospacing="1" w:after="100" w:afterAutospacing="1" w:line="240" w:lineRule="auto"/>
    </w:pPr>
    <w:rPr>
      <w:rFonts w:eastAsia="Times New Roman"/>
      <w:sz w:val="24"/>
      <w:szCs w:val="24"/>
      <w:lang w:val="ru-RU" w:eastAsia="ru-RU"/>
    </w:rPr>
  </w:style>
  <w:style w:type="character" w:customStyle="1" w:styleId="30">
    <w:name w:val="Заголовок 3 Знак"/>
    <w:basedOn w:val="a0"/>
    <w:link w:val="3"/>
    <w:uiPriority w:val="9"/>
    <w:rsid w:val="00444566"/>
    <w:rPr>
      <w:b/>
      <w:bCs/>
      <w:sz w:val="27"/>
      <w:szCs w:val="27"/>
      <w:lang w:eastAsia="ru-RU"/>
    </w:rPr>
  </w:style>
  <w:style w:type="character" w:customStyle="1" w:styleId="hard-blue-color">
    <w:name w:val="hard-blue-color"/>
    <w:basedOn w:val="a0"/>
    <w:rsid w:val="006D2563"/>
  </w:style>
  <w:style w:type="paragraph" w:customStyle="1" w:styleId="rvps7">
    <w:name w:val="rvps7"/>
    <w:basedOn w:val="a"/>
    <w:rsid w:val="006D2563"/>
    <w:pPr>
      <w:spacing w:before="100" w:beforeAutospacing="1" w:after="100" w:afterAutospacing="1" w:line="240" w:lineRule="auto"/>
    </w:pPr>
    <w:rPr>
      <w:rFonts w:eastAsia="Times New Roman"/>
      <w:sz w:val="24"/>
      <w:szCs w:val="24"/>
      <w:lang w:val="ru-RU" w:eastAsia="ru-RU"/>
    </w:rPr>
  </w:style>
  <w:style w:type="character" w:customStyle="1" w:styleId="rvts11">
    <w:name w:val="rvts11"/>
    <w:basedOn w:val="a0"/>
    <w:rsid w:val="00C81EA6"/>
  </w:style>
  <w:style w:type="paragraph" w:styleId="a7">
    <w:name w:val="footer"/>
    <w:basedOn w:val="a"/>
    <w:link w:val="a8"/>
    <w:uiPriority w:val="99"/>
    <w:rsid w:val="00C81EA6"/>
    <w:pPr>
      <w:tabs>
        <w:tab w:val="center" w:pos="4536"/>
        <w:tab w:val="right" w:pos="9072"/>
      </w:tabs>
      <w:spacing w:after="0" w:line="240" w:lineRule="auto"/>
    </w:pPr>
    <w:rPr>
      <w:rFonts w:eastAsia="Times New Roman"/>
      <w:szCs w:val="20"/>
      <w:lang w:val="ru-RU" w:eastAsia="ru-RU"/>
    </w:rPr>
  </w:style>
  <w:style w:type="character" w:customStyle="1" w:styleId="a8">
    <w:name w:val="Нижній колонтитул Знак"/>
    <w:basedOn w:val="a0"/>
    <w:link w:val="a7"/>
    <w:uiPriority w:val="99"/>
    <w:rsid w:val="00C81EA6"/>
    <w:rPr>
      <w:sz w:val="28"/>
      <w:lang w:eastAsia="ru-RU"/>
    </w:rPr>
  </w:style>
  <w:style w:type="paragraph" w:styleId="a9">
    <w:name w:val="List Paragraph"/>
    <w:basedOn w:val="a"/>
    <w:uiPriority w:val="34"/>
    <w:qFormat/>
    <w:rsid w:val="00C81EA6"/>
    <w:pPr>
      <w:spacing w:after="0" w:line="240" w:lineRule="auto"/>
      <w:ind w:left="720"/>
      <w:contextualSpacing/>
    </w:pPr>
    <w:rPr>
      <w:rFonts w:eastAsia="Times New Roman"/>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22876">
      <w:bodyDiv w:val="1"/>
      <w:marLeft w:val="0"/>
      <w:marRight w:val="0"/>
      <w:marTop w:val="0"/>
      <w:marBottom w:val="0"/>
      <w:divBdr>
        <w:top w:val="none" w:sz="0" w:space="0" w:color="auto"/>
        <w:left w:val="none" w:sz="0" w:space="0" w:color="auto"/>
        <w:bottom w:val="none" w:sz="0" w:space="0" w:color="auto"/>
        <w:right w:val="none" w:sz="0" w:space="0" w:color="auto"/>
      </w:divBdr>
    </w:div>
    <w:div w:id="109058501">
      <w:bodyDiv w:val="1"/>
      <w:marLeft w:val="0"/>
      <w:marRight w:val="0"/>
      <w:marTop w:val="0"/>
      <w:marBottom w:val="0"/>
      <w:divBdr>
        <w:top w:val="none" w:sz="0" w:space="0" w:color="auto"/>
        <w:left w:val="none" w:sz="0" w:space="0" w:color="auto"/>
        <w:bottom w:val="none" w:sz="0" w:space="0" w:color="auto"/>
        <w:right w:val="none" w:sz="0" w:space="0" w:color="auto"/>
      </w:divBdr>
    </w:div>
    <w:div w:id="293758397">
      <w:bodyDiv w:val="1"/>
      <w:marLeft w:val="0"/>
      <w:marRight w:val="0"/>
      <w:marTop w:val="0"/>
      <w:marBottom w:val="0"/>
      <w:divBdr>
        <w:top w:val="none" w:sz="0" w:space="0" w:color="auto"/>
        <w:left w:val="none" w:sz="0" w:space="0" w:color="auto"/>
        <w:bottom w:val="none" w:sz="0" w:space="0" w:color="auto"/>
        <w:right w:val="none" w:sz="0" w:space="0" w:color="auto"/>
      </w:divBdr>
      <w:divsChild>
        <w:div w:id="862590088">
          <w:marLeft w:val="0"/>
          <w:marRight w:val="0"/>
          <w:marTop w:val="0"/>
          <w:marBottom w:val="0"/>
          <w:divBdr>
            <w:top w:val="none" w:sz="0" w:space="0" w:color="auto"/>
            <w:left w:val="none" w:sz="0" w:space="0" w:color="auto"/>
            <w:bottom w:val="none" w:sz="0" w:space="0" w:color="auto"/>
            <w:right w:val="none" w:sz="0" w:space="0" w:color="auto"/>
          </w:divBdr>
        </w:div>
        <w:div w:id="803692452">
          <w:marLeft w:val="0"/>
          <w:marRight w:val="0"/>
          <w:marTop w:val="0"/>
          <w:marBottom w:val="0"/>
          <w:divBdr>
            <w:top w:val="none" w:sz="0" w:space="0" w:color="auto"/>
            <w:left w:val="none" w:sz="0" w:space="0" w:color="auto"/>
            <w:bottom w:val="none" w:sz="0" w:space="0" w:color="auto"/>
            <w:right w:val="none" w:sz="0" w:space="0" w:color="auto"/>
          </w:divBdr>
        </w:div>
        <w:div w:id="749548242">
          <w:marLeft w:val="0"/>
          <w:marRight w:val="0"/>
          <w:marTop w:val="0"/>
          <w:marBottom w:val="0"/>
          <w:divBdr>
            <w:top w:val="none" w:sz="0" w:space="0" w:color="auto"/>
            <w:left w:val="none" w:sz="0" w:space="0" w:color="auto"/>
            <w:bottom w:val="none" w:sz="0" w:space="0" w:color="auto"/>
            <w:right w:val="none" w:sz="0" w:space="0" w:color="auto"/>
          </w:divBdr>
        </w:div>
        <w:div w:id="1150633212">
          <w:marLeft w:val="0"/>
          <w:marRight w:val="0"/>
          <w:marTop w:val="0"/>
          <w:marBottom w:val="0"/>
          <w:divBdr>
            <w:top w:val="none" w:sz="0" w:space="0" w:color="auto"/>
            <w:left w:val="none" w:sz="0" w:space="0" w:color="auto"/>
            <w:bottom w:val="none" w:sz="0" w:space="0" w:color="auto"/>
            <w:right w:val="none" w:sz="0" w:space="0" w:color="auto"/>
          </w:divBdr>
        </w:div>
      </w:divsChild>
    </w:div>
    <w:div w:id="464541839">
      <w:bodyDiv w:val="1"/>
      <w:marLeft w:val="0"/>
      <w:marRight w:val="0"/>
      <w:marTop w:val="0"/>
      <w:marBottom w:val="0"/>
      <w:divBdr>
        <w:top w:val="none" w:sz="0" w:space="0" w:color="auto"/>
        <w:left w:val="none" w:sz="0" w:space="0" w:color="auto"/>
        <w:bottom w:val="none" w:sz="0" w:space="0" w:color="auto"/>
        <w:right w:val="none" w:sz="0" w:space="0" w:color="auto"/>
      </w:divBdr>
    </w:div>
    <w:div w:id="504780547">
      <w:bodyDiv w:val="1"/>
      <w:marLeft w:val="0"/>
      <w:marRight w:val="0"/>
      <w:marTop w:val="0"/>
      <w:marBottom w:val="0"/>
      <w:divBdr>
        <w:top w:val="none" w:sz="0" w:space="0" w:color="auto"/>
        <w:left w:val="none" w:sz="0" w:space="0" w:color="auto"/>
        <w:bottom w:val="none" w:sz="0" w:space="0" w:color="auto"/>
        <w:right w:val="none" w:sz="0" w:space="0" w:color="auto"/>
      </w:divBdr>
    </w:div>
    <w:div w:id="511920603">
      <w:bodyDiv w:val="1"/>
      <w:marLeft w:val="0"/>
      <w:marRight w:val="0"/>
      <w:marTop w:val="0"/>
      <w:marBottom w:val="0"/>
      <w:divBdr>
        <w:top w:val="none" w:sz="0" w:space="0" w:color="auto"/>
        <w:left w:val="none" w:sz="0" w:space="0" w:color="auto"/>
        <w:bottom w:val="none" w:sz="0" w:space="0" w:color="auto"/>
        <w:right w:val="none" w:sz="0" w:space="0" w:color="auto"/>
      </w:divBdr>
    </w:div>
    <w:div w:id="683286520">
      <w:bodyDiv w:val="1"/>
      <w:marLeft w:val="0"/>
      <w:marRight w:val="0"/>
      <w:marTop w:val="0"/>
      <w:marBottom w:val="0"/>
      <w:divBdr>
        <w:top w:val="none" w:sz="0" w:space="0" w:color="auto"/>
        <w:left w:val="none" w:sz="0" w:space="0" w:color="auto"/>
        <w:bottom w:val="none" w:sz="0" w:space="0" w:color="auto"/>
        <w:right w:val="none" w:sz="0" w:space="0" w:color="auto"/>
      </w:divBdr>
    </w:div>
    <w:div w:id="692194810">
      <w:bodyDiv w:val="1"/>
      <w:marLeft w:val="0"/>
      <w:marRight w:val="0"/>
      <w:marTop w:val="0"/>
      <w:marBottom w:val="0"/>
      <w:divBdr>
        <w:top w:val="none" w:sz="0" w:space="0" w:color="auto"/>
        <w:left w:val="none" w:sz="0" w:space="0" w:color="auto"/>
        <w:bottom w:val="none" w:sz="0" w:space="0" w:color="auto"/>
        <w:right w:val="none" w:sz="0" w:space="0" w:color="auto"/>
      </w:divBdr>
    </w:div>
    <w:div w:id="819034193">
      <w:bodyDiv w:val="1"/>
      <w:marLeft w:val="0"/>
      <w:marRight w:val="0"/>
      <w:marTop w:val="0"/>
      <w:marBottom w:val="0"/>
      <w:divBdr>
        <w:top w:val="none" w:sz="0" w:space="0" w:color="auto"/>
        <w:left w:val="none" w:sz="0" w:space="0" w:color="auto"/>
        <w:bottom w:val="none" w:sz="0" w:space="0" w:color="auto"/>
        <w:right w:val="none" w:sz="0" w:space="0" w:color="auto"/>
      </w:divBdr>
    </w:div>
    <w:div w:id="916205539">
      <w:bodyDiv w:val="1"/>
      <w:marLeft w:val="0"/>
      <w:marRight w:val="0"/>
      <w:marTop w:val="0"/>
      <w:marBottom w:val="0"/>
      <w:divBdr>
        <w:top w:val="none" w:sz="0" w:space="0" w:color="auto"/>
        <w:left w:val="none" w:sz="0" w:space="0" w:color="auto"/>
        <w:bottom w:val="none" w:sz="0" w:space="0" w:color="auto"/>
        <w:right w:val="none" w:sz="0" w:space="0" w:color="auto"/>
      </w:divBdr>
    </w:div>
    <w:div w:id="1372417172">
      <w:bodyDiv w:val="1"/>
      <w:marLeft w:val="0"/>
      <w:marRight w:val="0"/>
      <w:marTop w:val="0"/>
      <w:marBottom w:val="0"/>
      <w:divBdr>
        <w:top w:val="none" w:sz="0" w:space="0" w:color="auto"/>
        <w:left w:val="none" w:sz="0" w:space="0" w:color="auto"/>
        <w:bottom w:val="none" w:sz="0" w:space="0" w:color="auto"/>
        <w:right w:val="none" w:sz="0" w:space="0" w:color="auto"/>
      </w:divBdr>
    </w:div>
    <w:div w:id="1377772816">
      <w:bodyDiv w:val="1"/>
      <w:marLeft w:val="0"/>
      <w:marRight w:val="0"/>
      <w:marTop w:val="0"/>
      <w:marBottom w:val="0"/>
      <w:divBdr>
        <w:top w:val="none" w:sz="0" w:space="0" w:color="auto"/>
        <w:left w:val="none" w:sz="0" w:space="0" w:color="auto"/>
        <w:bottom w:val="none" w:sz="0" w:space="0" w:color="auto"/>
        <w:right w:val="none" w:sz="0" w:space="0" w:color="auto"/>
      </w:divBdr>
    </w:div>
    <w:div w:id="1383214253">
      <w:bodyDiv w:val="1"/>
      <w:marLeft w:val="0"/>
      <w:marRight w:val="0"/>
      <w:marTop w:val="0"/>
      <w:marBottom w:val="0"/>
      <w:divBdr>
        <w:top w:val="none" w:sz="0" w:space="0" w:color="auto"/>
        <w:left w:val="none" w:sz="0" w:space="0" w:color="auto"/>
        <w:bottom w:val="none" w:sz="0" w:space="0" w:color="auto"/>
        <w:right w:val="none" w:sz="0" w:space="0" w:color="auto"/>
      </w:divBdr>
    </w:div>
    <w:div w:id="1804153225">
      <w:bodyDiv w:val="1"/>
      <w:marLeft w:val="0"/>
      <w:marRight w:val="0"/>
      <w:marTop w:val="0"/>
      <w:marBottom w:val="0"/>
      <w:divBdr>
        <w:top w:val="none" w:sz="0" w:space="0" w:color="auto"/>
        <w:left w:val="none" w:sz="0" w:space="0" w:color="auto"/>
        <w:bottom w:val="none" w:sz="0" w:space="0" w:color="auto"/>
        <w:right w:val="none" w:sz="0" w:space="0" w:color="auto"/>
      </w:divBdr>
    </w:div>
    <w:div w:id="1804732564">
      <w:bodyDiv w:val="1"/>
      <w:marLeft w:val="0"/>
      <w:marRight w:val="0"/>
      <w:marTop w:val="0"/>
      <w:marBottom w:val="0"/>
      <w:divBdr>
        <w:top w:val="none" w:sz="0" w:space="0" w:color="auto"/>
        <w:left w:val="none" w:sz="0" w:space="0" w:color="auto"/>
        <w:bottom w:val="none" w:sz="0" w:space="0" w:color="auto"/>
        <w:right w:val="none" w:sz="0" w:space="0" w:color="auto"/>
      </w:divBdr>
    </w:div>
    <w:div w:id="1979724176">
      <w:bodyDiv w:val="1"/>
      <w:marLeft w:val="0"/>
      <w:marRight w:val="0"/>
      <w:marTop w:val="0"/>
      <w:marBottom w:val="0"/>
      <w:divBdr>
        <w:top w:val="none" w:sz="0" w:space="0" w:color="auto"/>
        <w:left w:val="none" w:sz="0" w:space="0" w:color="auto"/>
        <w:bottom w:val="none" w:sz="0" w:space="0" w:color="auto"/>
        <w:right w:val="none" w:sz="0" w:space="0" w:color="auto"/>
      </w:divBdr>
    </w:div>
    <w:div w:id="2080397436">
      <w:bodyDiv w:val="1"/>
      <w:marLeft w:val="0"/>
      <w:marRight w:val="0"/>
      <w:marTop w:val="0"/>
      <w:marBottom w:val="0"/>
      <w:divBdr>
        <w:top w:val="none" w:sz="0" w:space="0" w:color="auto"/>
        <w:left w:val="none" w:sz="0" w:space="0" w:color="auto"/>
        <w:bottom w:val="none" w:sz="0" w:space="0" w:color="auto"/>
        <w:right w:val="none" w:sz="0" w:space="0" w:color="auto"/>
      </w:divBdr>
    </w:div>
    <w:div w:id="210371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2624874-23" TargetMode="External"/><Relationship Id="rId13" Type="http://schemas.openxmlformats.org/officeDocument/2006/relationships/hyperlink" Target="https://zakon.rada.gov.ua/rada/show/v2624874-2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rada/show/v2624874-23" TargetMode="External"/><Relationship Id="rId12" Type="http://schemas.openxmlformats.org/officeDocument/2006/relationships/hyperlink" Target="https://zakon.rada.gov.ua/rada/show/v2624874-2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rada/show/v2624874-23" TargetMode="External"/><Relationship Id="rId1" Type="http://schemas.openxmlformats.org/officeDocument/2006/relationships/numbering" Target="numbering.xml"/><Relationship Id="rId6" Type="http://schemas.openxmlformats.org/officeDocument/2006/relationships/hyperlink" Target="https://zakon.rada.gov.ua/rada/show/v2624874-23" TargetMode="External"/><Relationship Id="rId11" Type="http://schemas.openxmlformats.org/officeDocument/2006/relationships/hyperlink" Target="https://zakon.rada.gov.ua/rada/show/v2624874-23" TargetMode="External"/><Relationship Id="rId5" Type="http://schemas.openxmlformats.org/officeDocument/2006/relationships/hyperlink" Target="https://zakon.rada.gov.ua/rada/show/v2624874-23" TargetMode="External"/><Relationship Id="rId15" Type="http://schemas.openxmlformats.org/officeDocument/2006/relationships/hyperlink" Target="https://zakon.rada.gov.ua/rada/show/v2624874-23" TargetMode="External"/><Relationship Id="rId10" Type="http://schemas.openxmlformats.org/officeDocument/2006/relationships/hyperlink" Target="https://zakon.rada.gov.ua/rada/show/v2624874-23" TargetMode="External"/><Relationship Id="rId4" Type="http://schemas.openxmlformats.org/officeDocument/2006/relationships/webSettings" Target="webSettings.xml"/><Relationship Id="rId9" Type="http://schemas.openxmlformats.org/officeDocument/2006/relationships/hyperlink" Target="https://zakon.rada.gov.ua/rada/show/v2624874-23" TargetMode="External"/><Relationship Id="rId14" Type="http://schemas.openxmlformats.org/officeDocument/2006/relationships/hyperlink" Target="https://zakon.rada.gov.ua/rada/show/v2624874-23"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2912</Words>
  <Characters>16602</Characters>
  <Application>Microsoft Office Word</Application>
  <DocSecurity>0</DocSecurity>
  <Lines>138</Lines>
  <Paragraphs>38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3</cp:revision>
  <cp:lastPrinted>2024-08-21T12:18:00Z</cp:lastPrinted>
  <dcterms:created xsi:type="dcterms:W3CDTF">2024-09-16T13:41:00Z</dcterms:created>
  <dcterms:modified xsi:type="dcterms:W3CDTF">2024-09-19T06:25:00Z</dcterms:modified>
</cp:coreProperties>
</file>