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13132" w14:textId="77777777" w:rsidR="00C97182" w:rsidRPr="009138A3" w:rsidRDefault="00C97182" w:rsidP="00C97182">
      <w:pPr>
        <w:pStyle w:val="a5"/>
        <w:tabs>
          <w:tab w:val="left" w:pos="9072"/>
        </w:tabs>
        <w:spacing w:before="0" w:beforeAutospacing="0" w:after="0" w:afterAutospacing="0"/>
        <w:ind w:left="5954"/>
        <w:rPr>
          <w:sz w:val="28"/>
          <w:szCs w:val="28"/>
        </w:rPr>
      </w:pPr>
      <w:r w:rsidRPr="009138A3">
        <w:rPr>
          <w:sz w:val="28"/>
          <w:szCs w:val="28"/>
        </w:rPr>
        <w:t>ЗАТВЕРДЖЕНО</w:t>
      </w:r>
      <w:r w:rsidRPr="009138A3">
        <w:rPr>
          <w:sz w:val="28"/>
          <w:szCs w:val="28"/>
        </w:rPr>
        <w:br/>
        <w:t>Постанова Національної комісії, що здійснює державне регулювання у сферах</w:t>
      </w:r>
      <w:r w:rsidRPr="009138A3">
        <w:rPr>
          <w:sz w:val="28"/>
          <w:szCs w:val="28"/>
          <w:lang w:val="ru-RU"/>
        </w:rPr>
        <w:t xml:space="preserve"> </w:t>
      </w:r>
      <w:r w:rsidRPr="009138A3">
        <w:rPr>
          <w:sz w:val="28"/>
          <w:szCs w:val="28"/>
        </w:rPr>
        <w:t>енергетики та комунальних</w:t>
      </w:r>
      <w:r w:rsidRPr="009138A3">
        <w:rPr>
          <w:sz w:val="28"/>
          <w:szCs w:val="28"/>
          <w:lang w:val="ru-RU"/>
        </w:rPr>
        <w:t xml:space="preserve"> </w:t>
      </w:r>
      <w:r w:rsidRPr="009138A3">
        <w:rPr>
          <w:sz w:val="28"/>
          <w:szCs w:val="28"/>
        </w:rPr>
        <w:t xml:space="preserve">послуг </w:t>
      </w:r>
    </w:p>
    <w:p w14:paraId="4A89338A" w14:textId="77777777" w:rsidR="00C97182" w:rsidRPr="009138A3" w:rsidRDefault="00C97182" w:rsidP="00C97182">
      <w:pPr>
        <w:pStyle w:val="a5"/>
        <w:tabs>
          <w:tab w:val="left" w:pos="9072"/>
        </w:tabs>
        <w:spacing w:before="0" w:beforeAutospacing="0" w:after="0" w:afterAutospacing="0"/>
        <w:ind w:left="5954"/>
        <w:rPr>
          <w:sz w:val="28"/>
          <w:szCs w:val="28"/>
        </w:rPr>
      </w:pPr>
      <w:r w:rsidRPr="000C5CED">
        <w:rPr>
          <w:sz w:val="28"/>
          <w:szCs w:val="28"/>
        </w:rPr>
        <w:t>29.03.2019 № 450</w:t>
      </w:r>
      <w:r w:rsidRPr="00C126D9">
        <w:rPr>
          <w:sz w:val="28"/>
          <w:szCs w:val="28"/>
        </w:rPr>
        <w:t xml:space="preserve"> </w:t>
      </w:r>
    </w:p>
    <w:p w14:paraId="0C8B1006" w14:textId="77777777" w:rsidR="00C97182" w:rsidRDefault="00C97182" w:rsidP="00C97182">
      <w:pPr>
        <w:pStyle w:val="a5"/>
        <w:spacing w:before="0" w:beforeAutospacing="0" w:after="0" w:afterAutospacing="0"/>
        <w:ind w:left="5954"/>
        <w:rPr>
          <w:b/>
          <w:szCs w:val="28"/>
        </w:rPr>
      </w:pPr>
      <w:r w:rsidRPr="009138A3">
        <w:rPr>
          <w:sz w:val="28"/>
          <w:szCs w:val="28"/>
        </w:rPr>
        <w:br w:type="textWrapping" w:clear="all"/>
      </w:r>
    </w:p>
    <w:p w14:paraId="4DF27651" w14:textId="77777777" w:rsidR="005C692E" w:rsidRDefault="005C692E" w:rsidP="00C97182">
      <w:pPr>
        <w:pStyle w:val="a5"/>
        <w:spacing w:before="0" w:beforeAutospacing="0" w:after="0" w:afterAutospacing="0"/>
        <w:ind w:left="5954"/>
        <w:rPr>
          <w:b/>
          <w:szCs w:val="28"/>
        </w:rPr>
      </w:pPr>
    </w:p>
    <w:p w14:paraId="69B1EDD8" w14:textId="77777777" w:rsidR="005C692E" w:rsidRPr="009138A3" w:rsidRDefault="005C692E" w:rsidP="00C97182">
      <w:pPr>
        <w:pStyle w:val="a5"/>
        <w:spacing w:before="0" w:beforeAutospacing="0" w:after="0" w:afterAutospacing="0"/>
        <w:ind w:left="5954"/>
        <w:rPr>
          <w:b/>
          <w:szCs w:val="28"/>
        </w:rPr>
      </w:pPr>
    </w:p>
    <w:p w14:paraId="69FE714D" w14:textId="77777777" w:rsidR="00C97182" w:rsidRPr="009138A3" w:rsidRDefault="00C97182" w:rsidP="00C97182">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ІНСТРУКЦІЯ</w:t>
      </w:r>
      <w:r>
        <w:rPr>
          <w:rFonts w:ascii="Times New Roman" w:hAnsi="Times New Roman" w:cs="Times New Roman"/>
          <w:b/>
          <w:sz w:val="28"/>
          <w:szCs w:val="28"/>
          <w:lang w:val="uk-UA"/>
        </w:rPr>
        <w:t xml:space="preserve"> </w:t>
      </w:r>
    </w:p>
    <w:p w14:paraId="614D7E26" w14:textId="77777777" w:rsidR="00C97182" w:rsidRPr="009138A3" w:rsidRDefault="00C97182" w:rsidP="00C97182">
      <w:pPr>
        <w:spacing w:after="0" w:line="276" w:lineRule="auto"/>
        <w:ind w:firstLine="567"/>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щодо заповнення форми звітності №</w:t>
      </w:r>
      <w:r>
        <w:rPr>
          <w:rFonts w:ascii="Times New Roman" w:hAnsi="Times New Roman" w:cs="Times New Roman"/>
          <w:b/>
          <w:sz w:val="28"/>
          <w:szCs w:val="28"/>
          <w:lang w:val="uk-UA"/>
        </w:rPr>
        <w:t xml:space="preserve"> </w:t>
      </w:r>
      <w:r w:rsidRPr="009138A3">
        <w:rPr>
          <w:rFonts w:ascii="Times New Roman" w:hAnsi="Times New Roman" w:cs="Times New Roman"/>
          <w:b/>
          <w:sz w:val="28"/>
          <w:szCs w:val="28"/>
          <w:lang w:val="uk-UA"/>
        </w:rPr>
        <w:t>4-НКРЕКП-моніторинг-</w:t>
      </w:r>
      <w:r w:rsidRPr="009138A3">
        <w:rPr>
          <w:lang w:val="uk-UA"/>
        </w:rPr>
        <w:t xml:space="preserve"> </w:t>
      </w:r>
      <w:r w:rsidRPr="009138A3">
        <w:rPr>
          <w:rFonts w:ascii="Times New Roman" w:hAnsi="Times New Roman" w:cs="Times New Roman"/>
          <w:b/>
          <w:sz w:val="28"/>
          <w:szCs w:val="28"/>
          <w:lang w:val="uk-UA"/>
        </w:rPr>
        <w:t>постачання (річна) «Звіт про договірні відносини»</w:t>
      </w:r>
    </w:p>
    <w:p w14:paraId="74ED5636" w14:textId="77777777" w:rsidR="00C97182" w:rsidRPr="009138A3" w:rsidRDefault="00C97182" w:rsidP="00C97182">
      <w:pPr>
        <w:spacing w:after="0" w:line="276" w:lineRule="auto"/>
        <w:ind w:firstLine="567"/>
        <w:jc w:val="center"/>
        <w:rPr>
          <w:rFonts w:ascii="Times New Roman" w:hAnsi="Times New Roman" w:cs="Times New Roman"/>
          <w:b/>
          <w:sz w:val="24"/>
          <w:szCs w:val="28"/>
          <w:lang w:val="uk-UA"/>
        </w:rPr>
      </w:pPr>
    </w:p>
    <w:p w14:paraId="501150B9" w14:textId="77777777" w:rsidR="00C97182" w:rsidRPr="009138A3" w:rsidRDefault="00C97182" w:rsidP="00C97182">
      <w:pPr>
        <w:pStyle w:val="a3"/>
        <w:numPr>
          <w:ilvl w:val="0"/>
          <w:numId w:val="6"/>
        </w:numPr>
        <w:spacing w:after="0" w:line="276" w:lineRule="auto"/>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Загальні положення</w:t>
      </w:r>
    </w:p>
    <w:p w14:paraId="4352B3D5" w14:textId="77777777" w:rsidR="00C97182" w:rsidRPr="009138A3" w:rsidRDefault="00C97182" w:rsidP="00C97182">
      <w:pPr>
        <w:pStyle w:val="a3"/>
        <w:spacing w:after="0" w:line="276" w:lineRule="auto"/>
        <w:ind w:left="1287"/>
        <w:jc w:val="center"/>
        <w:rPr>
          <w:rFonts w:ascii="Times New Roman" w:hAnsi="Times New Roman" w:cs="Times New Roman"/>
          <w:b/>
          <w:sz w:val="24"/>
          <w:szCs w:val="28"/>
          <w:lang w:val="uk-UA"/>
        </w:rPr>
      </w:pPr>
    </w:p>
    <w:p w14:paraId="56C9B810" w14:textId="79EEEE90" w:rsidR="00C97182" w:rsidRPr="009138A3" w:rsidRDefault="00C97182" w:rsidP="00C97182">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1.1. </w:t>
      </w:r>
      <w:r w:rsidR="001D2C7D" w:rsidRPr="0021773C">
        <w:rPr>
          <w:rFonts w:ascii="Times New Roman" w:hAnsi="Times New Roman" w:cs="Times New Roman"/>
          <w:sz w:val="28"/>
          <w:szCs w:val="28"/>
          <w:lang w:val="uk-UA"/>
        </w:rPr>
        <w:t>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та включені оператором системи передачі до реєстру учасників ринку відповідно до глави 1.3 розділу І Правил ринку, затверджених постановою НКРЕКП від 14 березня 2018 року № 307 (далі – електропостачальники, ліцензіати).</w:t>
      </w:r>
    </w:p>
    <w:p w14:paraId="13A714CF" w14:textId="77777777" w:rsidR="00C97182" w:rsidRPr="009138A3" w:rsidRDefault="00C97182" w:rsidP="00C97182">
      <w:pPr>
        <w:spacing w:after="0" w:line="276" w:lineRule="auto"/>
        <w:ind w:firstLine="567"/>
        <w:jc w:val="both"/>
        <w:rPr>
          <w:rFonts w:ascii="Times New Roman" w:hAnsi="Times New Roman" w:cs="Times New Roman"/>
          <w:sz w:val="24"/>
          <w:szCs w:val="28"/>
          <w:lang w:val="uk-UA"/>
        </w:rPr>
      </w:pPr>
    </w:p>
    <w:p w14:paraId="0BD5F842" w14:textId="77777777" w:rsidR="00C97182" w:rsidRPr="009138A3" w:rsidRDefault="00C97182" w:rsidP="00C97182">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1.2. Ця Інструкція визначає порядок заповнення форми звітності                       № 4-НКРЕКП-моніторинг-постачання (річна) «Звіт про договірні відносини» (далі – форма звітності № 4) та додатків до неї, а також термін її подання до НКРЕКП.</w:t>
      </w:r>
    </w:p>
    <w:p w14:paraId="2AA1B227" w14:textId="77777777" w:rsidR="00C97182" w:rsidRPr="009138A3" w:rsidRDefault="00C97182" w:rsidP="00C97182">
      <w:pPr>
        <w:spacing w:after="0" w:line="276" w:lineRule="auto"/>
        <w:ind w:firstLine="567"/>
        <w:jc w:val="both"/>
        <w:rPr>
          <w:rFonts w:ascii="Times New Roman" w:hAnsi="Times New Roman" w:cs="Times New Roman"/>
          <w:sz w:val="24"/>
          <w:szCs w:val="28"/>
          <w:lang w:val="uk-UA"/>
        </w:rPr>
      </w:pPr>
    </w:p>
    <w:p w14:paraId="183C4229" w14:textId="77777777" w:rsidR="00C97182" w:rsidRPr="009138A3" w:rsidRDefault="00C97182" w:rsidP="00C97182">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1.</w:t>
      </w:r>
      <w:r w:rsidRPr="009138A3">
        <w:rPr>
          <w:rFonts w:ascii="Times New Roman" w:hAnsi="Times New Roman" w:cs="Times New Roman"/>
          <w:sz w:val="28"/>
          <w:szCs w:val="28"/>
          <w:lang w:val="uk-UA"/>
        </w:rPr>
        <w:t>3. Цю Інструкцію розроблено відповідно до:</w:t>
      </w:r>
    </w:p>
    <w:p w14:paraId="5AC2D704" w14:textId="77777777" w:rsidR="00C97182" w:rsidRPr="009138A3" w:rsidRDefault="00C97182" w:rsidP="00C97182">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9138A3">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C126D9">
        <w:rPr>
          <w:rFonts w:ascii="Times New Roman" w:hAnsi="Times New Roman" w:cs="Times New Roman"/>
          <w:sz w:val="28"/>
          <w:szCs w:val="28"/>
          <w:lang w:val="uk-UA"/>
        </w:rPr>
        <w:t>, </w:t>
      </w:r>
      <w:hyperlink r:id="rId8" w:tgtFrame="_blank" w:history="1">
        <w:r w:rsidRPr="009138A3">
          <w:rPr>
            <w:rFonts w:ascii="Times New Roman" w:hAnsi="Times New Roman" w:cs="Times New Roman"/>
            <w:sz w:val="28"/>
            <w:szCs w:val="28"/>
            <w:lang w:val="uk-UA"/>
          </w:rPr>
          <w:t>«Про інформацію»</w:t>
        </w:r>
      </w:hyperlink>
      <w:r w:rsidRPr="00C126D9">
        <w:rPr>
          <w:rFonts w:ascii="Times New Roman" w:hAnsi="Times New Roman" w:cs="Times New Roman"/>
          <w:sz w:val="28"/>
          <w:szCs w:val="28"/>
          <w:lang w:val="uk-UA"/>
        </w:rPr>
        <w:t>, </w:t>
      </w:r>
      <w:hyperlink r:id="rId9" w:tgtFrame="_blank" w:history="1">
        <w:r w:rsidRPr="009138A3">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w:t>
      </w:r>
    </w:p>
    <w:p w14:paraId="7FBF9029" w14:textId="77777777" w:rsidR="00C97182" w:rsidRPr="009138A3" w:rsidRDefault="00C97182" w:rsidP="00C97182">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Кодексу систем розподілу, затвердженого постановою НКРЕКП від 14 березня 2018 року № 310, Кодексу комерційного обліку електричної енергії, затвердженого постановою НКРЕКП від 14 березня 2018 року № 311,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p>
    <w:p w14:paraId="730A81AF" w14:textId="77777777" w:rsidR="00C97182" w:rsidRPr="009138A3" w:rsidRDefault="00C97182" w:rsidP="00C97182">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751DFC19" w14:textId="77777777" w:rsidR="00C97182" w:rsidRPr="009138A3" w:rsidRDefault="00C97182" w:rsidP="00C97182">
      <w:pPr>
        <w:spacing w:after="0" w:line="276" w:lineRule="auto"/>
        <w:ind w:firstLine="567"/>
        <w:jc w:val="both"/>
        <w:rPr>
          <w:rFonts w:ascii="Times New Roman" w:hAnsi="Times New Roman" w:cs="Times New Roman"/>
          <w:sz w:val="24"/>
          <w:szCs w:val="28"/>
          <w:lang w:val="uk-UA"/>
        </w:rPr>
      </w:pPr>
    </w:p>
    <w:p w14:paraId="1A5D5015" w14:textId="77777777" w:rsidR="00C97182" w:rsidRPr="009138A3" w:rsidRDefault="00C97182" w:rsidP="00C97182">
      <w:pPr>
        <w:spacing w:after="0" w:line="276" w:lineRule="auto"/>
        <w:ind w:firstLine="567"/>
        <w:jc w:val="both"/>
        <w:rPr>
          <w:rFonts w:ascii="Times New Roman" w:hAnsi="Times New Roman" w:cs="Times New Roman"/>
          <w:sz w:val="24"/>
          <w:szCs w:val="28"/>
          <w:lang w:val="uk-UA"/>
        </w:rPr>
      </w:pPr>
    </w:p>
    <w:p w14:paraId="08D5F8FE" w14:textId="77777777" w:rsidR="00C97182" w:rsidRPr="009138A3" w:rsidRDefault="00C97182" w:rsidP="00C97182">
      <w:pPr>
        <w:pStyle w:val="a3"/>
        <w:numPr>
          <w:ilvl w:val="0"/>
          <w:numId w:val="6"/>
        </w:numPr>
        <w:spacing w:after="0" w:line="276" w:lineRule="auto"/>
        <w:jc w:val="center"/>
        <w:rPr>
          <w:rFonts w:ascii="Times New Roman" w:hAnsi="Times New Roman" w:cs="Times New Roman"/>
          <w:b/>
          <w:sz w:val="28"/>
          <w:szCs w:val="28"/>
          <w:lang w:val="uk-UA"/>
        </w:rPr>
      </w:pPr>
      <w:r w:rsidRPr="009138A3">
        <w:rPr>
          <w:rFonts w:ascii="Times New Roman" w:hAnsi="Times New Roman" w:cs="Times New Roman"/>
          <w:b/>
          <w:sz w:val="28"/>
          <w:szCs w:val="28"/>
          <w:lang w:val="uk-UA"/>
        </w:rPr>
        <w:t>Порядок та термін надання інформації</w:t>
      </w:r>
    </w:p>
    <w:p w14:paraId="13BDE711" w14:textId="77777777" w:rsidR="00C97182" w:rsidRPr="009138A3" w:rsidRDefault="00C97182" w:rsidP="00C97182">
      <w:pPr>
        <w:pStyle w:val="a3"/>
        <w:spacing w:after="0" w:line="276" w:lineRule="auto"/>
        <w:ind w:left="1287"/>
        <w:rPr>
          <w:rFonts w:ascii="Times New Roman" w:hAnsi="Times New Roman" w:cs="Times New Roman"/>
          <w:b/>
          <w:sz w:val="24"/>
          <w:szCs w:val="28"/>
          <w:lang w:val="uk-UA"/>
        </w:rPr>
      </w:pPr>
    </w:p>
    <w:p w14:paraId="775632E4" w14:textId="7F9033AA" w:rsidR="00C97182" w:rsidRPr="009138A3" w:rsidRDefault="00C97182" w:rsidP="00C97182">
      <w:pPr>
        <w:spacing w:after="0" w:line="276" w:lineRule="auto"/>
        <w:ind w:firstLine="567"/>
        <w:jc w:val="both"/>
        <w:rPr>
          <w:rFonts w:ascii="Times New Roman" w:hAnsi="Times New Roman" w:cs="Times New Roman"/>
          <w:sz w:val="28"/>
          <w:szCs w:val="28"/>
          <w:lang w:val="uk-UA"/>
        </w:rPr>
      </w:pPr>
      <w:bookmarkStart w:id="0" w:name="_Hlk62649640"/>
      <w:r w:rsidRPr="009138A3">
        <w:rPr>
          <w:rFonts w:ascii="Times New Roman" w:hAnsi="Times New Roman" w:cs="Times New Roman"/>
          <w:sz w:val="28"/>
          <w:szCs w:val="28"/>
        </w:rPr>
        <w:t>2.</w:t>
      </w:r>
      <w:r w:rsidRPr="009138A3">
        <w:rPr>
          <w:rFonts w:ascii="Times New Roman" w:hAnsi="Times New Roman" w:cs="Times New Roman"/>
          <w:sz w:val="28"/>
          <w:szCs w:val="28"/>
          <w:lang w:val="uk-UA"/>
        </w:rPr>
        <w:t>1. Форму звітності № 4 електропостачальники подають щороку до            25</w:t>
      </w:r>
      <w:r w:rsidR="007541AD">
        <w:rPr>
          <w:rFonts w:ascii="Times New Roman" w:hAnsi="Times New Roman" w:cs="Times New Roman"/>
          <w:sz w:val="28"/>
          <w:szCs w:val="28"/>
          <w:lang w:val="uk-UA"/>
        </w:rPr>
        <w:t> </w:t>
      </w:r>
      <w:r w:rsidRPr="009138A3">
        <w:rPr>
          <w:rFonts w:ascii="Times New Roman" w:hAnsi="Times New Roman" w:cs="Times New Roman"/>
          <w:sz w:val="28"/>
          <w:szCs w:val="28"/>
          <w:lang w:val="uk-UA"/>
        </w:rPr>
        <w:t>лютого</w:t>
      </w:r>
      <w:r>
        <w:rPr>
          <w:rFonts w:ascii="Times New Roman" w:hAnsi="Times New Roman" w:cs="Times New Roman"/>
          <w:sz w:val="28"/>
          <w:szCs w:val="28"/>
          <w:lang w:val="uk-UA"/>
        </w:rPr>
        <w:t xml:space="preserve"> року</w:t>
      </w:r>
      <w:r w:rsidRPr="009138A3">
        <w:rPr>
          <w:rFonts w:ascii="Times New Roman" w:hAnsi="Times New Roman" w:cs="Times New Roman"/>
          <w:sz w:val="28"/>
          <w:szCs w:val="28"/>
          <w:lang w:val="uk-UA"/>
        </w:rPr>
        <w:t>, наступного за звітним періодом.</w:t>
      </w:r>
      <w:r w:rsidR="007541AD">
        <w:rPr>
          <w:rFonts w:ascii="Times New Roman" w:hAnsi="Times New Roman" w:cs="Times New Roman"/>
          <w:sz w:val="28"/>
          <w:szCs w:val="28"/>
          <w:lang w:val="uk-UA"/>
        </w:rPr>
        <w:t xml:space="preserve"> </w:t>
      </w:r>
      <w:r w:rsidR="007541AD" w:rsidRPr="00404BF9">
        <w:rPr>
          <w:rFonts w:ascii="Times New Roman" w:hAnsi="Times New Roman" w:cs="Times New Roman"/>
          <w:sz w:val="28"/>
          <w:szCs w:val="28"/>
          <w:lang w:val="uk-UA"/>
        </w:rPr>
        <w:t xml:space="preserve">НКРЕКП протягом 10 робочих днів з дня надходження </w:t>
      </w:r>
      <w:r w:rsidR="008A40E4">
        <w:rPr>
          <w:rFonts w:ascii="Times New Roman" w:hAnsi="Times New Roman" w:cs="Times New Roman"/>
          <w:sz w:val="28"/>
          <w:szCs w:val="28"/>
          <w:lang w:val="uk-UA"/>
        </w:rPr>
        <w:t>до</w:t>
      </w:r>
      <w:r w:rsidR="007541AD" w:rsidRPr="00404BF9">
        <w:rPr>
          <w:rFonts w:ascii="Times New Roman" w:hAnsi="Times New Roman" w:cs="Times New Roman"/>
          <w:sz w:val="28"/>
          <w:szCs w:val="28"/>
          <w:lang w:val="uk-UA"/>
        </w:rPr>
        <w:t xml:space="preserve"> НКРЕКП форми звітності № </w:t>
      </w:r>
      <w:r w:rsidR="007541AD">
        <w:rPr>
          <w:rFonts w:ascii="Times New Roman" w:hAnsi="Times New Roman" w:cs="Times New Roman"/>
          <w:sz w:val="28"/>
          <w:szCs w:val="28"/>
          <w:lang w:val="uk-UA"/>
        </w:rPr>
        <w:t>4</w:t>
      </w:r>
      <w:r w:rsidR="007541AD" w:rsidRPr="00404BF9">
        <w:rPr>
          <w:rFonts w:ascii="Times New Roman" w:hAnsi="Times New Roman" w:cs="Times New Roman"/>
          <w:sz w:val="28"/>
          <w:szCs w:val="28"/>
          <w:lang w:val="uk-UA"/>
        </w:rPr>
        <w:t xml:space="preserve"> надсилає електропостачальнику повідомлення в електронній формі про одержання форми звітності № </w:t>
      </w:r>
      <w:r w:rsidR="007541AD">
        <w:rPr>
          <w:rFonts w:ascii="Times New Roman" w:hAnsi="Times New Roman" w:cs="Times New Roman"/>
          <w:sz w:val="28"/>
          <w:szCs w:val="28"/>
          <w:lang w:val="uk-UA"/>
        </w:rPr>
        <w:t>4</w:t>
      </w:r>
      <w:r w:rsidR="007541AD" w:rsidRPr="00404BF9">
        <w:rPr>
          <w:rFonts w:ascii="Times New Roman" w:hAnsi="Times New Roman" w:cs="Times New Roman"/>
          <w:sz w:val="28"/>
          <w:szCs w:val="28"/>
          <w:lang w:val="uk-UA"/>
        </w:rPr>
        <w:t xml:space="preserve"> (на електронну адресу</w:t>
      </w:r>
      <w:r w:rsidR="008A40E4">
        <w:rPr>
          <w:rFonts w:ascii="Times New Roman" w:hAnsi="Times New Roman" w:cs="Times New Roman"/>
          <w:sz w:val="28"/>
          <w:szCs w:val="28"/>
          <w:lang w:val="uk-UA"/>
        </w:rPr>
        <w:t>,</w:t>
      </w:r>
      <w:r w:rsidR="007541AD" w:rsidRPr="00404BF9">
        <w:rPr>
          <w:rFonts w:ascii="Times New Roman" w:hAnsi="Times New Roman" w:cs="Times New Roman"/>
          <w:sz w:val="28"/>
          <w:szCs w:val="28"/>
          <w:lang w:val="uk-UA"/>
        </w:rPr>
        <w:t xml:space="preserve"> з якої було надіслано зазначену форму звітності).</w:t>
      </w:r>
      <w:r w:rsidR="007541AD" w:rsidRPr="00404BF9">
        <w:rPr>
          <w:lang w:val="uk-UA"/>
        </w:rPr>
        <w:t xml:space="preserve"> </w:t>
      </w:r>
      <w:r w:rsidRPr="009138A3">
        <w:rPr>
          <w:rFonts w:ascii="Times New Roman" w:hAnsi="Times New Roman" w:cs="Times New Roman"/>
          <w:sz w:val="28"/>
          <w:szCs w:val="28"/>
          <w:lang w:val="uk-UA"/>
        </w:rPr>
        <w:t xml:space="preserve"> Датою подання форми звітності № 4 вважається дата її </w:t>
      </w:r>
      <w:r w:rsidR="004E6285">
        <w:rPr>
          <w:rFonts w:ascii="Times New Roman" w:hAnsi="Times New Roman" w:cs="Times New Roman"/>
          <w:sz w:val="28"/>
          <w:szCs w:val="28"/>
          <w:lang w:val="uk-UA"/>
        </w:rPr>
        <w:t>надходження</w:t>
      </w:r>
      <w:r w:rsidR="004E6285" w:rsidRPr="009138A3">
        <w:rPr>
          <w:rFonts w:ascii="Times New Roman" w:hAnsi="Times New Roman" w:cs="Times New Roman"/>
          <w:sz w:val="28"/>
          <w:szCs w:val="28"/>
          <w:lang w:val="uk-UA"/>
        </w:rPr>
        <w:t xml:space="preserve"> </w:t>
      </w:r>
      <w:r w:rsidR="008A40E4">
        <w:rPr>
          <w:rFonts w:ascii="Times New Roman" w:hAnsi="Times New Roman" w:cs="Times New Roman"/>
          <w:sz w:val="28"/>
          <w:szCs w:val="28"/>
          <w:lang w:val="uk-UA"/>
        </w:rPr>
        <w:t>до</w:t>
      </w:r>
      <w:r w:rsidR="008A40E4"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НКРЕКП.</w:t>
      </w:r>
    </w:p>
    <w:bookmarkEnd w:id="0"/>
    <w:p w14:paraId="40EB4C1D" w14:textId="77777777" w:rsidR="00C97182" w:rsidRPr="009138A3" w:rsidRDefault="00C97182" w:rsidP="00C97182">
      <w:pPr>
        <w:spacing w:after="0" w:line="276" w:lineRule="auto"/>
        <w:ind w:firstLine="567"/>
        <w:jc w:val="both"/>
        <w:rPr>
          <w:rFonts w:ascii="Times New Roman" w:hAnsi="Times New Roman" w:cs="Times New Roman"/>
          <w:sz w:val="24"/>
          <w:szCs w:val="28"/>
          <w:lang w:val="uk-UA"/>
        </w:rPr>
      </w:pPr>
    </w:p>
    <w:p w14:paraId="1DD3D4F8" w14:textId="77777777" w:rsidR="00C97182" w:rsidRPr="009138A3" w:rsidRDefault="00C97182" w:rsidP="00C97182">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2.</w:t>
      </w:r>
      <w:r w:rsidRPr="009138A3">
        <w:rPr>
          <w:rFonts w:ascii="Times New Roman" w:hAnsi="Times New Roman" w:cs="Times New Roman"/>
          <w:sz w:val="28"/>
          <w:szCs w:val="28"/>
          <w:lang w:val="uk-UA"/>
        </w:rPr>
        <w:t>2. Звітним періодом є календарний рік.</w:t>
      </w:r>
    </w:p>
    <w:p w14:paraId="629DFF2A" w14:textId="77777777" w:rsidR="00C97182" w:rsidRPr="009138A3" w:rsidRDefault="00C97182" w:rsidP="00C97182">
      <w:pPr>
        <w:spacing w:after="0" w:line="276" w:lineRule="auto"/>
        <w:ind w:firstLine="567"/>
        <w:jc w:val="both"/>
        <w:rPr>
          <w:rFonts w:ascii="Times New Roman" w:hAnsi="Times New Roman" w:cs="Times New Roman"/>
          <w:sz w:val="24"/>
          <w:szCs w:val="28"/>
          <w:lang w:val="uk-UA"/>
        </w:rPr>
      </w:pPr>
    </w:p>
    <w:p w14:paraId="495282D6" w14:textId="77777777" w:rsidR="004E6285" w:rsidRPr="009138A3" w:rsidRDefault="00C97182" w:rsidP="004E6285">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2.</w:t>
      </w:r>
      <w:r w:rsidRPr="009138A3">
        <w:rPr>
          <w:rFonts w:ascii="Times New Roman" w:hAnsi="Times New Roman" w:cs="Times New Roman"/>
          <w:sz w:val="28"/>
          <w:szCs w:val="28"/>
          <w:lang w:val="uk-UA"/>
        </w:rPr>
        <w:t>3.</w:t>
      </w:r>
      <w:r w:rsidRPr="009138A3">
        <w:rPr>
          <w:rFonts w:ascii="Times New Roman" w:hAnsi="Times New Roman" w:cs="Times New Roman"/>
          <w:sz w:val="28"/>
          <w:szCs w:val="28"/>
        </w:rPr>
        <w:t xml:space="preserve"> </w:t>
      </w:r>
      <w:r w:rsidRPr="009138A3">
        <w:rPr>
          <w:rFonts w:ascii="Times New Roman" w:hAnsi="Times New Roman" w:cs="Times New Roman"/>
          <w:sz w:val="28"/>
          <w:szCs w:val="28"/>
          <w:lang w:val="uk-UA"/>
        </w:rPr>
        <w:t xml:space="preserve">Форма звітності № 4 надсилається електропостачальником до НКРЕКП </w:t>
      </w:r>
      <w:bookmarkStart w:id="1" w:name="_Hlk59007360"/>
    </w:p>
    <w:p w14:paraId="124845CE" w14:textId="77777777" w:rsidR="004E6285" w:rsidRDefault="004E6285" w:rsidP="00BB0BB5">
      <w:pPr>
        <w:spacing w:after="0" w:line="276" w:lineRule="auto"/>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в електронному вигляді у форматі </w:t>
      </w:r>
      <w:r w:rsidRPr="009138A3">
        <w:rPr>
          <w:rFonts w:ascii="Times New Roman" w:hAnsi="Times New Roman" w:cs="Times New Roman"/>
          <w:sz w:val="28"/>
          <w:szCs w:val="28"/>
        </w:rPr>
        <w:t>«xls» або «xlsx»</w:t>
      </w:r>
      <w:r w:rsidRPr="009138A3">
        <w:rPr>
          <w:rFonts w:ascii="Times New Roman" w:hAnsi="Times New Roman" w:cs="Times New Roman"/>
          <w:sz w:val="28"/>
          <w:szCs w:val="28"/>
          <w:lang w:val="uk-UA"/>
        </w:rPr>
        <w:t xml:space="preserve"> на</w:t>
      </w:r>
      <w:r>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адресу:</w:t>
      </w:r>
      <w:r w:rsidRPr="009138A3">
        <w:rPr>
          <w:rFonts w:ascii="Times New Roman" w:hAnsi="Times New Roman" w:cs="Times New Roman"/>
          <w:sz w:val="28"/>
          <w:szCs w:val="28"/>
        </w:rPr>
        <w:t xml:space="preserve"> </w:t>
      </w:r>
      <w:hyperlink r:id="rId10" w:history="1">
        <w:r w:rsidRPr="00BB0BB5">
          <w:rPr>
            <w:rStyle w:val="a4"/>
            <w:rFonts w:ascii="Times New Roman" w:hAnsi="Times New Roman" w:cs="Times New Roman"/>
            <w:color w:val="auto"/>
            <w:sz w:val="28"/>
            <w:szCs w:val="28"/>
            <w:lang w:val="en-US"/>
          </w:rPr>
          <w:t>monitoring</w:t>
        </w:r>
        <w:r w:rsidRPr="00BB0BB5">
          <w:rPr>
            <w:rStyle w:val="a4"/>
            <w:rFonts w:ascii="Times New Roman" w:hAnsi="Times New Roman" w:cs="Times New Roman"/>
            <w:color w:val="auto"/>
            <w:sz w:val="28"/>
            <w:szCs w:val="28"/>
          </w:rPr>
          <w:t>_</w:t>
        </w:r>
        <w:r w:rsidRPr="00BB0BB5">
          <w:rPr>
            <w:rStyle w:val="a4"/>
            <w:rFonts w:ascii="Times New Roman" w:hAnsi="Times New Roman" w:cs="Times New Roman"/>
            <w:color w:val="auto"/>
            <w:sz w:val="28"/>
            <w:szCs w:val="28"/>
            <w:lang w:val="en-US"/>
          </w:rPr>
          <w:t>E</w:t>
        </w:r>
        <w:r w:rsidRPr="00BB0BB5">
          <w:rPr>
            <w:rStyle w:val="a4"/>
            <w:rFonts w:ascii="Times New Roman" w:hAnsi="Times New Roman" w:cs="Times New Roman"/>
            <w:color w:val="auto"/>
            <w:sz w:val="28"/>
            <w:szCs w:val="28"/>
          </w:rPr>
          <w:t>@</w:t>
        </w:r>
        <w:r w:rsidRPr="00BB0BB5">
          <w:rPr>
            <w:rStyle w:val="a4"/>
            <w:rFonts w:ascii="Times New Roman" w:hAnsi="Times New Roman" w:cs="Times New Roman"/>
            <w:color w:val="auto"/>
            <w:sz w:val="28"/>
            <w:szCs w:val="28"/>
            <w:lang w:val="en-US"/>
          </w:rPr>
          <w:t>nerc</w:t>
        </w:r>
        <w:r w:rsidRPr="00BB0BB5">
          <w:rPr>
            <w:rStyle w:val="a4"/>
            <w:rFonts w:ascii="Times New Roman" w:hAnsi="Times New Roman" w:cs="Times New Roman"/>
            <w:color w:val="auto"/>
            <w:sz w:val="28"/>
            <w:szCs w:val="28"/>
          </w:rPr>
          <w:t>.</w:t>
        </w:r>
        <w:r w:rsidRPr="00BB0BB5">
          <w:rPr>
            <w:rStyle w:val="a4"/>
            <w:rFonts w:ascii="Times New Roman" w:hAnsi="Times New Roman" w:cs="Times New Roman"/>
            <w:color w:val="auto"/>
            <w:sz w:val="28"/>
            <w:szCs w:val="28"/>
            <w:lang w:val="en-US"/>
          </w:rPr>
          <w:t>gov</w:t>
        </w:r>
        <w:r w:rsidRPr="00BB0BB5">
          <w:rPr>
            <w:rStyle w:val="a4"/>
            <w:rFonts w:ascii="Times New Roman" w:hAnsi="Times New Roman" w:cs="Times New Roman"/>
            <w:color w:val="auto"/>
            <w:sz w:val="28"/>
            <w:szCs w:val="28"/>
          </w:rPr>
          <w:t>.</w:t>
        </w:r>
        <w:r w:rsidRPr="00BB0BB5">
          <w:rPr>
            <w:rStyle w:val="a4"/>
            <w:rFonts w:ascii="Times New Roman" w:hAnsi="Times New Roman" w:cs="Times New Roman"/>
            <w:color w:val="auto"/>
            <w:sz w:val="28"/>
            <w:szCs w:val="28"/>
            <w:lang w:val="en-US"/>
          </w:rPr>
          <w:t>ua</w:t>
        </w:r>
      </w:hyperlink>
      <w:r w:rsidRPr="00BB0BB5">
        <w:rPr>
          <w:rFonts w:ascii="Times New Roman" w:hAnsi="Times New Roman" w:cs="Times New Roman"/>
          <w:sz w:val="28"/>
          <w:szCs w:val="28"/>
          <w:u w:val="single"/>
        </w:rPr>
        <w:t xml:space="preserve"> </w:t>
      </w:r>
      <w:bookmarkStart w:id="2" w:name="_Hlk58937441"/>
      <w:r>
        <w:rPr>
          <w:rFonts w:ascii="Times New Roman" w:hAnsi="Times New Roman" w:cs="Times New Roman"/>
          <w:sz w:val="28"/>
          <w:szCs w:val="28"/>
          <w:lang w:val="uk-UA"/>
        </w:rPr>
        <w:t>у двох примірниках:</w:t>
      </w:r>
    </w:p>
    <w:p w14:paraId="79AA9FDD" w14:textId="77777777" w:rsidR="004E6285" w:rsidRPr="0063421D" w:rsidRDefault="004E6285" w:rsidP="004E6285">
      <w:pPr>
        <w:tabs>
          <w:tab w:val="left" w:pos="993"/>
        </w:tabs>
        <w:spacing w:line="276" w:lineRule="auto"/>
        <w:ind w:firstLine="567"/>
        <w:jc w:val="both"/>
        <w:rPr>
          <w:rFonts w:ascii="Times New Roman" w:hAnsi="Times New Roman" w:cs="Times New Roman"/>
          <w:sz w:val="28"/>
          <w:szCs w:val="28"/>
          <w:lang w:val="uk-UA"/>
        </w:rPr>
      </w:pPr>
      <w:r w:rsidRPr="0063421D">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r>
        <w:rPr>
          <w:rFonts w:ascii="Times New Roman" w:hAnsi="Times New Roman" w:cs="Times New Roman"/>
          <w:sz w:val="28"/>
          <w:szCs w:val="28"/>
          <w:lang w:val="uk-UA"/>
        </w:rPr>
        <w:t>;</w:t>
      </w:r>
    </w:p>
    <w:p w14:paraId="21C3CBAF" w14:textId="011BA297" w:rsidR="004E6285" w:rsidRPr="009138A3" w:rsidRDefault="004E6285" w:rsidP="004E6285">
      <w:pPr>
        <w:spacing w:after="0" w:line="276" w:lineRule="auto"/>
        <w:ind w:firstLine="567"/>
        <w:jc w:val="both"/>
        <w:rPr>
          <w:rFonts w:ascii="Times New Roman" w:hAnsi="Times New Roman" w:cs="Times New Roman"/>
          <w:sz w:val="28"/>
          <w:szCs w:val="28"/>
          <w:lang w:val="uk-UA"/>
        </w:rPr>
      </w:pPr>
      <w:r w:rsidRPr="0063421D">
        <w:rPr>
          <w:rFonts w:ascii="Times New Roman" w:hAnsi="Times New Roman" w:cs="Times New Roman"/>
          <w:sz w:val="28"/>
          <w:szCs w:val="28"/>
          <w:lang w:val="uk-UA"/>
        </w:rPr>
        <w:t>без накладення кваліфікованого електронного підпису та/або кваліфікованої електронної печатки ліцензіата</w:t>
      </w:r>
      <w:bookmarkEnd w:id="2"/>
      <w:r w:rsidRPr="0063421D">
        <w:rPr>
          <w:rFonts w:ascii="Times New Roman" w:hAnsi="Times New Roman" w:cs="Times New Roman"/>
          <w:sz w:val="28"/>
          <w:szCs w:val="28"/>
          <w:lang w:val="uk-UA"/>
        </w:rPr>
        <w:t>.</w:t>
      </w:r>
    </w:p>
    <w:bookmarkEnd w:id="1"/>
    <w:p w14:paraId="6252DCA0" w14:textId="7F0483EF" w:rsidR="00C97182" w:rsidRPr="009138A3" w:rsidRDefault="00C97182" w:rsidP="00C97182">
      <w:pPr>
        <w:spacing w:after="0" w:line="276" w:lineRule="auto"/>
        <w:ind w:firstLine="567"/>
        <w:jc w:val="both"/>
        <w:rPr>
          <w:rFonts w:ascii="Times New Roman" w:hAnsi="Times New Roman" w:cs="Times New Roman"/>
          <w:sz w:val="28"/>
          <w:szCs w:val="28"/>
          <w:lang w:val="uk-UA"/>
        </w:rPr>
      </w:pPr>
    </w:p>
    <w:p w14:paraId="1FE6D552" w14:textId="0ACB1F85" w:rsidR="00C97182" w:rsidRPr="009138A3" w:rsidRDefault="00C97182" w:rsidP="00C97182">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випадку якщо форма звітності № 4 містить інформацію та/або дані конфіденційного характеру, які становлять комерційну таємницю, з метою забезпечення НКРЕКП захисту конфіденційної інформації електропостачальник визначає перелік такої інформації, умови та порядок її поширення НКРЕКП та подає його разом із формою звітності № 4 </w:t>
      </w:r>
      <w:bookmarkStart w:id="3" w:name="_Hlk86242516"/>
      <w:bookmarkStart w:id="4" w:name="_Hlk86746769"/>
      <w:r w:rsidR="003D32C9" w:rsidRPr="00D84ACB">
        <w:rPr>
          <w:rFonts w:ascii="Times New Roman" w:hAnsi="Times New Roman" w:cs="Times New Roman"/>
          <w:sz w:val="28"/>
          <w:szCs w:val="28"/>
          <w:lang w:val="uk-UA"/>
        </w:rPr>
        <w:t>в електронному вигляді (супровідним листом з накладенням кваліфікованого електронного підпису уповноваженої особи ліцензіата та/або кваліфікованої електронної печатки ліцензіата)</w:t>
      </w:r>
      <w:bookmarkEnd w:id="3"/>
      <w:r w:rsidR="003D32C9">
        <w:rPr>
          <w:rFonts w:ascii="Times New Roman" w:hAnsi="Times New Roman" w:cs="Times New Roman"/>
          <w:sz w:val="28"/>
          <w:szCs w:val="28"/>
          <w:lang w:val="uk-UA"/>
        </w:rPr>
        <w:t xml:space="preserve"> </w:t>
      </w:r>
      <w:bookmarkEnd w:id="4"/>
      <w:r w:rsidRPr="009138A3">
        <w:rPr>
          <w:rFonts w:ascii="Times New Roman" w:hAnsi="Times New Roman" w:cs="Times New Roman"/>
          <w:sz w:val="28"/>
          <w:szCs w:val="28"/>
          <w:lang w:val="uk-UA"/>
        </w:rPr>
        <w:t>з урахуванням положень законів України </w:t>
      </w:r>
      <w:hyperlink r:id="rId11" w:tgtFrame="_blank" w:history="1">
        <w:r w:rsidRPr="009138A3">
          <w:rPr>
            <w:rFonts w:ascii="Times New Roman" w:hAnsi="Times New Roman" w:cs="Times New Roman"/>
            <w:sz w:val="28"/>
            <w:szCs w:val="28"/>
            <w:lang w:val="uk-UA"/>
          </w:rPr>
          <w:t>«Про інформацію»</w:t>
        </w:r>
      </w:hyperlink>
      <w:r w:rsidRPr="00C126D9">
        <w:rPr>
          <w:rFonts w:ascii="Times New Roman" w:hAnsi="Times New Roman" w:cs="Times New Roman"/>
          <w:sz w:val="28"/>
          <w:szCs w:val="28"/>
          <w:lang w:val="uk-UA"/>
        </w:rPr>
        <w:t>, </w:t>
      </w:r>
      <w:hyperlink r:id="rId12" w:tgtFrame="_blank" w:history="1">
        <w:r w:rsidRPr="009138A3">
          <w:rPr>
            <w:rFonts w:ascii="Times New Roman" w:hAnsi="Times New Roman" w:cs="Times New Roman"/>
            <w:sz w:val="28"/>
            <w:szCs w:val="28"/>
            <w:lang w:val="uk-UA"/>
          </w:rPr>
          <w:t>«Про доступ до публічної інформації»</w:t>
        </w:r>
      </w:hyperlink>
      <w:r w:rsidRPr="00C126D9">
        <w:rPr>
          <w:rFonts w:ascii="Times New Roman" w:hAnsi="Times New Roman" w:cs="Times New Roman"/>
          <w:sz w:val="28"/>
          <w:szCs w:val="28"/>
          <w:lang w:val="uk-UA"/>
        </w:rPr>
        <w:t> та інших актів законода</w:t>
      </w:r>
      <w:r w:rsidRPr="009138A3">
        <w:rPr>
          <w:rFonts w:ascii="Times New Roman" w:hAnsi="Times New Roman" w:cs="Times New Roman"/>
          <w:sz w:val="28"/>
          <w:szCs w:val="28"/>
          <w:lang w:val="uk-UA"/>
        </w:rPr>
        <w:t>вства.</w:t>
      </w:r>
    </w:p>
    <w:p w14:paraId="7592738B" w14:textId="77777777" w:rsidR="00C97182" w:rsidRPr="009138A3" w:rsidRDefault="00C97182" w:rsidP="00C97182">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Обмеженню доступу підлягає інформація, визначена як конфіденційна, а не форма звітності № 4 у цілому.</w:t>
      </w:r>
    </w:p>
    <w:p w14:paraId="0E6783A6" w14:textId="6B466268" w:rsidR="00C97182" w:rsidRPr="009138A3" w:rsidRDefault="00C97182" w:rsidP="00C97182">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НКРЕКП не зобов’язана вважати інформацію та/або дані, надані електропостачальником, такими, що мають конфіденційний характер та/або </w:t>
      </w:r>
      <w:r w:rsidRPr="009138A3">
        <w:rPr>
          <w:rFonts w:ascii="Times New Roman" w:hAnsi="Times New Roman" w:cs="Times New Roman"/>
          <w:sz w:val="28"/>
          <w:szCs w:val="28"/>
          <w:lang w:val="uk-UA"/>
        </w:rPr>
        <w:lastRenderedPageBreak/>
        <w:t>становлять комерційну таємницю, якщо постачальник не зазначив цього при поданні форми звітності № 4 до НКРЕКП.</w:t>
      </w:r>
    </w:p>
    <w:p w14:paraId="023C60CB" w14:textId="77777777" w:rsidR="00C97182" w:rsidRPr="009138A3" w:rsidRDefault="00C97182" w:rsidP="00C97182">
      <w:pPr>
        <w:spacing w:after="0" w:line="276" w:lineRule="auto"/>
        <w:ind w:firstLine="567"/>
        <w:jc w:val="both"/>
        <w:rPr>
          <w:rFonts w:ascii="Times New Roman" w:hAnsi="Times New Roman" w:cs="Times New Roman"/>
          <w:sz w:val="28"/>
          <w:szCs w:val="28"/>
          <w:lang w:val="uk-UA"/>
        </w:rPr>
      </w:pPr>
    </w:p>
    <w:p w14:paraId="615A03CA" w14:textId="0A3F1C67" w:rsidR="00C97182" w:rsidRPr="009138A3" w:rsidRDefault="00C97182" w:rsidP="00C97182">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2.</w:t>
      </w:r>
      <w:r w:rsidR="00FD5CBA">
        <w:rPr>
          <w:rFonts w:ascii="Times New Roman" w:hAnsi="Times New Roman" w:cs="Times New Roman"/>
          <w:sz w:val="28"/>
          <w:szCs w:val="28"/>
          <w:lang w:val="uk-UA"/>
        </w:rPr>
        <w:t>4</w:t>
      </w:r>
      <w:r w:rsidRPr="009138A3">
        <w:rPr>
          <w:rFonts w:ascii="Times New Roman" w:hAnsi="Times New Roman" w:cs="Times New Roman"/>
          <w:sz w:val="28"/>
          <w:szCs w:val="28"/>
          <w:lang w:val="uk-UA"/>
        </w:rPr>
        <w:t>. Усі дані форми звітності № 4 мають бути наведені в тих одиницях виміру, які вказані в затвердженій формі звітності.</w:t>
      </w:r>
    </w:p>
    <w:p w14:paraId="5550577E" w14:textId="77777777" w:rsidR="00C97182" w:rsidRPr="009138A3" w:rsidRDefault="00C97182" w:rsidP="00C97182">
      <w:pPr>
        <w:spacing w:after="0" w:line="276" w:lineRule="auto"/>
        <w:ind w:firstLine="567"/>
        <w:jc w:val="both"/>
        <w:rPr>
          <w:rFonts w:ascii="Times New Roman" w:hAnsi="Times New Roman" w:cs="Times New Roman"/>
          <w:sz w:val="24"/>
          <w:szCs w:val="28"/>
          <w:lang w:val="uk-UA"/>
        </w:rPr>
      </w:pPr>
    </w:p>
    <w:p w14:paraId="063957F7" w14:textId="32315EC8" w:rsidR="00C97182" w:rsidRPr="009138A3" w:rsidRDefault="00C97182" w:rsidP="00C97182">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2.</w:t>
      </w:r>
      <w:r w:rsidR="00FD5CBA">
        <w:rPr>
          <w:rFonts w:ascii="Times New Roman" w:hAnsi="Times New Roman" w:cs="Times New Roman"/>
          <w:sz w:val="28"/>
          <w:szCs w:val="28"/>
          <w:lang w:val="uk-UA"/>
        </w:rPr>
        <w:t>5</w:t>
      </w:r>
      <w:r w:rsidRPr="009138A3">
        <w:rPr>
          <w:rFonts w:ascii="Times New Roman" w:hAnsi="Times New Roman" w:cs="Times New Roman"/>
          <w:sz w:val="28"/>
          <w:szCs w:val="28"/>
          <w:lang w:val="uk-UA"/>
        </w:rPr>
        <w:t>. Електропостачальник не має права вносити зміни до затвердженого бланка форми звітності.</w:t>
      </w:r>
    </w:p>
    <w:p w14:paraId="60F05461" w14:textId="77777777" w:rsidR="00C97182" w:rsidRPr="009138A3" w:rsidRDefault="00C97182" w:rsidP="00C97182">
      <w:pPr>
        <w:spacing w:after="0" w:line="276" w:lineRule="auto"/>
        <w:ind w:firstLine="567"/>
        <w:jc w:val="both"/>
        <w:rPr>
          <w:rFonts w:ascii="Times New Roman" w:hAnsi="Times New Roman" w:cs="Times New Roman"/>
          <w:sz w:val="28"/>
          <w:szCs w:val="28"/>
          <w:lang w:val="uk-UA"/>
        </w:rPr>
      </w:pPr>
    </w:p>
    <w:p w14:paraId="7EE1E92C" w14:textId="251D0B1D" w:rsidR="00C97182" w:rsidRDefault="00C97182" w:rsidP="00C97182">
      <w:pPr>
        <w:tabs>
          <w:tab w:val="left" w:pos="993"/>
        </w:tabs>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2.</w:t>
      </w:r>
      <w:r w:rsidR="00FD5CBA">
        <w:rPr>
          <w:rFonts w:ascii="Times New Roman" w:hAnsi="Times New Roman" w:cs="Times New Roman"/>
          <w:sz w:val="28"/>
          <w:szCs w:val="28"/>
          <w:lang w:val="uk-UA"/>
        </w:rPr>
        <w:t>6</w:t>
      </w:r>
      <w:r w:rsidRPr="009138A3">
        <w:rPr>
          <w:rFonts w:ascii="Times New Roman" w:hAnsi="Times New Roman" w:cs="Times New Roman"/>
          <w:sz w:val="28"/>
          <w:szCs w:val="28"/>
          <w:lang w:val="uk-UA"/>
        </w:rPr>
        <w:t>. У разі відсутності ліцензованої діяльності у звітному періоді ліцензіат надає форму звітності № 4 за встановленою формою, при цьому проставляє значення «0» у відповідних графах.</w:t>
      </w:r>
    </w:p>
    <w:p w14:paraId="43187692" w14:textId="77777777" w:rsidR="003D32C9" w:rsidRPr="00E860D0" w:rsidRDefault="003D32C9" w:rsidP="003D32C9">
      <w:pPr>
        <w:tabs>
          <w:tab w:val="left" w:pos="993"/>
        </w:tabs>
        <w:spacing w:after="0" w:line="276" w:lineRule="auto"/>
        <w:ind w:firstLine="567"/>
        <w:jc w:val="both"/>
        <w:rPr>
          <w:rFonts w:ascii="Times New Roman" w:hAnsi="Times New Roman" w:cs="Times New Roman"/>
          <w:sz w:val="28"/>
          <w:szCs w:val="28"/>
          <w:lang w:val="uk-UA"/>
        </w:rPr>
      </w:pPr>
      <w:r w:rsidRPr="00BB2B5B">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3BBB3851" w14:textId="77777777" w:rsidR="00C97182" w:rsidRPr="009138A3" w:rsidRDefault="00C97182" w:rsidP="00C97182">
      <w:pPr>
        <w:spacing w:after="0" w:line="276" w:lineRule="auto"/>
        <w:ind w:firstLine="567"/>
        <w:jc w:val="both"/>
        <w:rPr>
          <w:rFonts w:ascii="Times New Roman" w:hAnsi="Times New Roman" w:cs="Times New Roman"/>
          <w:sz w:val="24"/>
          <w:szCs w:val="28"/>
          <w:lang w:val="uk-UA"/>
        </w:rPr>
      </w:pPr>
    </w:p>
    <w:p w14:paraId="186C54AB" w14:textId="12272E32" w:rsidR="00C97182" w:rsidRPr="009138A3" w:rsidRDefault="00C97182" w:rsidP="00C97182">
      <w:pPr>
        <w:spacing w:after="0" w:line="276" w:lineRule="auto"/>
        <w:ind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2.</w:t>
      </w:r>
      <w:r w:rsidR="00FD5CBA">
        <w:rPr>
          <w:rFonts w:ascii="Times New Roman" w:hAnsi="Times New Roman" w:cs="Times New Roman"/>
          <w:sz w:val="28"/>
          <w:szCs w:val="28"/>
          <w:lang w:val="uk-UA"/>
        </w:rPr>
        <w:t>7</w:t>
      </w:r>
      <w:r w:rsidRPr="009138A3">
        <w:rPr>
          <w:rFonts w:ascii="Times New Roman" w:hAnsi="Times New Roman" w:cs="Times New Roman"/>
          <w:sz w:val="28"/>
          <w:szCs w:val="28"/>
          <w:lang w:val="uk-UA"/>
        </w:rPr>
        <w:t xml:space="preserve">. У разі внесення змін до звіту після відправлення електропостачальник зобов'язаний терміново надіслати до НКРЕКП виправлений звіт, а також супровідний лист </w:t>
      </w:r>
      <w:bookmarkStart w:id="5" w:name="_Hlk86746637"/>
      <w:r w:rsidR="003D32C9">
        <w:rPr>
          <w:rFonts w:ascii="Times New Roman" w:hAnsi="Times New Roman" w:cs="Times New Roman"/>
          <w:sz w:val="28"/>
          <w:szCs w:val="28"/>
          <w:lang w:val="uk-UA"/>
        </w:rPr>
        <w:t xml:space="preserve">в електронному вигляді </w:t>
      </w:r>
      <w:bookmarkStart w:id="6" w:name="_Hlk86242544"/>
      <w:r w:rsidR="003D32C9" w:rsidRPr="00D84ACB">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w:t>
      </w:r>
      <w:bookmarkEnd w:id="6"/>
      <w:r w:rsidR="003D32C9">
        <w:rPr>
          <w:rFonts w:ascii="Times New Roman" w:hAnsi="Times New Roman" w:cs="Times New Roman"/>
          <w:sz w:val="28"/>
          <w:szCs w:val="28"/>
          <w:lang w:val="uk-UA"/>
        </w:rPr>
        <w:t xml:space="preserve"> </w:t>
      </w:r>
      <w:bookmarkEnd w:id="5"/>
      <w:r w:rsidRPr="009138A3">
        <w:rPr>
          <w:rFonts w:ascii="Times New Roman" w:hAnsi="Times New Roman" w:cs="Times New Roman"/>
          <w:sz w:val="28"/>
          <w:szCs w:val="28"/>
          <w:lang w:val="uk-UA"/>
        </w:rPr>
        <w:t>із зазначенням причини внесення змін.</w:t>
      </w:r>
    </w:p>
    <w:p w14:paraId="0EF8E46A" w14:textId="77777777" w:rsidR="00C97182" w:rsidRPr="009138A3" w:rsidRDefault="00C97182" w:rsidP="00C97182">
      <w:pPr>
        <w:spacing w:after="0" w:line="276" w:lineRule="auto"/>
        <w:ind w:firstLine="567"/>
        <w:jc w:val="both"/>
        <w:rPr>
          <w:rFonts w:ascii="Times New Roman" w:hAnsi="Times New Roman" w:cs="Times New Roman"/>
          <w:sz w:val="24"/>
          <w:szCs w:val="28"/>
          <w:lang w:val="uk-UA"/>
        </w:rPr>
      </w:pPr>
    </w:p>
    <w:p w14:paraId="7D5F6423" w14:textId="77777777" w:rsidR="00C97182" w:rsidRPr="009138A3" w:rsidRDefault="00C97182" w:rsidP="00C97182">
      <w:pPr>
        <w:spacing w:after="0" w:line="276" w:lineRule="auto"/>
        <w:ind w:firstLine="567"/>
        <w:jc w:val="center"/>
        <w:rPr>
          <w:rFonts w:ascii="Times New Roman" w:hAnsi="Times New Roman" w:cs="Times New Roman"/>
          <w:b/>
          <w:sz w:val="28"/>
          <w:szCs w:val="28"/>
          <w:lang w:val="uk-UA"/>
        </w:rPr>
      </w:pPr>
      <w:r w:rsidRPr="00763DF0">
        <w:rPr>
          <w:rFonts w:ascii="Times New Roman" w:hAnsi="Times New Roman" w:cs="Times New Roman"/>
          <w:b/>
          <w:sz w:val="28"/>
          <w:szCs w:val="28"/>
          <w:lang w:val="uk-UA"/>
        </w:rPr>
        <w:t>3</w:t>
      </w:r>
      <w:r w:rsidRPr="009138A3">
        <w:rPr>
          <w:rFonts w:ascii="Times New Roman" w:hAnsi="Times New Roman" w:cs="Times New Roman"/>
          <w:b/>
          <w:sz w:val="28"/>
          <w:szCs w:val="28"/>
          <w:lang w:val="uk-UA"/>
        </w:rPr>
        <w:t>. Порядок заповнення форми звітності № 4</w:t>
      </w:r>
    </w:p>
    <w:p w14:paraId="4F91844E" w14:textId="77777777" w:rsidR="00C97182" w:rsidRPr="009138A3" w:rsidRDefault="00C97182" w:rsidP="00C97182">
      <w:pPr>
        <w:spacing w:after="0" w:line="276" w:lineRule="auto"/>
        <w:ind w:firstLine="567"/>
        <w:jc w:val="center"/>
        <w:rPr>
          <w:rFonts w:ascii="Times New Roman" w:hAnsi="Times New Roman" w:cs="Times New Roman"/>
          <w:b/>
          <w:sz w:val="24"/>
          <w:szCs w:val="28"/>
          <w:lang w:val="uk-UA"/>
        </w:rPr>
      </w:pPr>
    </w:p>
    <w:p w14:paraId="4D1F3F29" w14:textId="77777777" w:rsidR="00C97182" w:rsidRPr="009138A3" w:rsidRDefault="00C97182" w:rsidP="00C97182">
      <w:pPr>
        <w:tabs>
          <w:tab w:val="left" w:pos="426"/>
          <w:tab w:val="left" w:pos="567"/>
          <w:tab w:val="left" w:pos="851"/>
          <w:tab w:val="left" w:pos="993"/>
        </w:tabs>
        <w:spacing w:after="0" w:line="276" w:lineRule="auto"/>
        <w:jc w:val="both"/>
        <w:rPr>
          <w:rFonts w:ascii="Times New Roman" w:hAnsi="Times New Roman" w:cs="Times New Roman"/>
          <w:sz w:val="20"/>
          <w:lang w:val="uk-UA"/>
        </w:rPr>
      </w:pPr>
    </w:p>
    <w:p w14:paraId="42C6DB5D" w14:textId="4FC5AAFE" w:rsidR="00C97182" w:rsidRDefault="00C97182" w:rsidP="00C97182">
      <w:pPr>
        <w:tabs>
          <w:tab w:val="left" w:pos="851"/>
          <w:tab w:val="left" w:pos="993"/>
        </w:tabs>
        <w:spacing w:after="0" w:line="276" w:lineRule="auto"/>
        <w:ind w:firstLine="568"/>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3.</w:t>
      </w:r>
      <w:r w:rsidR="003D32C9">
        <w:rPr>
          <w:rFonts w:ascii="Times New Roman" w:hAnsi="Times New Roman" w:cs="Times New Roman"/>
          <w:sz w:val="28"/>
          <w:szCs w:val="28"/>
          <w:lang w:val="uk-UA"/>
        </w:rPr>
        <w:t>1</w:t>
      </w:r>
      <w:r w:rsidRPr="009138A3">
        <w:rPr>
          <w:rFonts w:ascii="Times New Roman" w:hAnsi="Times New Roman" w:cs="Times New Roman"/>
          <w:sz w:val="28"/>
          <w:szCs w:val="28"/>
          <w:lang w:val="uk-UA"/>
        </w:rPr>
        <w:t xml:space="preserve">. У розділі І «Інформація щодо зміни споживачами електропостачальника»  відображається інформація щодо зміни споживачами електропостачальника, зокрема щодо споживачів, які виявили намір змінити електропостачальника (графи 1 – 3), які анулювали процедуру переходу (графи 4 – 6) та яким відмовили в можливості зміни електропостачальника (графи 7 – </w:t>
      </w:r>
      <w:r w:rsidR="00B16410">
        <w:rPr>
          <w:rFonts w:ascii="Times New Roman" w:hAnsi="Times New Roman" w:cs="Times New Roman"/>
          <w:sz w:val="28"/>
          <w:szCs w:val="28"/>
          <w:lang w:val="uk-UA"/>
        </w:rPr>
        <w:t>8</w:t>
      </w:r>
      <w:r w:rsidRPr="009138A3">
        <w:rPr>
          <w:rFonts w:ascii="Times New Roman" w:hAnsi="Times New Roman" w:cs="Times New Roman"/>
          <w:sz w:val="28"/>
          <w:szCs w:val="28"/>
          <w:lang w:val="uk-UA"/>
        </w:rPr>
        <w:t>)</w:t>
      </w:r>
      <w:r w:rsidR="003D32C9">
        <w:rPr>
          <w:rFonts w:ascii="Times New Roman" w:hAnsi="Times New Roman" w:cs="Times New Roman"/>
          <w:sz w:val="28"/>
          <w:szCs w:val="28"/>
          <w:lang w:val="uk-UA"/>
        </w:rPr>
        <w:t xml:space="preserve">. </w:t>
      </w:r>
      <w:r w:rsidR="00A74C8C">
        <w:rPr>
          <w:rFonts w:ascii="Times New Roman" w:hAnsi="Times New Roman" w:cs="Times New Roman"/>
          <w:sz w:val="28"/>
          <w:szCs w:val="28"/>
          <w:lang w:val="uk-UA"/>
        </w:rPr>
        <w:t>Інформація щодо зміни споживачем електропостачальника заповнюється електропостачальником, до якого було здійснено перехід споживача</w:t>
      </w:r>
      <w:r w:rsidRPr="009138A3">
        <w:rPr>
          <w:rFonts w:ascii="Times New Roman" w:hAnsi="Times New Roman" w:cs="Times New Roman"/>
          <w:sz w:val="28"/>
          <w:szCs w:val="28"/>
          <w:lang w:val="uk-UA"/>
        </w:rPr>
        <w:t>:</w:t>
      </w:r>
    </w:p>
    <w:p w14:paraId="526B03F3" w14:textId="77777777" w:rsidR="000B3133" w:rsidRPr="00125C23" w:rsidRDefault="000B3133" w:rsidP="00763DF0">
      <w:pPr>
        <w:tabs>
          <w:tab w:val="left" w:pos="851"/>
          <w:tab w:val="left" w:pos="993"/>
        </w:tabs>
        <w:spacing w:after="0" w:line="276" w:lineRule="auto"/>
        <w:jc w:val="both"/>
        <w:rPr>
          <w:rFonts w:ascii="Times New Roman" w:hAnsi="Times New Roman" w:cs="Times New Roman"/>
          <w:sz w:val="28"/>
          <w:szCs w:val="28"/>
          <w:lang w:val="uk-UA"/>
        </w:rPr>
      </w:pPr>
    </w:p>
    <w:p w14:paraId="61DA65F6" w14:textId="77CF84E3" w:rsidR="00C97182" w:rsidRPr="009138A3" w:rsidRDefault="00C97182" w:rsidP="00C97182">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графі 1 «кількість повідомлень» зазначається кількість зафіксованих звернень споживачів </w:t>
      </w:r>
      <w:r w:rsidR="000B3133">
        <w:rPr>
          <w:rFonts w:ascii="Times New Roman" w:hAnsi="Times New Roman" w:cs="Times New Roman"/>
          <w:sz w:val="28"/>
          <w:szCs w:val="28"/>
          <w:lang w:val="uk-UA"/>
        </w:rPr>
        <w:t xml:space="preserve">до </w:t>
      </w:r>
      <w:r w:rsidRPr="009138A3">
        <w:rPr>
          <w:rFonts w:ascii="Times New Roman" w:hAnsi="Times New Roman" w:cs="Times New Roman"/>
          <w:sz w:val="28"/>
          <w:szCs w:val="28"/>
          <w:lang w:val="uk-UA"/>
        </w:rPr>
        <w:t xml:space="preserve">електропостачальника </w:t>
      </w:r>
      <w:r w:rsidR="000B3133">
        <w:rPr>
          <w:rFonts w:ascii="Times New Roman" w:hAnsi="Times New Roman" w:cs="Times New Roman"/>
          <w:sz w:val="28"/>
          <w:szCs w:val="28"/>
          <w:lang w:val="uk-UA"/>
        </w:rPr>
        <w:t>про намір змінити попереднього електропостачальника та</w:t>
      </w:r>
      <w:r w:rsidRPr="009138A3">
        <w:rPr>
          <w:rFonts w:ascii="Times New Roman" w:hAnsi="Times New Roman" w:cs="Times New Roman"/>
          <w:sz w:val="28"/>
          <w:szCs w:val="28"/>
          <w:lang w:val="uk-UA"/>
        </w:rPr>
        <w:t xml:space="preserve"> укласти з ним договір про постачання електричної енергії споживачу протягом звітного періоду;</w:t>
      </w:r>
    </w:p>
    <w:p w14:paraId="12866CC8" w14:textId="77777777" w:rsidR="00C97182" w:rsidRPr="009138A3" w:rsidRDefault="00C97182" w:rsidP="00C97182">
      <w:pPr>
        <w:pStyle w:val="a3"/>
        <w:tabs>
          <w:tab w:val="left" w:pos="993"/>
        </w:tabs>
        <w:spacing w:after="0" w:line="276" w:lineRule="auto"/>
        <w:ind w:left="567" w:firstLine="567"/>
        <w:jc w:val="both"/>
        <w:rPr>
          <w:rFonts w:ascii="Times New Roman" w:hAnsi="Times New Roman" w:cs="Times New Roman"/>
          <w:sz w:val="24"/>
          <w:szCs w:val="28"/>
          <w:lang w:val="uk-UA"/>
        </w:rPr>
      </w:pPr>
    </w:p>
    <w:p w14:paraId="4A07E309" w14:textId="6F29E795" w:rsidR="00C97182" w:rsidRPr="009138A3" w:rsidRDefault="00C97182" w:rsidP="00C97182">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графі 2 «кількість точок комерційного обліку» зазначається кількість точок комерційного обліку споживачів електропостачальника, які звернулися до </w:t>
      </w:r>
      <w:r w:rsidRPr="009138A3">
        <w:rPr>
          <w:rFonts w:ascii="Times New Roman" w:hAnsi="Times New Roman" w:cs="Times New Roman"/>
          <w:sz w:val="28"/>
          <w:szCs w:val="28"/>
          <w:lang w:val="uk-UA"/>
        </w:rPr>
        <w:lastRenderedPageBreak/>
        <w:t>електропостачальника з наміром укласти з ним договір про постачання електричної енергії споживачу протягом звітного періоду;</w:t>
      </w:r>
    </w:p>
    <w:p w14:paraId="2B9DBAD2" w14:textId="77777777" w:rsidR="00C97182" w:rsidRPr="009138A3" w:rsidRDefault="00C97182" w:rsidP="00C97182">
      <w:pPr>
        <w:tabs>
          <w:tab w:val="left" w:pos="993"/>
        </w:tabs>
        <w:spacing w:after="0" w:line="276" w:lineRule="auto"/>
        <w:ind w:firstLine="567"/>
        <w:jc w:val="both"/>
        <w:rPr>
          <w:rFonts w:ascii="Times New Roman" w:hAnsi="Times New Roman" w:cs="Times New Roman"/>
          <w:sz w:val="24"/>
          <w:szCs w:val="28"/>
          <w:lang w:val="uk-UA"/>
        </w:rPr>
      </w:pPr>
    </w:p>
    <w:p w14:paraId="5D14C901" w14:textId="42409B03" w:rsidR="00C97182" w:rsidRPr="009138A3" w:rsidRDefault="00C97182" w:rsidP="00C97182">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графі 3 «річний (фактичний) обсяг споживання» зазначається фактичний обсяг споживання споживачами електропостачальника,  які звернулися до електропостачальника з наміром укласти з ним договір про постачання електричної енергії споживачу;</w:t>
      </w:r>
    </w:p>
    <w:p w14:paraId="0170067B" w14:textId="77777777" w:rsidR="00C97182" w:rsidRPr="009138A3" w:rsidRDefault="00C97182" w:rsidP="00C97182">
      <w:pPr>
        <w:tabs>
          <w:tab w:val="left" w:pos="993"/>
        </w:tabs>
        <w:spacing w:after="0" w:line="276" w:lineRule="auto"/>
        <w:ind w:firstLine="567"/>
        <w:jc w:val="both"/>
        <w:rPr>
          <w:rFonts w:ascii="Times New Roman" w:hAnsi="Times New Roman" w:cs="Times New Roman"/>
          <w:sz w:val="24"/>
          <w:szCs w:val="28"/>
          <w:lang w:val="uk-UA"/>
        </w:rPr>
      </w:pPr>
    </w:p>
    <w:p w14:paraId="41B54B5D" w14:textId="77777777" w:rsidR="00C97182" w:rsidRPr="009138A3" w:rsidRDefault="00C97182" w:rsidP="00C97182">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графі 4 «кількість анулювань процесу зміни електропостачальника за ініціативою споживача» зазначається кількість випадків анулювання  (зупинки) процесу зміни електропостачальника за ініціативою споживача протягом звітного періоду;</w:t>
      </w:r>
    </w:p>
    <w:p w14:paraId="63190ED8" w14:textId="77777777" w:rsidR="00C97182" w:rsidRPr="009138A3" w:rsidRDefault="00C97182" w:rsidP="00C97182">
      <w:pPr>
        <w:tabs>
          <w:tab w:val="left" w:pos="993"/>
        </w:tabs>
        <w:spacing w:after="0" w:line="276" w:lineRule="auto"/>
        <w:ind w:firstLine="567"/>
        <w:jc w:val="both"/>
        <w:rPr>
          <w:rFonts w:ascii="Times New Roman" w:hAnsi="Times New Roman" w:cs="Times New Roman"/>
          <w:sz w:val="24"/>
          <w:szCs w:val="28"/>
          <w:lang w:val="uk-UA"/>
        </w:rPr>
      </w:pPr>
    </w:p>
    <w:p w14:paraId="535B5487" w14:textId="77777777" w:rsidR="00C97182" w:rsidRPr="009138A3" w:rsidRDefault="00C97182" w:rsidP="00C97182">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графі 5 «кількість точок комерційного обліку» зазначається кількість точок комерційного обліку споживачів, які анулювали (зупинили)  процес  зміни електропостачальника протягом звітного періоду;</w:t>
      </w:r>
    </w:p>
    <w:p w14:paraId="71C693A2" w14:textId="77777777" w:rsidR="00C97182" w:rsidRPr="009138A3" w:rsidRDefault="00C97182" w:rsidP="00C97182">
      <w:pPr>
        <w:tabs>
          <w:tab w:val="left" w:pos="993"/>
        </w:tabs>
        <w:spacing w:after="0" w:line="276" w:lineRule="auto"/>
        <w:ind w:firstLine="567"/>
        <w:jc w:val="both"/>
        <w:rPr>
          <w:rFonts w:ascii="Times New Roman" w:hAnsi="Times New Roman" w:cs="Times New Roman"/>
          <w:sz w:val="24"/>
          <w:szCs w:val="28"/>
          <w:lang w:val="uk-UA"/>
        </w:rPr>
      </w:pPr>
    </w:p>
    <w:p w14:paraId="6A1AB0D3" w14:textId="77777777" w:rsidR="00C97182" w:rsidRPr="009138A3" w:rsidRDefault="00C97182" w:rsidP="00C97182">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графі 6 «річний (фактичний) обсяг споживання» зазначається фактичний річний обсяг споживання протягом звітного року споживачами, які анулювали процес зміни електропостачальника протягом звітного періоду;</w:t>
      </w:r>
    </w:p>
    <w:p w14:paraId="1CFE7BFA" w14:textId="77777777" w:rsidR="00C97182" w:rsidRPr="009138A3" w:rsidRDefault="00C97182" w:rsidP="00C97182">
      <w:pPr>
        <w:tabs>
          <w:tab w:val="left" w:pos="993"/>
        </w:tabs>
        <w:spacing w:after="0" w:line="276" w:lineRule="auto"/>
        <w:ind w:firstLine="567"/>
        <w:jc w:val="center"/>
        <w:rPr>
          <w:rFonts w:ascii="Times New Roman" w:hAnsi="Times New Roman" w:cs="Times New Roman"/>
          <w:sz w:val="24"/>
          <w:szCs w:val="28"/>
          <w:lang w:val="uk-UA"/>
        </w:rPr>
      </w:pPr>
    </w:p>
    <w:p w14:paraId="69E6D9D1" w14:textId="77777777" w:rsidR="00C97182" w:rsidRPr="009138A3" w:rsidRDefault="00C97182" w:rsidP="00C97182">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графі 7 «кількість випадків відмови в забезпеченні зміни електропостачальника» зазначається кількість випадків відмови в забезпеченні зміни електропостачальника</w:t>
      </w:r>
      <w:r w:rsidRPr="009138A3">
        <w:rPr>
          <w:rFonts w:ascii="Times New Roman" w:eastAsia="Times New Roman" w:hAnsi="Times New Roman" w:cs="Times New Roman"/>
          <w:sz w:val="28"/>
          <w:szCs w:val="28"/>
          <w:lang w:val="uk-UA" w:eastAsia="uk-UA"/>
        </w:rPr>
        <w:t xml:space="preserve"> </w:t>
      </w:r>
      <w:r w:rsidRPr="009138A3">
        <w:rPr>
          <w:rFonts w:ascii="Times New Roman" w:hAnsi="Times New Roman" w:cs="Times New Roman"/>
          <w:sz w:val="28"/>
          <w:szCs w:val="28"/>
          <w:lang w:val="uk-UA"/>
        </w:rPr>
        <w:t>протягом звітного періоду;</w:t>
      </w:r>
    </w:p>
    <w:p w14:paraId="583F2960" w14:textId="77777777" w:rsidR="00C97182" w:rsidRPr="009138A3" w:rsidRDefault="00C97182" w:rsidP="00C97182">
      <w:pPr>
        <w:tabs>
          <w:tab w:val="left" w:pos="993"/>
        </w:tabs>
        <w:spacing w:after="0" w:line="276" w:lineRule="auto"/>
        <w:ind w:firstLine="567"/>
        <w:jc w:val="both"/>
        <w:rPr>
          <w:rFonts w:ascii="Times New Roman" w:hAnsi="Times New Roman" w:cs="Times New Roman"/>
          <w:sz w:val="24"/>
          <w:szCs w:val="28"/>
          <w:lang w:val="uk-UA"/>
        </w:rPr>
      </w:pPr>
    </w:p>
    <w:p w14:paraId="0A232AC9" w14:textId="77777777" w:rsidR="00C97182" w:rsidRPr="009138A3" w:rsidRDefault="00C97182" w:rsidP="00C97182">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графі 8 «кількість точок комерційного обліку» зазначається кількість точок комерційного обліку споживачів, яким адміністратом комерційного обліку відмовлено в </w:t>
      </w:r>
      <w:r w:rsidRPr="009138A3">
        <w:rPr>
          <w:rFonts w:ascii="Times New Roman" w:eastAsia="Times New Roman" w:hAnsi="Times New Roman" w:cs="Times New Roman"/>
          <w:sz w:val="28"/>
          <w:szCs w:val="28"/>
          <w:lang w:val="uk-UA" w:eastAsia="uk-UA"/>
        </w:rPr>
        <w:t xml:space="preserve">забезпеченні зміни електропостачальника </w:t>
      </w:r>
      <w:r w:rsidRPr="009138A3">
        <w:rPr>
          <w:rFonts w:ascii="Times New Roman" w:hAnsi="Times New Roman" w:cs="Times New Roman"/>
          <w:sz w:val="28"/>
          <w:szCs w:val="28"/>
          <w:lang w:val="uk-UA"/>
        </w:rPr>
        <w:t>протягом звітного періоду;</w:t>
      </w:r>
    </w:p>
    <w:p w14:paraId="681AC4B6" w14:textId="77777777" w:rsidR="00C97182" w:rsidRPr="009138A3" w:rsidRDefault="00C97182" w:rsidP="00C97182">
      <w:pPr>
        <w:tabs>
          <w:tab w:val="left" w:pos="993"/>
        </w:tabs>
        <w:spacing w:after="0" w:line="276" w:lineRule="auto"/>
        <w:ind w:firstLine="567"/>
        <w:jc w:val="both"/>
        <w:rPr>
          <w:rFonts w:ascii="Times New Roman" w:hAnsi="Times New Roman" w:cs="Times New Roman"/>
          <w:sz w:val="24"/>
          <w:szCs w:val="28"/>
          <w:lang w:val="uk-UA"/>
        </w:rPr>
      </w:pPr>
    </w:p>
    <w:p w14:paraId="65F958C0" w14:textId="72F21B57" w:rsidR="00C97182" w:rsidRPr="009138A3" w:rsidRDefault="00C97182" w:rsidP="00C97182">
      <w:pPr>
        <w:pStyle w:val="a3"/>
        <w:numPr>
          <w:ilvl w:val="0"/>
          <w:numId w:val="1"/>
        </w:numPr>
        <w:tabs>
          <w:tab w:val="left" w:pos="993"/>
          <w:tab w:val="left" w:pos="1134"/>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графі 10 «Середня тривалість зміни електропостачальника» зазначається середнє арифметичне значення тривалості зміни електропостачальника споживачами. Тривалість зміни електропостачальника охоплює період, що починається з </w:t>
      </w:r>
      <w:r w:rsidR="00E072CD" w:rsidRPr="009138A3">
        <w:rPr>
          <w:rFonts w:ascii="Times New Roman" w:hAnsi="Times New Roman" w:cs="Times New Roman"/>
          <w:sz w:val="28"/>
          <w:szCs w:val="28"/>
          <w:lang w:val="uk-UA"/>
        </w:rPr>
        <w:t>д</w:t>
      </w:r>
      <w:r w:rsidR="00E072CD">
        <w:rPr>
          <w:rFonts w:ascii="Times New Roman" w:hAnsi="Times New Roman" w:cs="Times New Roman"/>
          <w:sz w:val="28"/>
          <w:szCs w:val="28"/>
          <w:lang w:val="uk-UA"/>
        </w:rPr>
        <w:t>ати</w:t>
      </w:r>
      <w:r w:rsidR="00E072CD"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повідомлення споживачем нового електропостачальника про наміри змінити попереднього електропостачальника</w:t>
      </w:r>
      <w:r w:rsidR="00B96239">
        <w:rPr>
          <w:rFonts w:ascii="Times New Roman" w:hAnsi="Times New Roman" w:cs="Times New Roman"/>
          <w:sz w:val="28"/>
          <w:szCs w:val="28"/>
          <w:lang w:val="uk-UA"/>
        </w:rPr>
        <w:t xml:space="preserve"> (</w:t>
      </w:r>
      <w:r w:rsidR="00256F69">
        <w:rPr>
          <w:rFonts w:ascii="Times New Roman" w:hAnsi="Times New Roman" w:cs="Times New Roman"/>
          <w:sz w:val="28"/>
          <w:szCs w:val="28"/>
          <w:lang w:val="uk-UA"/>
        </w:rPr>
        <w:t xml:space="preserve">у випадку </w:t>
      </w:r>
      <w:r w:rsidR="00B96239">
        <w:rPr>
          <w:rFonts w:ascii="Times New Roman" w:hAnsi="Times New Roman" w:cs="Times New Roman"/>
          <w:sz w:val="28"/>
          <w:szCs w:val="28"/>
          <w:lang w:val="uk-UA"/>
        </w:rPr>
        <w:t>я</w:t>
      </w:r>
      <w:r w:rsidR="00B96239" w:rsidRPr="00B7567D">
        <w:rPr>
          <w:rFonts w:ascii="Times New Roman" w:hAnsi="Times New Roman" w:cs="Times New Roman"/>
          <w:sz w:val="28"/>
          <w:szCs w:val="28"/>
          <w:lang w:val="uk-UA"/>
        </w:rPr>
        <w:t xml:space="preserve">кщо споживач звернувся до нового електропостачальника щодо наміру укласти з ним договір про постачання електричної енергії споживачу більше ніж за 21 день до дати запланованої зміни електропостачальника, вказаної споживачем у повідомленні, </w:t>
      </w:r>
      <w:r w:rsidR="00B96239" w:rsidRPr="00A945D2">
        <w:rPr>
          <w:rFonts w:ascii="Times New Roman" w:hAnsi="Times New Roman" w:cs="Times New Roman"/>
          <w:sz w:val="28"/>
          <w:szCs w:val="28"/>
          <w:lang w:val="uk-UA"/>
        </w:rPr>
        <w:t>–</w:t>
      </w:r>
      <w:r w:rsidR="00B96239">
        <w:rPr>
          <w:rFonts w:ascii="Times New Roman" w:hAnsi="Times New Roman" w:cs="Times New Roman"/>
          <w:sz w:val="28"/>
          <w:szCs w:val="28"/>
          <w:lang w:val="uk-UA"/>
        </w:rPr>
        <w:t xml:space="preserve"> </w:t>
      </w:r>
      <w:r w:rsidR="00B96239" w:rsidRPr="00B7567D">
        <w:rPr>
          <w:rFonts w:ascii="Times New Roman" w:hAnsi="Times New Roman" w:cs="Times New Roman"/>
          <w:sz w:val="28"/>
          <w:szCs w:val="28"/>
          <w:lang w:val="uk-UA"/>
        </w:rPr>
        <w:t>за 21 день до запланованої дати</w:t>
      </w:r>
      <w:r w:rsidR="00B96239">
        <w:rPr>
          <w:rFonts w:ascii="Times New Roman" w:hAnsi="Times New Roman" w:cs="Times New Roman"/>
          <w:sz w:val="28"/>
          <w:szCs w:val="28"/>
          <w:lang w:val="uk-UA"/>
        </w:rPr>
        <w:t>)</w:t>
      </w:r>
      <w:r w:rsidR="00B96239" w:rsidRPr="00B7567D">
        <w:rPr>
          <w:rFonts w:ascii="Times New Roman" w:hAnsi="Times New Roman" w:cs="Times New Roman"/>
          <w:sz w:val="28"/>
          <w:szCs w:val="28"/>
          <w:lang w:val="uk-UA"/>
        </w:rPr>
        <w:t xml:space="preserve">, вказаної </w:t>
      </w:r>
      <w:r w:rsidR="00B96239" w:rsidRPr="00B7567D">
        <w:rPr>
          <w:rFonts w:ascii="Times New Roman" w:hAnsi="Times New Roman" w:cs="Times New Roman"/>
          <w:sz w:val="28"/>
          <w:szCs w:val="28"/>
          <w:lang w:val="uk-UA"/>
        </w:rPr>
        <w:lastRenderedPageBreak/>
        <w:t>споживачем у повідомленні</w:t>
      </w:r>
      <w:r w:rsidR="00B96239" w:rsidRPr="00A945D2">
        <w:rPr>
          <w:rFonts w:ascii="Times New Roman" w:hAnsi="Times New Roman" w:cs="Times New Roman"/>
          <w:sz w:val="28"/>
          <w:szCs w:val="28"/>
          <w:lang w:val="uk-UA"/>
        </w:rPr>
        <w:t xml:space="preserve">, до дати зміни записів у реєстрах </w:t>
      </w:r>
      <w:r w:rsidR="00B96239" w:rsidRPr="00B7567D">
        <w:rPr>
          <w:rFonts w:ascii="Times New Roman" w:hAnsi="Times New Roman" w:cs="Times New Roman"/>
          <w:sz w:val="28"/>
          <w:szCs w:val="28"/>
          <w:lang w:val="uk-UA"/>
        </w:rPr>
        <w:t>точок комерційного обліку електропостачальник</w:t>
      </w:r>
      <w:r w:rsidR="00B96239">
        <w:rPr>
          <w:rFonts w:ascii="Times New Roman" w:hAnsi="Times New Roman" w:cs="Times New Roman"/>
          <w:sz w:val="28"/>
          <w:szCs w:val="28"/>
          <w:lang w:val="uk-UA"/>
        </w:rPr>
        <w:t>ів</w:t>
      </w:r>
      <w:r w:rsidRPr="009138A3">
        <w:rPr>
          <w:rFonts w:ascii="Times New Roman" w:hAnsi="Times New Roman" w:cs="Times New Roman"/>
          <w:sz w:val="28"/>
          <w:szCs w:val="28"/>
          <w:lang w:val="uk-UA"/>
        </w:rPr>
        <w:t>;</w:t>
      </w:r>
    </w:p>
    <w:p w14:paraId="29CEA767" w14:textId="77777777" w:rsidR="00C97182" w:rsidRPr="009138A3" w:rsidRDefault="00C97182" w:rsidP="00C97182">
      <w:pPr>
        <w:tabs>
          <w:tab w:val="left" w:pos="993"/>
          <w:tab w:val="left" w:pos="1134"/>
        </w:tabs>
        <w:spacing w:after="0" w:line="276" w:lineRule="auto"/>
        <w:ind w:firstLine="567"/>
        <w:jc w:val="both"/>
        <w:rPr>
          <w:rFonts w:ascii="Times New Roman" w:hAnsi="Times New Roman" w:cs="Times New Roman"/>
          <w:sz w:val="24"/>
          <w:szCs w:val="28"/>
          <w:lang w:val="uk-UA"/>
        </w:rPr>
      </w:pPr>
    </w:p>
    <w:p w14:paraId="77F8D23D" w14:textId="2600BC87" w:rsidR="00C97182" w:rsidRPr="009138A3" w:rsidRDefault="00C97182" w:rsidP="00C97182">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рядку 050 «Усього, у тому числі:» відображається сумарна інформація щодо зміни споживачами електропостачальника. Значення цього рядка</w:t>
      </w:r>
      <w:r w:rsidR="003C7EA3">
        <w:rPr>
          <w:rFonts w:ascii="Times New Roman" w:hAnsi="Times New Roman" w:cs="Times New Roman"/>
          <w:sz w:val="28"/>
          <w:szCs w:val="28"/>
          <w:lang w:val="uk-UA"/>
        </w:rPr>
        <w:t xml:space="preserve"> </w:t>
      </w:r>
      <w:r w:rsidR="003C7EA3">
        <w:rPr>
          <w:rFonts w:ascii="Times New Roman" w:hAnsi="Times New Roman" w:cs="Times New Roman"/>
          <w:sz w:val="28"/>
          <w:szCs w:val="28"/>
        </w:rPr>
        <w:t xml:space="preserve">у графах 1 – 9 </w:t>
      </w:r>
      <w:r w:rsidRPr="009138A3">
        <w:rPr>
          <w:rFonts w:ascii="Times New Roman" w:hAnsi="Times New Roman" w:cs="Times New Roman"/>
          <w:sz w:val="28"/>
          <w:szCs w:val="28"/>
          <w:lang w:val="uk-UA"/>
        </w:rPr>
        <w:t xml:space="preserve"> дорівнює сумі значень рядків 055 та 070;</w:t>
      </w:r>
    </w:p>
    <w:p w14:paraId="1FA6545D" w14:textId="77777777" w:rsidR="00C97182" w:rsidRPr="009138A3" w:rsidRDefault="00C97182" w:rsidP="00C97182">
      <w:pPr>
        <w:tabs>
          <w:tab w:val="left" w:pos="993"/>
        </w:tabs>
        <w:spacing w:after="0" w:line="276" w:lineRule="auto"/>
        <w:ind w:firstLine="567"/>
        <w:jc w:val="both"/>
        <w:rPr>
          <w:rFonts w:ascii="Times New Roman" w:hAnsi="Times New Roman" w:cs="Times New Roman"/>
          <w:sz w:val="24"/>
          <w:szCs w:val="28"/>
          <w:lang w:val="uk-UA"/>
        </w:rPr>
      </w:pPr>
    </w:p>
    <w:p w14:paraId="4AFF4455" w14:textId="77777777" w:rsidR="00C97182" w:rsidRPr="009138A3" w:rsidRDefault="00C97182" w:rsidP="00C97182">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рядку 055 «</w:t>
      </w:r>
      <w:r w:rsidRPr="00C126D9">
        <w:rPr>
          <w:rFonts w:ascii="Times New Roman" w:hAnsi="Times New Roman" w:cs="Times New Roman"/>
          <w:sz w:val="28"/>
          <w:szCs w:val="28"/>
          <w:lang w:val="uk-UA"/>
        </w:rPr>
        <w:t>побутові  з них:</w:t>
      </w:r>
      <w:r w:rsidRPr="009138A3">
        <w:rPr>
          <w:rFonts w:ascii="Times New Roman" w:hAnsi="Times New Roman" w:cs="Times New Roman"/>
          <w:sz w:val="28"/>
          <w:szCs w:val="28"/>
          <w:lang w:val="uk-UA"/>
        </w:rPr>
        <w:t>» відображається інформація щодо зміни електропостачальника побутовими споживачами, у тому числі щодо зміни електропостачальника індивідуальними (рядок 060) та колективними (рядок 065) побутовими споживачами;</w:t>
      </w:r>
    </w:p>
    <w:p w14:paraId="3DED54D5" w14:textId="77777777" w:rsidR="00C97182" w:rsidRPr="00C126D9" w:rsidRDefault="00C97182" w:rsidP="00C97182">
      <w:pPr>
        <w:tabs>
          <w:tab w:val="left" w:pos="993"/>
          <w:tab w:val="left" w:pos="1134"/>
          <w:tab w:val="left" w:pos="5600"/>
        </w:tabs>
        <w:spacing w:after="0" w:line="276" w:lineRule="auto"/>
        <w:ind w:firstLine="567"/>
        <w:jc w:val="both"/>
        <w:rPr>
          <w:rFonts w:ascii="Times New Roman" w:hAnsi="Times New Roman" w:cs="Times New Roman"/>
          <w:sz w:val="24"/>
          <w:szCs w:val="28"/>
          <w:lang w:val="uk-UA"/>
        </w:rPr>
      </w:pPr>
    </w:p>
    <w:p w14:paraId="54DC550E" w14:textId="0E235908" w:rsidR="00C97182" w:rsidRPr="009138A3" w:rsidRDefault="00C97182" w:rsidP="00C97182">
      <w:pPr>
        <w:pStyle w:val="a3"/>
        <w:numPr>
          <w:ilvl w:val="0"/>
          <w:numId w:val="1"/>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рядку 070 «</w:t>
      </w:r>
      <w:r w:rsidRPr="00C126D9">
        <w:rPr>
          <w:rFonts w:ascii="Times New Roman" w:hAnsi="Times New Roman" w:cs="Times New Roman"/>
          <w:sz w:val="28"/>
          <w:szCs w:val="28"/>
          <w:lang w:val="uk-UA"/>
        </w:rPr>
        <w:t>непобутові з них:</w:t>
      </w:r>
      <w:r w:rsidRPr="009138A3">
        <w:rPr>
          <w:rFonts w:ascii="Times New Roman" w:hAnsi="Times New Roman" w:cs="Times New Roman"/>
          <w:sz w:val="28"/>
          <w:szCs w:val="28"/>
          <w:lang w:val="uk-UA"/>
        </w:rPr>
        <w:t xml:space="preserve">» відображається інформація щодо зміни електропостачальника непобутовими споживачами, у тому числі за категоріями непобутових споживачів (рядки 075 – </w:t>
      </w:r>
      <w:r w:rsidR="00B16410">
        <w:rPr>
          <w:rFonts w:ascii="Times New Roman" w:hAnsi="Times New Roman" w:cs="Times New Roman"/>
          <w:sz w:val="28"/>
          <w:szCs w:val="28"/>
          <w:lang w:val="uk-UA"/>
        </w:rPr>
        <w:t>090</w:t>
      </w:r>
      <w:r w:rsidRPr="009138A3">
        <w:rPr>
          <w:rFonts w:ascii="Times New Roman" w:hAnsi="Times New Roman" w:cs="Times New Roman"/>
          <w:sz w:val="28"/>
          <w:szCs w:val="28"/>
          <w:lang w:val="uk-UA"/>
        </w:rPr>
        <w:t>).</w:t>
      </w:r>
    </w:p>
    <w:p w14:paraId="23B7E696" w14:textId="77777777" w:rsidR="00C97182" w:rsidRPr="00C126D9" w:rsidRDefault="00C97182" w:rsidP="00C97182">
      <w:pPr>
        <w:tabs>
          <w:tab w:val="left" w:pos="993"/>
          <w:tab w:val="left" w:pos="1134"/>
        </w:tabs>
        <w:spacing w:after="0" w:line="276" w:lineRule="auto"/>
        <w:ind w:firstLine="567"/>
        <w:jc w:val="both"/>
        <w:rPr>
          <w:rFonts w:ascii="Times New Roman" w:hAnsi="Times New Roman" w:cs="Times New Roman"/>
          <w:sz w:val="24"/>
          <w:szCs w:val="28"/>
          <w:lang w:val="uk-UA"/>
        </w:rPr>
      </w:pPr>
    </w:p>
    <w:p w14:paraId="6115BC91" w14:textId="4D0FD79C" w:rsidR="00C97182" w:rsidRPr="00763DF0" w:rsidRDefault="00A74C8C" w:rsidP="00763DF0">
      <w:pPr>
        <w:tabs>
          <w:tab w:val="left" w:pos="567"/>
        </w:tabs>
        <w:spacing w:after="0" w:line="276" w:lineRule="auto"/>
        <w:ind w:firstLine="710"/>
        <w:jc w:val="both"/>
        <w:rPr>
          <w:rFonts w:ascii="Times New Roman" w:hAnsi="Times New Roman" w:cs="Times New Roman"/>
          <w:sz w:val="28"/>
          <w:szCs w:val="28"/>
          <w:lang w:val="uk-UA"/>
        </w:rPr>
      </w:pPr>
      <w:r>
        <w:rPr>
          <w:rFonts w:ascii="Times New Roman" w:hAnsi="Times New Roman" w:cs="Times New Roman"/>
          <w:sz w:val="28"/>
          <w:szCs w:val="28"/>
          <w:lang w:val="uk-UA"/>
        </w:rPr>
        <w:t>3.2.</w:t>
      </w:r>
      <w:r w:rsidR="00C97182" w:rsidRPr="00763DF0">
        <w:rPr>
          <w:rFonts w:ascii="Times New Roman" w:hAnsi="Times New Roman" w:cs="Times New Roman"/>
          <w:sz w:val="28"/>
          <w:szCs w:val="28"/>
          <w:lang w:val="uk-UA"/>
        </w:rPr>
        <w:t xml:space="preserve"> У розділі </w:t>
      </w:r>
      <w:r w:rsidR="00C97182" w:rsidRPr="00763DF0">
        <w:rPr>
          <w:rFonts w:ascii="Times New Roman" w:hAnsi="Times New Roman" w:cs="Times New Roman"/>
          <w:sz w:val="28"/>
          <w:szCs w:val="28"/>
          <w:lang w:val="en-US"/>
        </w:rPr>
        <w:t>I</w:t>
      </w:r>
      <w:r w:rsidR="00C97182" w:rsidRPr="00763DF0">
        <w:rPr>
          <w:rFonts w:ascii="Times New Roman" w:hAnsi="Times New Roman" w:cs="Times New Roman"/>
          <w:sz w:val="28"/>
          <w:szCs w:val="28"/>
          <w:lang w:val="uk-UA"/>
        </w:rPr>
        <w:t>І «Інформація про договірні відносини  електропостачальника зі споживачами» відображається інформація щодо договірних відносин постачальника зі споживачами:</w:t>
      </w:r>
    </w:p>
    <w:p w14:paraId="19EFE9BC" w14:textId="77777777" w:rsidR="00C97182" w:rsidRPr="009138A3" w:rsidRDefault="00C97182" w:rsidP="00C97182">
      <w:pPr>
        <w:tabs>
          <w:tab w:val="left" w:pos="426"/>
          <w:tab w:val="left" w:pos="567"/>
          <w:tab w:val="left" w:pos="709"/>
          <w:tab w:val="left" w:pos="851"/>
          <w:tab w:val="left" w:pos="1134"/>
        </w:tabs>
        <w:spacing w:after="0" w:line="276" w:lineRule="auto"/>
        <w:jc w:val="both"/>
        <w:rPr>
          <w:rFonts w:ascii="Times New Roman" w:hAnsi="Times New Roman" w:cs="Times New Roman"/>
          <w:sz w:val="28"/>
          <w:szCs w:val="28"/>
          <w:lang w:val="uk-UA"/>
        </w:rPr>
      </w:pPr>
    </w:p>
    <w:p w14:paraId="23E689B8" w14:textId="77777777" w:rsidR="00C97182" w:rsidRPr="009138A3" w:rsidRDefault="00C97182" w:rsidP="00C97182">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1 – 4 відображається інформація щодо договірних відносин із побутовими споживачами, які уклали з електропостачальником договір про постачання електричної енергії, усього (графа 1), у тому числі щодо індивідуальних (графа 2), вразливих (графа 3) та колективних (графа 4) побутових споживачів;</w:t>
      </w:r>
    </w:p>
    <w:p w14:paraId="5E3E2911" w14:textId="77777777" w:rsidR="00C97182" w:rsidRPr="00C126D9" w:rsidRDefault="00C97182" w:rsidP="00C97182">
      <w:pPr>
        <w:pStyle w:val="a3"/>
        <w:tabs>
          <w:tab w:val="left" w:pos="993"/>
        </w:tabs>
        <w:spacing w:after="0" w:line="276" w:lineRule="auto"/>
        <w:ind w:left="567" w:firstLine="567"/>
        <w:jc w:val="both"/>
        <w:rPr>
          <w:rFonts w:ascii="Times New Roman" w:hAnsi="Times New Roman" w:cs="Times New Roman"/>
          <w:sz w:val="28"/>
          <w:szCs w:val="28"/>
          <w:lang w:val="uk-UA"/>
        </w:rPr>
      </w:pPr>
    </w:p>
    <w:p w14:paraId="11BA471F" w14:textId="7D1B3323" w:rsidR="00C97182" w:rsidRPr="009138A3" w:rsidRDefault="00C97182" w:rsidP="00C97182">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у графах 5 – 9 відображається інформація щодо договірних відносин із непобутовими споживачами, які уклали з електропостачальником договір про постачання електричної енергії, усього (графа 5), у тому числі за категоріями непобутових споживачів (графи 6 – </w:t>
      </w:r>
      <w:r w:rsidR="00B16410">
        <w:rPr>
          <w:rFonts w:ascii="Times New Roman" w:hAnsi="Times New Roman" w:cs="Times New Roman"/>
          <w:sz w:val="28"/>
          <w:szCs w:val="28"/>
          <w:lang w:val="uk-UA"/>
        </w:rPr>
        <w:t>9</w:t>
      </w:r>
      <w:r w:rsidRPr="009138A3">
        <w:rPr>
          <w:rFonts w:ascii="Times New Roman" w:hAnsi="Times New Roman" w:cs="Times New Roman"/>
          <w:sz w:val="28"/>
          <w:szCs w:val="28"/>
          <w:lang w:val="uk-UA"/>
        </w:rPr>
        <w:t>);</w:t>
      </w:r>
    </w:p>
    <w:p w14:paraId="324730DA" w14:textId="77777777" w:rsidR="00C97182" w:rsidRPr="009138A3" w:rsidRDefault="00C97182" w:rsidP="00C97182">
      <w:pPr>
        <w:tabs>
          <w:tab w:val="left" w:pos="993"/>
        </w:tabs>
        <w:spacing w:after="0" w:line="276" w:lineRule="auto"/>
        <w:ind w:firstLine="567"/>
        <w:jc w:val="both"/>
        <w:rPr>
          <w:rFonts w:ascii="Times New Roman" w:hAnsi="Times New Roman" w:cs="Times New Roman"/>
          <w:sz w:val="28"/>
          <w:szCs w:val="28"/>
          <w:lang w:val="uk-UA"/>
        </w:rPr>
      </w:pPr>
    </w:p>
    <w:p w14:paraId="7029E4B3" w14:textId="77777777" w:rsidR="00C97182" w:rsidRPr="009138A3" w:rsidRDefault="00C97182" w:rsidP="00C97182">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C126D9">
        <w:rPr>
          <w:rFonts w:ascii="Times New Roman" w:hAnsi="Times New Roman" w:cs="Times New Roman"/>
          <w:sz w:val="28"/>
          <w:szCs w:val="28"/>
          <w:lang w:val="uk-UA"/>
        </w:rPr>
        <w:t xml:space="preserve">у рядку </w:t>
      </w:r>
      <w:r w:rsidRPr="009138A3">
        <w:rPr>
          <w:rFonts w:ascii="Times New Roman" w:hAnsi="Times New Roman" w:cs="Times New Roman"/>
          <w:sz w:val="28"/>
          <w:szCs w:val="28"/>
          <w:lang w:val="uk-UA"/>
        </w:rPr>
        <w:t xml:space="preserve">115 «Максимальний рівень санкцій (штрафів) за дострокове розірвання договору </w:t>
      </w:r>
      <w:r>
        <w:rPr>
          <w:rFonts w:ascii="Times New Roman" w:hAnsi="Times New Roman" w:cs="Times New Roman"/>
          <w:sz w:val="28"/>
          <w:szCs w:val="28"/>
          <w:lang w:val="uk-UA"/>
        </w:rPr>
        <w:t xml:space="preserve">про </w:t>
      </w:r>
      <w:r w:rsidRPr="009138A3">
        <w:rPr>
          <w:rFonts w:ascii="Times New Roman" w:hAnsi="Times New Roman" w:cs="Times New Roman"/>
          <w:sz w:val="28"/>
          <w:szCs w:val="28"/>
          <w:lang w:val="uk-UA"/>
        </w:rPr>
        <w:t>постачання</w:t>
      </w:r>
      <w:r>
        <w:rPr>
          <w:rFonts w:ascii="Times New Roman" w:hAnsi="Times New Roman" w:cs="Times New Roman"/>
          <w:sz w:val="28"/>
          <w:szCs w:val="28"/>
          <w:lang w:val="uk-UA"/>
        </w:rPr>
        <w:t xml:space="preserve"> електричної енергії</w:t>
      </w:r>
      <w:r w:rsidRPr="009138A3">
        <w:rPr>
          <w:rFonts w:ascii="Times New Roman" w:hAnsi="Times New Roman" w:cs="Times New Roman"/>
          <w:sz w:val="28"/>
          <w:szCs w:val="28"/>
          <w:lang w:val="uk-UA"/>
        </w:rPr>
        <w:t xml:space="preserve"> споживачем» зазначається максимальний розмір санкцій (штрафів), зазначений у договорі про постачання електричної енергії, за дострокове розірвання договору споживачем (у випадку наявності цієї умови в договорах). У випадку визначення розміру санкцій (штрафів) за відносними величинами (наприклад, у відсотках до вартості прогнозного споживання) вказується максимальне значення можливого розміру санкцій (штрафів) в абсолютних величинах (тис. грн);</w:t>
      </w:r>
    </w:p>
    <w:p w14:paraId="12378823" w14:textId="77777777" w:rsidR="00C97182" w:rsidRPr="009138A3" w:rsidRDefault="00C97182" w:rsidP="00C97182">
      <w:pPr>
        <w:tabs>
          <w:tab w:val="left" w:pos="993"/>
        </w:tabs>
        <w:spacing w:after="0" w:line="276" w:lineRule="auto"/>
        <w:ind w:firstLine="567"/>
        <w:jc w:val="both"/>
        <w:rPr>
          <w:rFonts w:ascii="Times New Roman" w:hAnsi="Times New Roman" w:cs="Times New Roman"/>
          <w:sz w:val="28"/>
          <w:szCs w:val="28"/>
          <w:lang w:val="uk-UA"/>
        </w:rPr>
      </w:pPr>
    </w:p>
    <w:p w14:paraId="776E69C6" w14:textId="77777777" w:rsidR="00C97182" w:rsidRPr="009138A3" w:rsidRDefault="00C97182" w:rsidP="00C97182">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lastRenderedPageBreak/>
        <w:t>у рядках 120 – 135 зазначається інформація щодо максимальної тривалості (кількості календарних днів) постачання електричної енергії споживачу, яке розпочалося в попередніх періодах та тривало до кінця звітного періоду, за всіма договорами (рядок 120) та за видами договорів (рядки 125 – 135). Значення рядка 120 дорівнює максимальному значенню рядків 125 – 135;</w:t>
      </w:r>
    </w:p>
    <w:p w14:paraId="61DCC092" w14:textId="77777777" w:rsidR="00C97182" w:rsidRPr="009138A3" w:rsidRDefault="00C97182" w:rsidP="00C97182">
      <w:pPr>
        <w:tabs>
          <w:tab w:val="left" w:pos="993"/>
        </w:tabs>
        <w:spacing w:after="0" w:line="276" w:lineRule="auto"/>
        <w:ind w:firstLine="567"/>
        <w:jc w:val="both"/>
        <w:rPr>
          <w:rFonts w:ascii="Times New Roman" w:hAnsi="Times New Roman" w:cs="Times New Roman"/>
          <w:sz w:val="28"/>
          <w:szCs w:val="28"/>
          <w:lang w:val="uk-UA"/>
        </w:rPr>
      </w:pPr>
    </w:p>
    <w:p w14:paraId="6CD493C0" w14:textId="77777777" w:rsidR="00C97182" w:rsidRPr="009138A3" w:rsidRDefault="00C97182" w:rsidP="00C97182">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рядках 140 – 155 зазначається інформація щодо мінімальної тривалості (кількості календарних днів) постачання електричної енергії споживачу, яке розпочалося в попередніх періодах та тривало до кінця звітного періоду, за всіма договорами (рядок 140) та за видами договорів (рядки 145 – 155). Значення рядка 140 дорівнює мінімальному значенню рядків 145 – 155;</w:t>
      </w:r>
    </w:p>
    <w:p w14:paraId="3235307A" w14:textId="77777777" w:rsidR="00C97182" w:rsidRPr="009138A3" w:rsidRDefault="00C97182" w:rsidP="00C97182">
      <w:pPr>
        <w:tabs>
          <w:tab w:val="left" w:pos="993"/>
        </w:tabs>
        <w:spacing w:after="0" w:line="276" w:lineRule="auto"/>
        <w:ind w:firstLine="567"/>
        <w:jc w:val="both"/>
        <w:rPr>
          <w:rFonts w:ascii="Times New Roman" w:hAnsi="Times New Roman" w:cs="Times New Roman"/>
          <w:sz w:val="28"/>
          <w:szCs w:val="28"/>
          <w:lang w:val="uk-UA"/>
        </w:rPr>
      </w:pPr>
    </w:p>
    <w:p w14:paraId="3D917862" w14:textId="77777777" w:rsidR="00C97182" w:rsidRPr="009138A3" w:rsidRDefault="00C97182" w:rsidP="00C97182">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160 «</w:t>
      </w:r>
      <w:r w:rsidRPr="00125C23">
        <w:rPr>
          <w:rFonts w:ascii="Times New Roman" w:hAnsi="Times New Roman" w:cs="Times New Roman"/>
          <w:sz w:val="28"/>
          <w:szCs w:val="28"/>
          <w:lang w:val="uk-UA"/>
        </w:rPr>
        <w:t>Кількість договорів про постачання електричної енергії, укладених з учасниками ринку, що входять до вертикально інтегрованого суб’єкта господарювання (розшифрувати в Додатку 2)</w:t>
      </w:r>
      <w:r w:rsidRPr="009138A3">
        <w:rPr>
          <w:rFonts w:ascii="Times New Roman" w:hAnsi="Times New Roman" w:cs="Times New Roman"/>
          <w:sz w:val="28"/>
          <w:szCs w:val="28"/>
          <w:lang w:val="uk-UA"/>
        </w:rPr>
        <w:t>» зазначається кількість договорів з постачання електричної енергії, укладених з учасниками ринку, які входять до вертикально інтегрованого суб’єкта господарювання, до складу якого входить електропостачальник;</w:t>
      </w:r>
    </w:p>
    <w:p w14:paraId="10C42D0F" w14:textId="77777777" w:rsidR="00C97182" w:rsidRPr="009138A3" w:rsidRDefault="00C97182" w:rsidP="00C97182">
      <w:pPr>
        <w:tabs>
          <w:tab w:val="left" w:pos="993"/>
        </w:tabs>
        <w:spacing w:after="0" w:line="276" w:lineRule="auto"/>
        <w:ind w:firstLine="567"/>
        <w:jc w:val="both"/>
        <w:rPr>
          <w:rFonts w:ascii="Times New Roman" w:hAnsi="Times New Roman" w:cs="Times New Roman"/>
          <w:sz w:val="28"/>
          <w:szCs w:val="28"/>
          <w:lang w:val="uk-UA"/>
        </w:rPr>
      </w:pPr>
    </w:p>
    <w:p w14:paraId="510149AD" w14:textId="77777777" w:rsidR="00C97182" w:rsidRPr="009138A3" w:rsidRDefault="00C97182" w:rsidP="00C97182">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165 «</w:t>
      </w:r>
      <w:r w:rsidRPr="00125C23">
        <w:rPr>
          <w:rFonts w:ascii="Times New Roman" w:hAnsi="Times New Roman" w:cs="Times New Roman"/>
          <w:sz w:val="28"/>
          <w:szCs w:val="28"/>
          <w:lang w:val="uk-UA"/>
        </w:rPr>
        <w:t>Мінімальна ціна електричної енергії за договорами постачання, укладеними з учасниками ринку, що входять до вертикально інтегрованого суб’єкта господарювання (без ПДВ)</w:t>
      </w:r>
      <w:r w:rsidRPr="009138A3">
        <w:rPr>
          <w:rFonts w:ascii="Times New Roman" w:hAnsi="Times New Roman" w:cs="Times New Roman"/>
          <w:sz w:val="28"/>
          <w:szCs w:val="28"/>
          <w:lang w:val="uk-UA"/>
        </w:rPr>
        <w:t>» зазначається мінімальне значення ціни без ПДВ на електричну енергію за договорами про постачання електричної енергії, укладеними з учасниками ринку, які входять до вертикально інтегрованого суб’єкта господарювання, до складу якого входить електропостачальник;</w:t>
      </w:r>
    </w:p>
    <w:p w14:paraId="397458A6" w14:textId="77777777" w:rsidR="00C97182" w:rsidRPr="009138A3" w:rsidRDefault="00C97182" w:rsidP="00C97182">
      <w:pPr>
        <w:tabs>
          <w:tab w:val="left" w:pos="993"/>
        </w:tabs>
        <w:spacing w:after="0" w:line="276" w:lineRule="auto"/>
        <w:ind w:firstLine="567"/>
        <w:jc w:val="both"/>
        <w:rPr>
          <w:rFonts w:ascii="Times New Roman" w:hAnsi="Times New Roman" w:cs="Times New Roman"/>
          <w:sz w:val="28"/>
          <w:szCs w:val="28"/>
          <w:lang w:val="uk-UA"/>
        </w:rPr>
      </w:pPr>
    </w:p>
    <w:p w14:paraId="3F79BA3C" w14:textId="77777777" w:rsidR="00C97182" w:rsidRPr="009138A3" w:rsidRDefault="00C97182" w:rsidP="00C97182">
      <w:pPr>
        <w:pStyle w:val="a3"/>
        <w:numPr>
          <w:ilvl w:val="0"/>
          <w:numId w:val="2"/>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рядку 170 «</w:t>
      </w:r>
      <w:r w:rsidRPr="00125C23">
        <w:rPr>
          <w:rFonts w:ascii="Times New Roman" w:hAnsi="Times New Roman" w:cs="Times New Roman"/>
          <w:sz w:val="28"/>
          <w:szCs w:val="28"/>
          <w:lang w:val="uk-UA"/>
        </w:rPr>
        <w:t>Максимальна ціна електричної енергії за договорами постачання, укладеними з учасниками ринку, що входять до вертикально інтегрованого суб’єкта господарювання (без ПДВ)</w:t>
      </w:r>
      <w:r w:rsidRPr="009138A3">
        <w:rPr>
          <w:rFonts w:ascii="Times New Roman" w:hAnsi="Times New Roman" w:cs="Times New Roman"/>
          <w:sz w:val="28"/>
          <w:szCs w:val="28"/>
          <w:lang w:val="uk-UA"/>
        </w:rPr>
        <w:t>» зазначається максимальне значення ціни без ПДВ на електричну енергію за договорами про постачання електричної енергії, укладеними з учасниками ринку, які входять до вертикально інтегрованого суб’єкта господарювання, до складу якого входить електропостачальник.</w:t>
      </w:r>
    </w:p>
    <w:p w14:paraId="2D36691E" w14:textId="77777777" w:rsidR="00C97182" w:rsidRPr="009138A3" w:rsidRDefault="00C97182" w:rsidP="00C97182">
      <w:pPr>
        <w:tabs>
          <w:tab w:val="left" w:pos="360"/>
          <w:tab w:val="left" w:pos="426"/>
          <w:tab w:val="left" w:pos="567"/>
          <w:tab w:val="left" w:pos="851"/>
          <w:tab w:val="left" w:pos="1134"/>
        </w:tabs>
        <w:spacing w:after="0" w:line="276" w:lineRule="auto"/>
        <w:jc w:val="both"/>
        <w:rPr>
          <w:sz w:val="20"/>
          <w:lang w:val="uk-UA"/>
        </w:rPr>
      </w:pPr>
    </w:p>
    <w:p w14:paraId="1B6B7439" w14:textId="58FC9670" w:rsidR="00C97182" w:rsidRPr="009138A3" w:rsidRDefault="00C97182" w:rsidP="00C97182">
      <w:pPr>
        <w:pStyle w:val="a3"/>
        <w:numPr>
          <w:ilvl w:val="1"/>
          <w:numId w:val="8"/>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У розділі </w:t>
      </w:r>
      <w:r w:rsidR="00A74C8C">
        <w:rPr>
          <w:rFonts w:ascii="Times New Roman" w:hAnsi="Times New Roman" w:cs="Times New Roman"/>
          <w:sz w:val="28"/>
          <w:szCs w:val="28"/>
          <w:lang w:val="uk-UA"/>
        </w:rPr>
        <w:t>ІІІ</w:t>
      </w:r>
      <w:r w:rsidR="00A74C8C" w:rsidRPr="009138A3">
        <w:rPr>
          <w:rFonts w:ascii="Times New Roman" w:hAnsi="Times New Roman" w:cs="Times New Roman"/>
          <w:sz w:val="28"/>
          <w:szCs w:val="28"/>
          <w:lang w:val="uk-UA"/>
        </w:rPr>
        <w:t xml:space="preserve"> </w:t>
      </w:r>
      <w:r w:rsidRPr="009138A3">
        <w:rPr>
          <w:rFonts w:ascii="Times New Roman" w:hAnsi="Times New Roman" w:cs="Times New Roman"/>
          <w:sz w:val="28"/>
          <w:szCs w:val="28"/>
          <w:lang w:val="uk-UA"/>
        </w:rPr>
        <w:t xml:space="preserve">«Інформація щодо кількості додаткових послуг (товарів), що пропонуються разом із постачанням електричної енергії» відображається інформація щодо додаткових послуг, які пропонувалися електропостачальником споживачам разом із постачанням електричної енергії протягом І кварталу </w:t>
      </w:r>
      <w:r w:rsidRPr="009138A3">
        <w:rPr>
          <w:rFonts w:ascii="Times New Roman" w:hAnsi="Times New Roman" w:cs="Times New Roman"/>
          <w:sz w:val="28"/>
          <w:szCs w:val="28"/>
          <w:lang w:val="uk-UA"/>
        </w:rPr>
        <w:lastRenderedPageBreak/>
        <w:t>(графи 1 – 2), протягом ІІ кварталу (графи 3 – 4), протягом ІІІ кварталу (графи 5 – 6 ) та протягом І</w:t>
      </w:r>
      <w:r w:rsidRPr="009138A3">
        <w:rPr>
          <w:rFonts w:ascii="Times New Roman" w:hAnsi="Times New Roman" w:cs="Times New Roman"/>
          <w:sz w:val="28"/>
          <w:szCs w:val="28"/>
          <w:lang w:val="en-US"/>
        </w:rPr>
        <w:t>V</w:t>
      </w:r>
      <w:r w:rsidRPr="009138A3">
        <w:rPr>
          <w:rFonts w:ascii="Times New Roman" w:hAnsi="Times New Roman" w:cs="Times New Roman"/>
          <w:sz w:val="28"/>
          <w:szCs w:val="28"/>
          <w:lang w:val="uk-UA"/>
        </w:rPr>
        <w:t xml:space="preserve"> кварталу (графи 7 – 8):</w:t>
      </w:r>
    </w:p>
    <w:p w14:paraId="04567DC3" w14:textId="77777777" w:rsidR="00C97182" w:rsidRPr="009138A3" w:rsidRDefault="00C97182" w:rsidP="00C97182">
      <w:pPr>
        <w:pStyle w:val="a3"/>
        <w:tabs>
          <w:tab w:val="left" w:pos="360"/>
          <w:tab w:val="left" w:pos="426"/>
          <w:tab w:val="left" w:pos="567"/>
          <w:tab w:val="left" w:pos="851"/>
          <w:tab w:val="left" w:pos="1134"/>
        </w:tabs>
        <w:spacing w:after="0" w:line="276" w:lineRule="auto"/>
        <w:ind w:left="567"/>
        <w:jc w:val="both"/>
        <w:rPr>
          <w:rFonts w:ascii="Times New Roman" w:hAnsi="Times New Roman" w:cs="Times New Roman"/>
          <w:sz w:val="24"/>
          <w:szCs w:val="28"/>
          <w:lang w:val="uk-UA"/>
        </w:rPr>
      </w:pPr>
    </w:p>
    <w:p w14:paraId="05234728" w14:textId="77777777" w:rsidR="00C97182" w:rsidRPr="009138A3" w:rsidRDefault="00C97182" w:rsidP="00C97182">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1, 3, 5, 7 «Платні» відображаються дані щодо додаткових послуг, які пропонуються електропостачальником у комерційних пропозиціях споживачам разом із постачанням електричної енергії на платній основі;</w:t>
      </w:r>
    </w:p>
    <w:p w14:paraId="356D8E8B" w14:textId="77777777" w:rsidR="00C97182" w:rsidRPr="009138A3" w:rsidRDefault="00C97182" w:rsidP="00C97182">
      <w:pPr>
        <w:pStyle w:val="a3"/>
        <w:tabs>
          <w:tab w:val="left" w:pos="993"/>
        </w:tabs>
        <w:spacing w:after="0" w:line="276" w:lineRule="auto"/>
        <w:ind w:left="567"/>
        <w:jc w:val="both"/>
        <w:rPr>
          <w:rFonts w:ascii="Times New Roman" w:hAnsi="Times New Roman" w:cs="Times New Roman"/>
          <w:sz w:val="28"/>
          <w:szCs w:val="28"/>
          <w:lang w:val="uk-UA"/>
        </w:rPr>
      </w:pPr>
    </w:p>
    <w:p w14:paraId="47022923" w14:textId="77777777" w:rsidR="00C97182" w:rsidRPr="009138A3" w:rsidRDefault="00C97182" w:rsidP="00C97182">
      <w:pPr>
        <w:pStyle w:val="a3"/>
        <w:numPr>
          <w:ilvl w:val="0"/>
          <w:numId w:val="4"/>
        </w:numPr>
        <w:tabs>
          <w:tab w:val="left" w:pos="993"/>
        </w:tabs>
        <w:spacing w:after="0" w:line="276" w:lineRule="auto"/>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у графах 2, 4, 6, 8 «Безоплатні» відображаються дані щодо додаткових послуг, які пропонуються електропостачальником у комерційних пропозиціях споживачам разом із постачанням електричної енергії на безоплатній основі</w:t>
      </w:r>
      <w:r w:rsidRPr="009138A3">
        <w:rPr>
          <w:rFonts w:ascii="Times New Roman" w:hAnsi="Times New Roman" w:cs="Times New Roman"/>
          <w:sz w:val="28"/>
          <w:szCs w:val="28"/>
        </w:rPr>
        <w:t>.</w:t>
      </w:r>
    </w:p>
    <w:p w14:paraId="38F0F7DC" w14:textId="77777777" w:rsidR="00C97182" w:rsidRPr="009138A3" w:rsidRDefault="00C97182" w:rsidP="00C97182">
      <w:pPr>
        <w:pStyle w:val="a3"/>
        <w:tabs>
          <w:tab w:val="left" w:pos="993"/>
        </w:tabs>
        <w:spacing w:after="0" w:line="276" w:lineRule="auto"/>
        <w:ind w:left="567"/>
        <w:jc w:val="both"/>
        <w:rPr>
          <w:rFonts w:ascii="Times New Roman" w:hAnsi="Times New Roman" w:cs="Times New Roman"/>
          <w:sz w:val="28"/>
          <w:szCs w:val="28"/>
          <w:lang w:val="uk-UA"/>
        </w:rPr>
      </w:pPr>
    </w:p>
    <w:p w14:paraId="625B4FF6" w14:textId="77777777" w:rsidR="00C97182" w:rsidRPr="009138A3" w:rsidRDefault="00C97182" w:rsidP="00C97182">
      <w:pPr>
        <w:tabs>
          <w:tab w:val="left" w:pos="993"/>
        </w:tabs>
        <w:spacing w:after="0"/>
        <w:ind w:firstLine="567"/>
        <w:jc w:val="both"/>
        <w:rPr>
          <w:rFonts w:ascii="Times New Roman" w:hAnsi="Times New Roman" w:cs="Times New Roman"/>
          <w:sz w:val="24"/>
          <w:szCs w:val="28"/>
          <w:lang w:val="uk-UA"/>
        </w:rPr>
      </w:pPr>
    </w:p>
    <w:p w14:paraId="23A9A2B4" w14:textId="77777777" w:rsidR="00F8275A" w:rsidRPr="00F8275A" w:rsidRDefault="00C97182" w:rsidP="00F8275A">
      <w:pPr>
        <w:pStyle w:val="a3"/>
        <w:numPr>
          <w:ilvl w:val="1"/>
          <w:numId w:val="8"/>
        </w:numPr>
        <w:tabs>
          <w:tab w:val="left" w:pos="993"/>
        </w:tabs>
        <w:spacing w:after="0"/>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rPr>
        <w:t xml:space="preserve"> </w:t>
      </w:r>
      <w:r w:rsidR="00F8275A" w:rsidRPr="00F8275A">
        <w:rPr>
          <w:rFonts w:ascii="Times New Roman" w:hAnsi="Times New Roman" w:cs="Times New Roman"/>
          <w:sz w:val="28"/>
          <w:szCs w:val="28"/>
          <w:lang w:val="uk-UA"/>
        </w:rPr>
        <w:t>Додаток 1 «Інформація щодо  договорів про постачання електричної енергії, укладених з учасниками ринку, що входять до вертикально інтегрованого суб'єкта господарювання»  до форми звітності № 4 (далі – додаток 1) подається електропостачальником до НКРЕКП разом із формою звітності № 4 в електронному вигляді  на адресу: monitoring_</w:t>
      </w:r>
      <w:r w:rsidR="00F8275A" w:rsidRPr="00F8275A">
        <w:rPr>
          <w:rFonts w:ascii="Times New Roman" w:hAnsi="Times New Roman" w:cs="Times New Roman"/>
          <w:sz w:val="28"/>
          <w:szCs w:val="28"/>
          <w:lang w:val="en-US"/>
        </w:rPr>
        <w:t>E</w:t>
      </w:r>
      <w:r w:rsidR="00F8275A" w:rsidRPr="00F8275A">
        <w:rPr>
          <w:rFonts w:ascii="Times New Roman" w:hAnsi="Times New Roman" w:cs="Times New Roman"/>
          <w:sz w:val="28"/>
          <w:szCs w:val="28"/>
          <w:lang w:val="uk-UA"/>
        </w:rPr>
        <w:t>@nerc.gov.ua у форматі, визначеному пунктом 2.3 глави 2 цієї Інструкції.</w:t>
      </w:r>
    </w:p>
    <w:p w14:paraId="74D31C93" w14:textId="4E744E35" w:rsidR="00C97182" w:rsidRPr="00F8275A" w:rsidRDefault="00F8275A" w:rsidP="00F8275A">
      <w:pPr>
        <w:tabs>
          <w:tab w:val="left" w:pos="993"/>
        </w:tabs>
        <w:spacing w:after="0" w:line="276" w:lineRule="auto"/>
        <w:ind w:firstLine="567"/>
        <w:jc w:val="both"/>
        <w:rPr>
          <w:rFonts w:ascii="Times New Roman" w:hAnsi="Times New Roman" w:cs="Times New Roman"/>
          <w:sz w:val="28"/>
          <w:szCs w:val="28"/>
          <w:lang w:val="uk-UA"/>
        </w:rPr>
      </w:pPr>
      <w:r w:rsidRPr="00F8275A">
        <w:rPr>
          <w:rFonts w:ascii="Times New Roman" w:hAnsi="Times New Roman" w:cs="Times New Roman"/>
          <w:sz w:val="28"/>
          <w:szCs w:val="28"/>
          <w:lang w:val="uk-UA"/>
        </w:rPr>
        <w:t xml:space="preserve">У </w:t>
      </w:r>
      <w:r>
        <w:rPr>
          <w:rFonts w:ascii="Times New Roman" w:hAnsi="Times New Roman" w:cs="Times New Roman"/>
          <w:sz w:val="28"/>
          <w:szCs w:val="28"/>
          <w:lang w:val="uk-UA"/>
        </w:rPr>
        <w:t>д</w:t>
      </w:r>
      <w:r w:rsidRPr="00F8275A">
        <w:rPr>
          <w:rFonts w:ascii="Times New Roman" w:hAnsi="Times New Roman" w:cs="Times New Roman"/>
          <w:sz w:val="28"/>
          <w:szCs w:val="28"/>
          <w:lang w:val="uk-UA"/>
        </w:rPr>
        <w:t>одатку 1 наводиться перелік учасників ринку, що входять до складу вертикально інтегрованого суб’єкта господарювання, із якими електропостачальник уклав договір про постачання електричної енергії, із зазначенням кількості договорів про постачання електричної енергії з електропостачальником (графа 1), обсягу спожитої протягом звітного періоду електричної енергії (графа 2), вартості спожитої протягом звітного періоду електричної енергії (графа 3) та назви оператора системи, до якого приєднаний споживач (графа 4).</w:t>
      </w:r>
    </w:p>
    <w:p w14:paraId="61FC1F5F" w14:textId="77777777" w:rsidR="00C97182" w:rsidRPr="009138A3" w:rsidRDefault="00C97182" w:rsidP="00C97182">
      <w:pPr>
        <w:tabs>
          <w:tab w:val="left" w:pos="426"/>
          <w:tab w:val="left" w:pos="567"/>
        </w:tabs>
        <w:spacing w:after="0" w:line="276" w:lineRule="auto"/>
        <w:ind w:firstLine="567"/>
        <w:jc w:val="both"/>
        <w:rPr>
          <w:rFonts w:ascii="Times New Roman" w:hAnsi="Times New Roman" w:cs="Times New Roman"/>
          <w:sz w:val="24"/>
          <w:szCs w:val="28"/>
          <w:lang w:val="uk-UA"/>
        </w:rPr>
      </w:pPr>
    </w:p>
    <w:p w14:paraId="6F2999BB" w14:textId="5813905A" w:rsidR="00F8275A" w:rsidRPr="00F8275A" w:rsidRDefault="00C97182" w:rsidP="00F8275A">
      <w:pPr>
        <w:pStyle w:val="a3"/>
        <w:numPr>
          <w:ilvl w:val="1"/>
          <w:numId w:val="8"/>
        </w:numPr>
        <w:tabs>
          <w:tab w:val="left" w:pos="993"/>
        </w:tabs>
        <w:spacing w:after="0"/>
        <w:ind w:left="0" w:firstLine="567"/>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 xml:space="preserve"> </w:t>
      </w:r>
      <w:r w:rsidR="00F8275A" w:rsidRPr="00F8275A">
        <w:rPr>
          <w:rFonts w:ascii="Times New Roman" w:hAnsi="Times New Roman" w:cs="Times New Roman"/>
          <w:sz w:val="28"/>
          <w:szCs w:val="28"/>
          <w:lang w:val="uk-UA"/>
        </w:rPr>
        <w:t>Додаток 2 «Інформація щодо додаткових послуг (товарів), що пропонуються разом із постачанням електричної енергії»  до форми звітності № 4 (далі – додаток 2) подається електропостачальником до НКРЕКП разом із формою звітності № 4 в електронному вигляді на адресу: monitoring_</w:t>
      </w:r>
      <w:r w:rsidR="00F8275A" w:rsidRPr="00F8275A">
        <w:rPr>
          <w:rFonts w:ascii="Times New Roman" w:hAnsi="Times New Roman" w:cs="Times New Roman"/>
          <w:sz w:val="28"/>
          <w:szCs w:val="28"/>
          <w:lang w:val="en-US"/>
        </w:rPr>
        <w:t>E</w:t>
      </w:r>
      <w:r w:rsidR="00F8275A" w:rsidRPr="00F8275A">
        <w:rPr>
          <w:rFonts w:ascii="Times New Roman" w:hAnsi="Times New Roman" w:cs="Times New Roman"/>
          <w:sz w:val="28"/>
          <w:szCs w:val="28"/>
          <w:lang w:val="uk-UA"/>
        </w:rPr>
        <w:t>@nerc.gov.ua у форматі, визначеному пунктом 2.3 глави 2 цієї Інструкції.</w:t>
      </w:r>
    </w:p>
    <w:p w14:paraId="3056B1F7" w14:textId="29FB9BF6" w:rsidR="00C97182" w:rsidRPr="00F8275A" w:rsidRDefault="00F8275A" w:rsidP="00F8275A">
      <w:pPr>
        <w:tabs>
          <w:tab w:val="left" w:pos="993"/>
        </w:tabs>
        <w:spacing w:after="0" w:line="276" w:lineRule="auto"/>
        <w:ind w:firstLine="567"/>
        <w:jc w:val="both"/>
        <w:rPr>
          <w:rFonts w:ascii="Times New Roman" w:hAnsi="Times New Roman" w:cs="Times New Roman"/>
          <w:sz w:val="28"/>
          <w:szCs w:val="28"/>
          <w:lang w:val="uk-UA"/>
        </w:rPr>
      </w:pPr>
      <w:r w:rsidRPr="00F8275A">
        <w:rPr>
          <w:rFonts w:ascii="Times New Roman" w:hAnsi="Times New Roman" w:cs="Times New Roman"/>
          <w:sz w:val="28"/>
          <w:szCs w:val="28"/>
          <w:lang w:val="uk-UA"/>
        </w:rPr>
        <w:t>У додатку 2 наводиться перелік додаткових послуг (товарів) у комерційних пропозиціях, що пропонуються разом із постачанням електричної енергії, із зазначенням найменування послуги (товару)  та основи, на якій така послуга пропонується (платна або безоплатна), протягом відповідних кварталів звітного року.</w:t>
      </w:r>
      <w:r w:rsidR="00C97182" w:rsidRPr="00F8275A">
        <w:rPr>
          <w:rFonts w:ascii="Times New Roman" w:hAnsi="Times New Roman" w:cs="Times New Roman"/>
          <w:sz w:val="28"/>
          <w:szCs w:val="28"/>
          <w:lang w:val="uk-UA"/>
        </w:rPr>
        <w:t xml:space="preserve"> </w:t>
      </w:r>
    </w:p>
    <w:p w14:paraId="08F628C6" w14:textId="6045AF27" w:rsidR="00C97182" w:rsidRDefault="00C97182" w:rsidP="00C97182">
      <w:pPr>
        <w:tabs>
          <w:tab w:val="left" w:pos="993"/>
        </w:tabs>
        <w:spacing w:after="0" w:line="276" w:lineRule="auto"/>
        <w:ind w:firstLine="567"/>
        <w:jc w:val="both"/>
        <w:rPr>
          <w:rFonts w:ascii="Times New Roman" w:hAnsi="Times New Roman" w:cs="Times New Roman"/>
          <w:sz w:val="28"/>
          <w:szCs w:val="28"/>
          <w:lang w:val="uk-UA"/>
        </w:rPr>
      </w:pPr>
    </w:p>
    <w:p w14:paraId="6C5D4E98" w14:textId="77777777" w:rsidR="003142C9" w:rsidRPr="009138A3" w:rsidRDefault="003142C9" w:rsidP="00C97182">
      <w:pPr>
        <w:tabs>
          <w:tab w:val="left" w:pos="993"/>
        </w:tabs>
        <w:spacing w:after="0" w:line="276" w:lineRule="auto"/>
        <w:ind w:firstLine="567"/>
        <w:jc w:val="both"/>
        <w:rPr>
          <w:rFonts w:ascii="Times New Roman" w:hAnsi="Times New Roman" w:cs="Times New Roman"/>
          <w:sz w:val="28"/>
          <w:szCs w:val="28"/>
          <w:lang w:val="uk-UA"/>
        </w:rPr>
      </w:pPr>
    </w:p>
    <w:p w14:paraId="6686F7D0" w14:textId="77777777" w:rsidR="00C97182" w:rsidRPr="009138A3" w:rsidRDefault="00C97182" w:rsidP="00C97182">
      <w:pPr>
        <w:spacing w:after="0" w:line="276" w:lineRule="auto"/>
        <w:jc w:val="both"/>
        <w:rPr>
          <w:rFonts w:ascii="Times New Roman" w:hAnsi="Times New Roman" w:cs="Times New Roman"/>
          <w:sz w:val="28"/>
          <w:szCs w:val="28"/>
          <w:lang w:val="uk-UA"/>
        </w:rPr>
      </w:pPr>
      <w:r w:rsidRPr="009138A3">
        <w:rPr>
          <w:rFonts w:ascii="Times New Roman" w:hAnsi="Times New Roman" w:cs="Times New Roman"/>
          <w:sz w:val="28"/>
          <w:szCs w:val="28"/>
          <w:lang w:val="uk-UA"/>
        </w:rPr>
        <w:t>Директор Департаменту</w:t>
      </w:r>
    </w:p>
    <w:p w14:paraId="62DDD621" w14:textId="77777777" w:rsidR="000B2DFA" w:rsidRDefault="00C97182" w:rsidP="00C97182">
      <w:r w:rsidRPr="009138A3">
        <w:rPr>
          <w:rFonts w:ascii="Times New Roman" w:hAnsi="Times New Roman" w:cs="Times New Roman"/>
          <w:sz w:val="28"/>
          <w:szCs w:val="28"/>
          <w:lang w:val="uk-UA"/>
        </w:rPr>
        <w:lastRenderedPageBreak/>
        <w:t xml:space="preserve">стратегічного розвитку та планування   </w:t>
      </w:r>
      <w:r w:rsidRPr="009138A3">
        <w:rPr>
          <w:rFonts w:ascii="Times New Roman" w:hAnsi="Times New Roman" w:cs="Times New Roman"/>
          <w:sz w:val="28"/>
          <w:szCs w:val="28"/>
          <w:lang w:val="uk-UA"/>
        </w:rPr>
        <w:tab/>
      </w:r>
      <w:r w:rsidRPr="009138A3">
        <w:rPr>
          <w:rFonts w:ascii="Times New Roman" w:hAnsi="Times New Roman" w:cs="Times New Roman"/>
          <w:sz w:val="28"/>
          <w:szCs w:val="28"/>
          <w:lang w:val="uk-UA"/>
        </w:rPr>
        <w:tab/>
        <w:t xml:space="preserve">                                   В. Цаплін</w:t>
      </w:r>
    </w:p>
    <w:sectPr w:rsidR="000B2DFA" w:rsidSect="00763DF0">
      <w:headerReference w:type="default" r:id="rId13"/>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B39723" w14:textId="77777777" w:rsidR="00B01692" w:rsidRDefault="00B01692" w:rsidP="00763DF0">
      <w:pPr>
        <w:spacing w:after="0" w:line="240" w:lineRule="auto"/>
      </w:pPr>
      <w:r>
        <w:separator/>
      </w:r>
    </w:p>
  </w:endnote>
  <w:endnote w:type="continuationSeparator" w:id="0">
    <w:p w14:paraId="3165E6ED" w14:textId="77777777" w:rsidR="00B01692" w:rsidRDefault="00B01692" w:rsidP="00763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3E905D" w14:textId="77777777" w:rsidR="00B01692" w:rsidRDefault="00B01692" w:rsidP="00763DF0">
      <w:pPr>
        <w:spacing w:after="0" w:line="240" w:lineRule="auto"/>
      </w:pPr>
      <w:r>
        <w:separator/>
      </w:r>
    </w:p>
  </w:footnote>
  <w:footnote w:type="continuationSeparator" w:id="0">
    <w:p w14:paraId="10B00B2A" w14:textId="77777777" w:rsidR="00B01692" w:rsidRDefault="00B01692" w:rsidP="00763D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415548521"/>
      <w:docPartObj>
        <w:docPartGallery w:val="Page Numbers (Top of Page)"/>
        <w:docPartUnique/>
      </w:docPartObj>
    </w:sdtPr>
    <w:sdtContent>
      <w:p w14:paraId="0F96EA27" w14:textId="7187104E" w:rsidR="00763DF0" w:rsidRPr="00763DF0" w:rsidRDefault="00763DF0">
        <w:pPr>
          <w:pStyle w:val="a8"/>
          <w:jc w:val="center"/>
          <w:rPr>
            <w:rFonts w:ascii="Times New Roman" w:hAnsi="Times New Roman" w:cs="Times New Roman"/>
          </w:rPr>
        </w:pPr>
        <w:r w:rsidRPr="00763DF0">
          <w:rPr>
            <w:rFonts w:ascii="Times New Roman" w:hAnsi="Times New Roman" w:cs="Times New Roman"/>
          </w:rPr>
          <w:fldChar w:fldCharType="begin"/>
        </w:r>
        <w:r w:rsidRPr="00763DF0">
          <w:rPr>
            <w:rFonts w:ascii="Times New Roman" w:hAnsi="Times New Roman" w:cs="Times New Roman"/>
          </w:rPr>
          <w:instrText>PAGE   \* MERGEFORMAT</w:instrText>
        </w:r>
        <w:r w:rsidRPr="00763DF0">
          <w:rPr>
            <w:rFonts w:ascii="Times New Roman" w:hAnsi="Times New Roman" w:cs="Times New Roman"/>
          </w:rPr>
          <w:fldChar w:fldCharType="separate"/>
        </w:r>
        <w:r w:rsidRPr="00763DF0">
          <w:rPr>
            <w:rFonts w:ascii="Times New Roman" w:hAnsi="Times New Roman" w:cs="Times New Roman"/>
            <w:lang w:val="uk-UA"/>
          </w:rPr>
          <w:t>2</w:t>
        </w:r>
        <w:r w:rsidRPr="00763DF0">
          <w:rPr>
            <w:rFonts w:ascii="Times New Roman" w:hAnsi="Times New Roman" w:cs="Times New Roman"/>
          </w:rPr>
          <w:fldChar w:fldCharType="end"/>
        </w:r>
      </w:p>
    </w:sdtContent>
  </w:sdt>
  <w:p w14:paraId="549BD284" w14:textId="77777777" w:rsidR="00763DF0" w:rsidRDefault="00763DF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0099D"/>
    <w:multiLevelType w:val="multilevel"/>
    <w:tmpl w:val="78A49622"/>
    <w:lvl w:ilvl="0">
      <w:start w:val="3"/>
      <w:numFmt w:val="decimal"/>
      <w:lvlText w:val="%1."/>
      <w:lvlJc w:val="left"/>
      <w:pPr>
        <w:ind w:left="450" w:hanging="450"/>
      </w:pPr>
      <w:rPr>
        <w:rFonts w:hint="default"/>
      </w:rPr>
    </w:lvl>
    <w:lvl w:ilvl="1">
      <w:start w:val="3"/>
      <w:numFmt w:val="decimal"/>
      <w:lvlText w:val="%1.%2."/>
      <w:lvlJc w:val="left"/>
      <w:pPr>
        <w:ind w:left="1430" w:hanging="720"/>
      </w:pPr>
      <w:rPr>
        <w:rFonts w:hint="default"/>
      </w:rPr>
    </w:lvl>
    <w:lvl w:ilvl="2">
      <w:start w:val="1"/>
      <w:numFmt w:val="decimal"/>
      <w:lvlText w:val="%1.%2.%3."/>
      <w:lvlJc w:val="left"/>
      <w:pPr>
        <w:ind w:left="2606" w:hanging="720"/>
      </w:pPr>
      <w:rPr>
        <w:rFonts w:hint="default"/>
      </w:rPr>
    </w:lvl>
    <w:lvl w:ilvl="3">
      <w:start w:val="1"/>
      <w:numFmt w:val="decimal"/>
      <w:lvlText w:val="%1.%2.%3.%4."/>
      <w:lvlJc w:val="left"/>
      <w:pPr>
        <w:ind w:left="3909" w:hanging="1080"/>
      </w:pPr>
      <w:rPr>
        <w:rFonts w:hint="default"/>
      </w:rPr>
    </w:lvl>
    <w:lvl w:ilvl="4">
      <w:start w:val="1"/>
      <w:numFmt w:val="decimal"/>
      <w:lvlText w:val="%1.%2.%3.%4.%5."/>
      <w:lvlJc w:val="left"/>
      <w:pPr>
        <w:ind w:left="4852" w:hanging="1080"/>
      </w:pPr>
      <w:rPr>
        <w:rFonts w:hint="default"/>
      </w:rPr>
    </w:lvl>
    <w:lvl w:ilvl="5">
      <w:start w:val="1"/>
      <w:numFmt w:val="decimal"/>
      <w:lvlText w:val="%1.%2.%3.%4.%5.%6."/>
      <w:lvlJc w:val="left"/>
      <w:pPr>
        <w:ind w:left="6155" w:hanging="1440"/>
      </w:pPr>
      <w:rPr>
        <w:rFonts w:hint="default"/>
      </w:rPr>
    </w:lvl>
    <w:lvl w:ilvl="6">
      <w:start w:val="1"/>
      <w:numFmt w:val="decimal"/>
      <w:lvlText w:val="%1.%2.%3.%4.%5.%6.%7."/>
      <w:lvlJc w:val="left"/>
      <w:pPr>
        <w:ind w:left="7458" w:hanging="1800"/>
      </w:pPr>
      <w:rPr>
        <w:rFonts w:hint="default"/>
      </w:rPr>
    </w:lvl>
    <w:lvl w:ilvl="7">
      <w:start w:val="1"/>
      <w:numFmt w:val="decimal"/>
      <w:lvlText w:val="%1.%2.%3.%4.%5.%6.%7.%8."/>
      <w:lvlJc w:val="left"/>
      <w:pPr>
        <w:ind w:left="8401" w:hanging="1800"/>
      </w:pPr>
      <w:rPr>
        <w:rFonts w:hint="default"/>
      </w:rPr>
    </w:lvl>
    <w:lvl w:ilvl="8">
      <w:start w:val="1"/>
      <w:numFmt w:val="decimal"/>
      <w:lvlText w:val="%1.%2.%3.%4.%5.%6.%7.%8.%9."/>
      <w:lvlJc w:val="left"/>
      <w:pPr>
        <w:ind w:left="9704" w:hanging="2160"/>
      </w:pPr>
      <w:rPr>
        <w:rFonts w:hint="default"/>
      </w:rPr>
    </w:lvl>
  </w:abstractNum>
  <w:abstractNum w:abstractNumId="1" w15:restartNumberingAfterBreak="0">
    <w:nsid w:val="2E02467F"/>
    <w:multiLevelType w:val="hybridMultilevel"/>
    <w:tmpl w:val="06123054"/>
    <w:lvl w:ilvl="0" w:tplc="9F4A6EB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409016E0"/>
    <w:multiLevelType w:val="hybridMultilevel"/>
    <w:tmpl w:val="BB62426A"/>
    <w:lvl w:ilvl="0" w:tplc="47F03C40">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BBC390A"/>
    <w:multiLevelType w:val="multilevel"/>
    <w:tmpl w:val="DA0A2ED4"/>
    <w:lvl w:ilvl="0">
      <w:start w:val="3"/>
      <w:numFmt w:val="decimal"/>
      <w:lvlText w:val="%1."/>
      <w:lvlJc w:val="left"/>
      <w:pPr>
        <w:ind w:left="450" w:hanging="450"/>
      </w:pPr>
      <w:rPr>
        <w:rFonts w:hint="default"/>
      </w:rPr>
    </w:lvl>
    <w:lvl w:ilvl="1">
      <w:start w:val="1"/>
      <w:numFmt w:val="decimal"/>
      <w:lvlText w:val="%1.%2."/>
      <w:lvlJc w:val="left"/>
      <w:pPr>
        <w:ind w:left="1663" w:hanging="720"/>
      </w:pPr>
      <w:rPr>
        <w:rFonts w:hint="default"/>
      </w:rPr>
    </w:lvl>
    <w:lvl w:ilvl="2">
      <w:start w:val="1"/>
      <w:numFmt w:val="decimal"/>
      <w:lvlText w:val="%1.%2.%3."/>
      <w:lvlJc w:val="left"/>
      <w:pPr>
        <w:ind w:left="2606" w:hanging="720"/>
      </w:pPr>
      <w:rPr>
        <w:rFonts w:hint="default"/>
      </w:rPr>
    </w:lvl>
    <w:lvl w:ilvl="3">
      <w:start w:val="1"/>
      <w:numFmt w:val="decimal"/>
      <w:lvlText w:val="%1.%2.%3.%4."/>
      <w:lvlJc w:val="left"/>
      <w:pPr>
        <w:ind w:left="3909" w:hanging="1080"/>
      </w:pPr>
      <w:rPr>
        <w:rFonts w:hint="default"/>
      </w:rPr>
    </w:lvl>
    <w:lvl w:ilvl="4">
      <w:start w:val="1"/>
      <w:numFmt w:val="decimal"/>
      <w:lvlText w:val="%1.%2.%3.%4.%5."/>
      <w:lvlJc w:val="left"/>
      <w:pPr>
        <w:ind w:left="4852" w:hanging="1080"/>
      </w:pPr>
      <w:rPr>
        <w:rFonts w:hint="default"/>
      </w:rPr>
    </w:lvl>
    <w:lvl w:ilvl="5">
      <w:start w:val="1"/>
      <w:numFmt w:val="decimal"/>
      <w:lvlText w:val="%1.%2.%3.%4.%5.%6."/>
      <w:lvlJc w:val="left"/>
      <w:pPr>
        <w:ind w:left="6155" w:hanging="1440"/>
      </w:pPr>
      <w:rPr>
        <w:rFonts w:hint="default"/>
      </w:rPr>
    </w:lvl>
    <w:lvl w:ilvl="6">
      <w:start w:val="1"/>
      <w:numFmt w:val="decimal"/>
      <w:lvlText w:val="%1.%2.%3.%4.%5.%6.%7."/>
      <w:lvlJc w:val="left"/>
      <w:pPr>
        <w:ind w:left="7458" w:hanging="1800"/>
      </w:pPr>
      <w:rPr>
        <w:rFonts w:hint="default"/>
      </w:rPr>
    </w:lvl>
    <w:lvl w:ilvl="7">
      <w:start w:val="1"/>
      <w:numFmt w:val="decimal"/>
      <w:lvlText w:val="%1.%2.%3.%4.%5.%6.%7.%8."/>
      <w:lvlJc w:val="left"/>
      <w:pPr>
        <w:ind w:left="8401" w:hanging="1800"/>
      </w:pPr>
      <w:rPr>
        <w:rFonts w:hint="default"/>
      </w:rPr>
    </w:lvl>
    <w:lvl w:ilvl="8">
      <w:start w:val="1"/>
      <w:numFmt w:val="decimal"/>
      <w:lvlText w:val="%1.%2.%3.%4.%5.%6.%7.%8.%9."/>
      <w:lvlJc w:val="left"/>
      <w:pPr>
        <w:ind w:left="9704" w:hanging="2160"/>
      </w:pPr>
      <w:rPr>
        <w:rFonts w:hint="default"/>
      </w:rPr>
    </w:lvl>
  </w:abstractNum>
  <w:abstractNum w:abstractNumId="5" w15:restartNumberingAfterBreak="0">
    <w:nsid w:val="60171B5A"/>
    <w:multiLevelType w:val="hybridMultilevel"/>
    <w:tmpl w:val="0106A4CE"/>
    <w:lvl w:ilvl="0" w:tplc="EFDEDD60">
      <w:start w:val="1"/>
      <w:numFmt w:val="decimal"/>
      <w:lvlText w:val="%1)"/>
      <w:lvlJc w:val="left"/>
      <w:pPr>
        <w:ind w:left="2007" w:hanging="360"/>
      </w:pPr>
      <w:rPr>
        <w:sz w:val="28"/>
        <w:szCs w:val="28"/>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6" w15:restartNumberingAfterBreak="0">
    <w:nsid w:val="6E952A6F"/>
    <w:multiLevelType w:val="hybridMultilevel"/>
    <w:tmpl w:val="030E8B10"/>
    <w:lvl w:ilvl="0" w:tplc="0C02FBC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744B3747"/>
    <w:multiLevelType w:val="hybridMultilevel"/>
    <w:tmpl w:val="447A80D0"/>
    <w:lvl w:ilvl="0" w:tplc="304EA4A2">
      <w:start w:val="1"/>
      <w:numFmt w:val="decimal"/>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num w:numId="1" w16cid:durableId="1685011313">
    <w:abstractNumId w:val="2"/>
  </w:num>
  <w:num w:numId="2" w16cid:durableId="1449472684">
    <w:abstractNumId w:val="1"/>
  </w:num>
  <w:num w:numId="3" w16cid:durableId="2067795493">
    <w:abstractNumId w:val="3"/>
  </w:num>
  <w:num w:numId="4" w16cid:durableId="2125687593">
    <w:abstractNumId w:val="6"/>
  </w:num>
  <w:num w:numId="5" w16cid:durableId="1184515351">
    <w:abstractNumId w:val="5"/>
  </w:num>
  <w:num w:numId="6" w16cid:durableId="313340278">
    <w:abstractNumId w:val="7"/>
  </w:num>
  <w:num w:numId="7" w16cid:durableId="1954631248">
    <w:abstractNumId w:val="4"/>
  </w:num>
  <w:num w:numId="8" w16cid:durableId="1009483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736"/>
    <w:rsid w:val="000B0977"/>
    <w:rsid w:val="000B2DFA"/>
    <w:rsid w:val="000B3133"/>
    <w:rsid w:val="00136C3D"/>
    <w:rsid w:val="0017732C"/>
    <w:rsid w:val="001D2C7D"/>
    <w:rsid w:val="00256F69"/>
    <w:rsid w:val="002C4005"/>
    <w:rsid w:val="003142C9"/>
    <w:rsid w:val="003C7EA3"/>
    <w:rsid w:val="003D32C9"/>
    <w:rsid w:val="004E6285"/>
    <w:rsid w:val="004E6423"/>
    <w:rsid w:val="004F7AFD"/>
    <w:rsid w:val="005C692E"/>
    <w:rsid w:val="007541AD"/>
    <w:rsid w:val="00763DF0"/>
    <w:rsid w:val="007D6F3A"/>
    <w:rsid w:val="008A40E4"/>
    <w:rsid w:val="00A74C8C"/>
    <w:rsid w:val="00B01692"/>
    <w:rsid w:val="00B16410"/>
    <w:rsid w:val="00B96239"/>
    <w:rsid w:val="00BB0BB5"/>
    <w:rsid w:val="00C97182"/>
    <w:rsid w:val="00D22717"/>
    <w:rsid w:val="00D56900"/>
    <w:rsid w:val="00D800F9"/>
    <w:rsid w:val="00DC5CCD"/>
    <w:rsid w:val="00E072CD"/>
    <w:rsid w:val="00E91736"/>
    <w:rsid w:val="00F8275A"/>
    <w:rsid w:val="00FD5C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99D0A"/>
  <w15:chartTrackingRefBased/>
  <w15:docId w15:val="{ED1BA24F-7A3A-4D97-9E34-7739B0C56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7182"/>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7182"/>
    <w:pPr>
      <w:ind w:left="720"/>
      <w:contextualSpacing/>
    </w:pPr>
  </w:style>
  <w:style w:type="character" w:styleId="a4">
    <w:name w:val="Hyperlink"/>
    <w:basedOn w:val="a0"/>
    <w:uiPriority w:val="99"/>
    <w:unhideWhenUsed/>
    <w:rsid w:val="00C97182"/>
    <w:rPr>
      <w:color w:val="0000FF"/>
      <w:u w:val="single"/>
    </w:rPr>
  </w:style>
  <w:style w:type="paragraph" w:styleId="a5">
    <w:name w:val="Normal (Web)"/>
    <w:basedOn w:val="a"/>
    <w:rsid w:val="00C9718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2C4005"/>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C4005"/>
    <w:rPr>
      <w:rFonts w:ascii="Segoe UI" w:hAnsi="Segoe UI" w:cs="Segoe UI"/>
      <w:sz w:val="18"/>
      <w:szCs w:val="18"/>
      <w:lang w:val="ru-RU"/>
    </w:rPr>
  </w:style>
  <w:style w:type="paragraph" w:styleId="a8">
    <w:name w:val="header"/>
    <w:basedOn w:val="a"/>
    <w:link w:val="a9"/>
    <w:uiPriority w:val="99"/>
    <w:unhideWhenUsed/>
    <w:rsid w:val="00763DF0"/>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763DF0"/>
    <w:rPr>
      <w:lang w:val="ru-RU"/>
    </w:rPr>
  </w:style>
  <w:style w:type="paragraph" w:styleId="aa">
    <w:name w:val="footer"/>
    <w:basedOn w:val="a"/>
    <w:link w:val="ab"/>
    <w:uiPriority w:val="99"/>
    <w:unhideWhenUsed/>
    <w:rsid w:val="00763DF0"/>
    <w:pPr>
      <w:tabs>
        <w:tab w:val="center" w:pos="4819"/>
        <w:tab w:val="right" w:pos="9639"/>
      </w:tabs>
      <w:spacing w:after="0" w:line="240" w:lineRule="auto"/>
    </w:pPr>
  </w:style>
  <w:style w:type="character" w:customStyle="1" w:styleId="ab">
    <w:name w:val="Нижній колонтитул Знак"/>
    <w:basedOn w:val="a0"/>
    <w:link w:val="aa"/>
    <w:uiPriority w:val="99"/>
    <w:rsid w:val="00763DF0"/>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hyperlink" Target="https://zakon.rada.gov.ua/laws/show/2939-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657-1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onitoring_E@nerc.gov.ua" TargetMode="External"/><Relationship Id="rId4" Type="http://schemas.openxmlformats.org/officeDocument/2006/relationships/webSettings" Target="webSettings.xml"/><Relationship Id="rId9" Type="http://schemas.openxmlformats.org/officeDocument/2006/relationships/hyperlink" Target="https://zakon.rada.gov.ua/laws/show/2939-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8</Pages>
  <Words>9400</Words>
  <Characters>5358</Characters>
  <Application>Microsoft Office Word</Application>
  <DocSecurity>0</DocSecurity>
  <Lines>44</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LM 019</cp:lastModifiedBy>
  <cp:revision>27</cp:revision>
  <dcterms:created xsi:type="dcterms:W3CDTF">2019-07-08T06:55:00Z</dcterms:created>
  <dcterms:modified xsi:type="dcterms:W3CDTF">2024-09-23T13:48:00Z</dcterms:modified>
</cp:coreProperties>
</file>