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BDF519E" w14:textId="306AA7D5" w:rsidR="005D4EE3" w:rsidRPr="00C6661D" w:rsidRDefault="004A58E9" w:rsidP="008141BB">
      <w:pPr>
        <w:spacing w:line="240" w:lineRule="auto"/>
        <w:contextualSpacing/>
        <w:jc w:val="center"/>
        <w:rPr>
          <w:rFonts w:ascii="Times New Roman" w:eastAsia="Times New Roman" w:hAnsi="Times New Roman" w:cs="Times New Roman"/>
          <w:b/>
          <w:i/>
          <w:sz w:val="24"/>
          <w:szCs w:val="24"/>
          <w:lang w:val="uk-UA"/>
        </w:rPr>
      </w:pPr>
      <w:r w:rsidRPr="00112D53">
        <w:rPr>
          <w:rFonts w:ascii="Times New Roman" w:hAnsi="Times New Roman" w:cs="Times New Roman"/>
          <w:b/>
          <w:bCs/>
          <w:sz w:val="24"/>
          <w:szCs w:val="24"/>
          <w:lang w:val="uk-UA" w:eastAsia="ru-RU"/>
        </w:rPr>
        <w:t xml:space="preserve">Узагальнені зауваження та пропозиції до проєкту рішення НКРЕКП, що має ознаки регуляторного </w:t>
      </w:r>
      <w:proofErr w:type="spellStart"/>
      <w:r w:rsidRPr="00112D53">
        <w:rPr>
          <w:rFonts w:ascii="Times New Roman" w:hAnsi="Times New Roman" w:cs="Times New Roman"/>
          <w:b/>
          <w:bCs/>
          <w:sz w:val="24"/>
          <w:szCs w:val="24"/>
          <w:lang w:val="uk-UA" w:eastAsia="ru-RU"/>
        </w:rPr>
        <w:t>акта</w:t>
      </w:r>
      <w:proofErr w:type="spellEnd"/>
      <w:r w:rsidRPr="00112D53">
        <w:rPr>
          <w:rFonts w:ascii="Times New Roman" w:hAnsi="Times New Roman" w:cs="Times New Roman"/>
          <w:b/>
          <w:bCs/>
          <w:sz w:val="24"/>
          <w:szCs w:val="24"/>
          <w:lang w:val="uk-UA" w:eastAsia="ru-RU"/>
        </w:rPr>
        <w:t>, - постанови НКРЕКП «</w:t>
      </w:r>
      <w:r w:rsidR="00FE3745" w:rsidRPr="00FE3745">
        <w:rPr>
          <w:rFonts w:ascii="Times New Roman" w:hAnsi="Times New Roman" w:cs="Times New Roman"/>
          <w:b/>
          <w:bCs/>
          <w:sz w:val="24"/>
          <w:szCs w:val="24"/>
          <w:lang w:val="uk-UA" w:eastAsia="ru-RU"/>
        </w:rPr>
        <w:t>Про внесення змін до постанови Національної комісії, що здійснює державне регулювання у сферах енергетики та комунальних послуг, від 15 жовтня 2015 року № 2585</w:t>
      </w:r>
      <w:r w:rsidRPr="00112D53">
        <w:rPr>
          <w:rFonts w:ascii="Times New Roman" w:hAnsi="Times New Roman" w:cs="Times New Roman"/>
          <w:b/>
          <w:bCs/>
          <w:sz w:val="24"/>
          <w:szCs w:val="24"/>
          <w:lang w:val="uk-UA" w:eastAsia="ru-RU"/>
        </w:rPr>
        <w:t xml:space="preserve">», які були отримані від </w:t>
      </w:r>
      <w:r w:rsidR="00C6661D" w:rsidRPr="00C6661D">
        <w:rPr>
          <w:rFonts w:ascii="Times New Roman" w:eastAsia="Times New Roman" w:hAnsi="Times New Roman" w:cs="Times New Roman"/>
          <w:b/>
          <w:i/>
          <w:sz w:val="24"/>
          <w:szCs w:val="24"/>
          <w:lang w:val="uk-UA"/>
        </w:rPr>
        <w:t>Комунальн</w:t>
      </w:r>
      <w:r w:rsidR="00C6661D">
        <w:rPr>
          <w:rFonts w:ascii="Times New Roman" w:eastAsia="Times New Roman" w:hAnsi="Times New Roman" w:cs="Times New Roman"/>
          <w:b/>
          <w:i/>
          <w:sz w:val="24"/>
          <w:szCs w:val="24"/>
          <w:lang w:val="uk-UA"/>
        </w:rPr>
        <w:t>ого</w:t>
      </w:r>
      <w:r w:rsidR="00C6661D" w:rsidRPr="00C6661D">
        <w:rPr>
          <w:rFonts w:ascii="Times New Roman" w:eastAsia="Times New Roman" w:hAnsi="Times New Roman" w:cs="Times New Roman"/>
          <w:b/>
          <w:i/>
          <w:sz w:val="24"/>
          <w:szCs w:val="24"/>
          <w:lang w:val="uk-UA"/>
        </w:rPr>
        <w:t xml:space="preserve"> підприємств</w:t>
      </w:r>
      <w:r w:rsidR="00C6661D">
        <w:rPr>
          <w:rFonts w:ascii="Times New Roman" w:eastAsia="Times New Roman" w:hAnsi="Times New Roman" w:cs="Times New Roman"/>
          <w:b/>
          <w:i/>
          <w:sz w:val="24"/>
          <w:szCs w:val="24"/>
          <w:lang w:val="uk-UA"/>
        </w:rPr>
        <w:t>а</w:t>
      </w:r>
      <w:r w:rsidR="00C6661D" w:rsidRPr="00C6661D">
        <w:rPr>
          <w:rFonts w:ascii="Times New Roman" w:eastAsia="Times New Roman" w:hAnsi="Times New Roman" w:cs="Times New Roman"/>
          <w:b/>
          <w:i/>
          <w:sz w:val="24"/>
          <w:szCs w:val="24"/>
          <w:lang w:val="uk-UA"/>
        </w:rPr>
        <w:t xml:space="preserve"> виконавчого органу Київради (Київської міської державної адміністрації) «</w:t>
      </w:r>
      <w:proofErr w:type="spellStart"/>
      <w:r w:rsidR="00C6661D" w:rsidRPr="00C6661D">
        <w:rPr>
          <w:rFonts w:ascii="Times New Roman" w:eastAsia="Times New Roman" w:hAnsi="Times New Roman" w:cs="Times New Roman"/>
          <w:b/>
          <w:i/>
          <w:sz w:val="24"/>
          <w:szCs w:val="24"/>
          <w:lang w:val="uk-UA"/>
        </w:rPr>
        <w:t>Київтеплоенерго</w:t>
      </w:r>
      <w:proofErr w:type="spellEnd"/>
      <w:r w:rsidR="00C6661D" w:rsidRPr="00C6661D">
        <w:rPr>
          <w:rFonts w:ascii="Times New Roman" w:eastAsia="Times New Roman" w:hAnsi="Times New Roman" w:cs="Times New Roman"/>
          <w:b/>
          <w:i/>
          <w:sz w:val="24"/>
          <w:szCs w:val="24"/>
          <w:lang w:val="uk-UA"/>
        </w:rPr>
        <w:t>»</w:t>
      </w:r>
    </w:p>
    <w:p w14:paraId="514AF06A" w14:textId="77777777" w:rsidR="003E3681" w:rsidRDefault="003E3681" w:rsidP="003B196F">
      <w:pPr>
        <w:spacing w:line="240" w:lineRule="auto"/>
        <w:contextualSpacing/>
        <w:jc w:val="both"/>
        <w:rPr>
          <w:rFonts w:ascii="Times New Roman" w:eastAsia="Times New Roman" w:hAnsi="Times New Roman" w:cs="Times New Roman"/>
          <w:b/>
          <w:sz w:val="24"/>
          <w:szCs w:val="24"/>
          <w:lang w:val="uk-UA"/>
        </w:rPr>
      </w:pPr>
    </w:p>
    <w:p w14:paraId="42F6006E" w14:textId="77777777" w:rsidR="00A73748" w:rsidRPr="00112D53" w:rsidRDefault="00A73748" w:rsidP="003B196F">
      <w:pPr>
        <w:spacing w:line="240" w:lineRule="auto"/>
        <w:contextualSpacing/>
        <w:jc w:val="both"/>
        <w:rPr>
          <w:rFonts w:ascii="Times New Roman" w:eastAsia="Times New Roman" w:hAnsi="Times New Roman" w:cs="Times New Roman"/>
          <w:b/>
          <w:sz w:val="24"/>
          <w:szCs w:val="24"/>
          <w:lang w:val="uk-UA"/>
        </w:rPr>
      </w:pPr>
    </w:p>
    <w:tbl>
      <w:tblPr>
        <w:tblStyle w:val="a5"/>
        <w:tblW w:w="14591"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19"/>
        <w:gridCol w:w="5528"/>
        <w:gridCol w:w="3544"/>
      </w:tblGrid>
      <w:tr w:rsidR="00E11E1C" w:rsidRPr="000132EA" w14:paraId="3D366932" w14:textId="77777777" w:rsidTr="005B1B77">
        <w:trPr>
          <w:trHeight w:val="1332"/>
          <w:jc w:val="center"/>
        </w:trPr>
        <w:tc>
          <w:tcPr>
            <w:tcW w:w="5519" w:type="dxa"/>
            <w:shd w:val="clear" w:color="auto" w:fill="auto"/>
            <w:tcMar>
              <w:top w:w="100" w:type="dxa"/>
              <w:left w:w="100" w:type="dxa"/>
              <w:bottom w:w="100" w:type="dxa"/>
              <w:right w:w="100" w:type="dxa"/>
            </w:tcMar>
            <w:vAlign w:val="center"/>
          </w:tcPr>
          <w:p w14:paraId="727B4157" w14:textId="77777777" w:rsidR="005D4EE3" w:rsidRPr="003B0F3E" w:rsidRDefault="004A58E9" w:rsidP="003B196F">
            <w:pPr>
              <w:spacing w:line="240" w:lineRule="auto"/>
              <w:contextualSpacing/>
              <w:jc w:val="center"/>
              <w:rPr>
                <w:rFonts w:ascii="Times New Roman" w:hAnsi="Times New Roman" w:cs="Times New Roman"/>
                <w:b/>
                <w:bCs/>
                <w:sz w:val="24"/>
                <w:szCs w:val="24"/>
                <w:lang w:val="uk-UA" w:eastAsia="ru-RU"/>
              </w:rPr>
            </w:pPr>
            <w:r w:rsidRPr="00112D53">
              <w:rPr>
                <w:rFonts w:ascii="Times New Roman" w:hAnsi="Times New Roman" w:cs="Times New Roman"/>
                <w:b/>
                <w:bCs/>
                <w:sz w:val="24"/>
                <w:szCs w:val="24"/>
                <w:lang w:val="uk-UA" w:eastAsia="ru-RU"/>
              </w:rPr>
              <w:t>Редакція проєкту рішення НКРЕКП</w:t>
            </w:r>
          </w:p>
        </w:tc>
        <w:tc>
          <w:tcPr>
            <w:tcW w:w="5528" w:type="dxa"/>
            <w:shd w:val="clear" w:color="auto" w:fill="auto"/>
            <w:tcMar>
              <w:top w:w="100" w:type="dxa"/>
              <w:left w:w="100" w:type="dxa"/>
              <w:bottom w:w="100" w:type="dxa"/>
              <w:right w:w="100" w:type="dxa"/>
            </w:tcMar>
            <w:vAlign w:val="center"/>
          </w:tcPr>
          <w:p w14:paraId="7D86AE72" w14:textId="77777777" w:rsidR="005D4EE3" w:rsidRPr="003B0F3E" w:rsidRDefault="004A58E9" w:rsidP="003B196F">
            <w:pPr>
              <w:spacing w:line="240" w:lineRule="auto"/>
              <w:contextualSpacing/>
              <w:jc w:val="center"/>
              <w:rPr>
                <w:rFonts w:ascii="Times New Roman" w:hAnsi="Times New Roman" w:cs="Times New Roman"/>
                <w:b/>
                <w:bCs/>
                <w:sz w:val="24"/>
                <w:szCs w:val="24"/>
                <w:lang w:val="uk-UA" w:eastAsia="ru-RU"/>
              </w:rPr>
            </w:pPr>
            <w:r w:rsidRPr="00112D53">
              <w:rPr>
                <w:rFonts w:ascii="Times New Roman" w:hAnsi="Times New Roman" w:cs="Times New Roman"/>
                <w:b/>
                <w:bCs/>
                <w:sz w:val="24"/>
                <w:szCs w:val="24"/>
                <w:lang w:val="uk-UA" w:eastAsia="ru-RU"/>
              </w:rPr>
              <w:t>Зауваження та пропозиції</w:t>
            </w:r>
            <w:r w:rsidR="003B0F3E" w:rsidRPr="003B0F3E">
              <w:rPr>
                <w:rFonts w:ascii="Times New Roman" w:hAnsi="Times New Roman" w:cs="Times New Roman"/>
                <w:b/>
                <w:bCs/>
                <w:sz w:val="24"/>
                <w:szCs w:val="24"/>
                <w:lang w:val="ru-RU" w:eastAsia="ru-RU"/>
              </w:rPr>
              <w:t xml:space="preserve"> </w:t>
            </w:r>
            <w:r w:rsidRPr="00112D53">
              <w:rPr>
                <w:rFonts w:ascii="Times New Roman" w:hAnsi="Times New Roman" w:cs="Times New Roman"/>
                <w:b/>
                <w:bCs/>
                <w:sz w:val="24"/>
                <w:szCs w:val="24"/>
                <w:lang w:val="uk-UA" w:eastAsia="ru-RU"/>
              </w:rPr>
              <w:t>до проєкту рішення НКРЕКП</w:t>
            </w:r>
          </w:p>
        </w:tc>
        <w:tc>
          <w:tcPr>
            <w:tcW w:w="3544" w:type="dxa"/>
            <w:shd w:val="clear" w:color="auto" w:fill="auto"/>
            <w:tcMar>
              <w:top w:w="100" w:type="dxa"/>
              <w:left w:w="100" w:type="dxa"/>
              <w:bottom w:w="100" w:type="dxa"/>
              <w:right w:w="100" w:type="dxa"/>
            </w:tcMar>
            <w:vAlign w:val="center"/>
          </w:tcPr>
          <w:p w14:paraId="32DF57C2" w14:textId="77777777" w:rsidR="005D4EE3" w:rsidRPr="00112D53" w:rsidRDefault="00EB18EC" w:rsidP="003B196F">
            <w:pPr>
              <w:widowControl w:val="0"/>
              <w:pBdr>
                <w:top w:val="nil"/>
                <w:left w:val="nil"/>
                <w:bottom w:val="nil"/>
                <w:right w:val="nil"/>
                <w:between w:val="nil"/>
              </w:pBdr>
              <w:spacing w:line="240" w:lineRule="auto"/>
              <w:contextualSpacing/>
              <w:jc w:val="center"/>
              <w:rPr>
                <w:rFonts w:ascii="Times New Roman" w:eastAsia="Times New Roman" w:hAnsi="Times New Roman" w:cs="Times New Roman"/>
                <w:b/>
                <w:sz w:val="24"/>
                <w:szCs w:val="24"/>
                <w:lang w:val="uk-UA"/>
              </w:rPr>
            </w:pPr>
            <w:r w:rsidRPr="00112D53">
              <w:rPr>
                <w:rFonts w:ascii="Times New Roman" w:hAnsi="Times New Roman" w:cs="Times New Roman"/>
                <w:b/>
                <w:bCs/>
                <w:sz w:val="24"/>
                <w:szCs w:val="24"/>
                <w:lang w:val="uk-UA" w:eastAsia="ru-RU"/>
              </w:rPr>
              <w:t>Попередня позиція НКРЕКП щодо наданих зауважень та пропозицій з обґрунтуванням щодо прийняття або відхилення</w:t>
            </w:r>
          </w:p>
        </w:tc>
      </w:tr>
      <w:tr w:rsidR="005B1B77" w:rsidRPr="00112D53" w14:paraId="6793E92E" w14:textId="77777777" w:rsidTr="00E92AD6">
        <w:trPr>
          <w:trHeight w:val="25"/>
          <w:jc w:val="center"/>
        </w:trPr>
        <w:tc>
          <w:tcPr>
            <w:tcW w:w="14591" w:type="dxa"/>
            <w:gridSpan w:val="3"/>
            <w:shd w:val="clear" w:color="auto" w:fill="auto"/>
            <w:tcMar>
              <w:top w:w="100" w:type="dxa"/>
              <w:left w:w="100" w:type="dxa"/>
              <w:bottom w:w="100" w:type="dxa"/>
              <w:right w:w="100" w:type="dxa"/>
            </w:tcMar>
          </w:tcPr>
          <w:p w14:paraId="0285F1A5" w14:textId="70BA1F09" w:rsidR="005B1B77" w:rsidRPr="00BA04BC" w:rsidRDefault="00BA04BC" w:rsidP="003B196F">
            <w:pPr>
              <w:spacing w:line="240" w:lineRule="auto"/>
              <w:ind w:firstLine="567"/>
              <w:contextualSpacing/>
              <w:jc w:val="center"/>
              <w:rPr>
                <w:rFonts w:ascii="Times New Roman" w:hAnsi="Times New Roman" w:cs="Times New Roman"/>
                <w:b/>
                <w:bCs/>
                <w:sz w:val="24"/>
                <w:szCs w:val="24"/>
                <w:lang w:val="uk-UA"/>
              </w:rPr>
            </w:pPr>
            <w:r w:rsidRPr="00BA04BC">
              <w:rPr>
                <w:rFonts w:ascii="Times New Roman" w:hAnsi="Times New Roman" w:cs="Times New Roman"/>
                <w:b/>
                <w:bCs/>
                <w:sz w:val="24"/>
                <w:szCs w:val="24"/>
                <w:shd w:val="clear" w:color="auto" w:fill="FFFFFF"/>
                <w:lang w:val="uk-UA"/>
              </w:rPr>
              <w:t>2</w:t>
            </w:r>
            <w:r w:rsidRPr="00FE3745">
              <w:rPr>
                <w:rFonts w:ascii="Times New Roman" w:hAnsi="Times New Roman" w:cs="Times New Roman"/>
                <w:b/>
                <w:bCs/>
                <w:sz w:val="24"/>
                <w:szCs w:val="24"/>
                <w:lang w:val="uk-UA" w:eastAsia="ru-RU"/>
              </w:rPr>
              <w:t xml:space="preserve">. </w:t>
            </w:r>
            <w:r w:rsidR="00FE3745" w:rsidRPr="00FE3745">
              <w:rPr>
                <w:rFonts w:ascii="Times New Roman" w:hAnsi="Times New Roman" w:cs="Times New Roman"/>
                <w:b/>
                <w:sz w:val="24"/>
                <w:szCs w:val="24"/>
                <w:lang w:val="uk-UA" w:eastAsia="ru-RU"/>
              </w:rPr>
              <w:t>Вимоги до інвестиційних програм</w:t>
            </w:r>
          </w:p>
        </w:tc>
      </w:tr>
      <w:tr w:rsidR="00E92AD6" w:rsidRPr="00112D53" w14:paraId="3C129AC5" w14:textId="77777777" w:rsidTr="00E92AD6">
        <w:trPr>
          <w:trHeight w:val="107"/>
          <w:jc w:val="center"/>
        </w:trPr>
        <w:tc>
          <w:tcPr>
            <w:tcW w:w="5519" w:type="dxa"/>
            <w:shd w:val="clear" w:color="auto" w:fill="auto"/>
            <w:tcMar>
              <w:top w:w="100" w:type="dxa"/>
              <w:left w:w="100" w:type="dxa"/>
              <w:bottom w:w="100" w:type="dxa"/>
              <w:right w:w="100" w:type="dxa"/>
            </w:tcMar>
          </w:tcPr>
          <w:p w14:paraId="6C64A3F6" w14:textId="05848729" w:rsidR="002D6AAA" w:rsidRDefault="002D6AAA" w:rsidP="00035A6A">
            <w:pPr>
              <w:shd w:val="clear" w:color="auto" w:fill="FFFFFF"/>
              <w:spacing w:line="240" w:lineRule="auto"/>
              <w:jc w:val="both"/>
              <w:rPr>
                <w:rFonts w:ascii="Times New Roman" w:eastAsia="Times New Roman" w:hAnsi="Times New Roman" w:cs="Times New Roman"/>
                <w:sz w:val="24"/>
                <w:szCs w:val="24"/>
                <w:lang w:val="uk-UA" w:eastAsia="uk-UA"/>
              </w:rPr>
            </w:pPr>
          </w:p>
          <w:p w14:paraId="4841E0D3" w14:textId="379E47B2" w:rsidR="00FE3745" w:rsidRDefault="00FE3745" w:rsidP="00035A6A">
            <w:pPr>
              <w:shd w:val="clear" w:color="auto" w:fill="FFFFFF"/>
              <w:spacing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Термін «</w:t>
            </w:r>
            <w:r w:rsidRPr="00AE0BCD">
              <w:rPr>
                <w:rFonts w:ascii="Times New Roman" w:eastAsia="Times New Roman" w:hAnsi="Times New Roman" w:cs="Times New Roman"/>
                <w:b/>
                <w:sz w:val="24"/>
                <w:szCs w:val="24"/>
                <w:lang w:val="uk-UA" w:eastAsia="uk-UA"/>
              </w:rPr>
              <w:t>технічне переоснащення</w:t>
            </w:r>
            <w:r>
              <w:rPr>
                <w:rFonts w:ascii="Times New Roman" w:eastAsia="Times New Roman" w:hAnsi="Times New Roman" w:cs="Times New Roman"/>
                <w:sz w:val="24"/>
                <w:szCs w:val="24"/>
                <w:lang w:val="uk-UA" w:eastAsia="uk-UA"/>
              </w:rPr>
              <w:t>» в тексті Порядку</w:t>
            </w:r>
          </w:p>
          <w:p w14:paraId="0FF4252F" w14:textId="24433D90" w:rsidR="00FE3745" w:rsidRDefault="00FE3745" w:rsidP="00035A6A">
            <w:pPr>
              <w:shd w:val="clear" w:color="auto" w:fill="FFFFFF"/>
              <w:spacing w:line="240" w:lineRule="auto"/>
              <w:jc w:val="both"/>
              <w:rPr>
                <w:rFonts w:ascii="Times New Roman" w:eastAsia="Times New Roman" w:hAnsi="Times New Roman" w:cs="Times New Roman"/>
                <w:sz w:val="24"/>
                <w:szCs w:val="24"/>
                <w:lang w:val="uk-UA" w:eastAsia="uk-UA"/>
              </w:rPr>
            </w:pPr>
          </w:p>
          <w:p w14:paraId="429D8DB6" w14:textId="31525523" w:rsidR="00FE3745" w:rsidRDefault="00FE3745" w:rsidP="00035A6A">
            <w:pPr>
              <w:shd w:val="clear" w:color="auto" w:fill="FFFFFF"/>
              <w:spacing w:line="240" w:lineRule="auto"/>
              <w:jc w:val="both"/>
              <w:rPr>
                <w:rFonts w:ascii="Times New Roman" w:eastAsia="Times New Roman" w:hAnsi="Times New Roman" w:cs="Times New Roman"/>
                <w:sz w:val="24"/>
                <w:szCs w:val="24"/>
                <w:lang w:val="uk-UA" w:eastAsia="uk-UA"/>
              </w:rPr>
            </w:pPr>
          </w:p>
          <w:p w14:paraId="3E98E746" w14:textId="0AED2DD1" w:rsidR="00FE3745" w:rsidRDefault="00FE3745" w:rsidP="00035A6A">
            <w:pPr>
              <w:shd w:val="clear" w:color="auto" w:fill="FFFFFF"/>
              <w:spacing w:line="240" w:lineRule="auto"/>
              <w:jc w:val="both"/>
              <w:rPr>
                <w:rFonts w:ascii="Times New Roman" w:eastAsia="Times New Roman" w:hAnsi="Times New Roman" w:cs="Times New Roman"/>
                <w:sz w:val="24"/>
                <w:szCs w:val="24"/>
                <w:lang w:val="uk-UA" w:eastAsia="uk-UA"/>
              </w:rPr>
            </w:pPr>
          </w:p>
          <w:p w14:paraId="4803660B" w14:textId="77777777" w:rsidR="00FE3745" w:rsidRDefault="00FE3745" w:rsidP="00035A6A">
            <w:pPr>
              <w:shd w:val="clear" w:color="auto" w:fill="FFFFFF"/>
              <w:spacing w:line="240" w:lineRule="auto"/>
              <w:jc w:val="both"/>
              <w:rPr>
                <w:rFonts w:ascii="Times New Roman" w:eastAsia="Times New Roman" w:hAnsi="Times New Roman" w:cs="Times New Roman"/>
                <w:sz w:val="24"/>
                <w:szCs w:val="24"/>
                <w:lang w:val="uk-UA" w:eastAsia="uk-UA"/>
              </w:rPr>
            </w:pPr>
          </w:p>
          <w:p w14:paraId="064CD2DB" w14:textId="23B74A66" w:rsidR="00E92AD6" w:rsidRPr="005B66AD" w:rsidRDefault="00E92AD6" w:rsidP="005B66AD">
            <w:pPr>
              <w:shd w:val="clear" w:color="auto" w:fill="FFFFFF"/>
              <w:spacing w:line="240" w:lineRule="auto"/>
              <w:ind w:right="40"/>
              <w:jc w:val="both"/>
              <w:rPr>
                <w:rFonts w:ascii="Times New Roman" w:eastAsia="Times New Roman" w:hAnsi="Times New Roman" w:cs="Times New Roman"/>
                <w:sz w:val="24"/>
                <w:szCs w:val="24"/>
                <w:lang w:val="uk-UA" w:eastAsia="uk-UA"/>
              </w:rPr>
            </w:pPr>
          </w:p>
        </w:tc>
        <w:tc>
          <w:tcPr>
            <w:tcW w:w="5528" w:type="dxa"/>
            <w:shd w:val="clear" w:color="auto" w:fill="auto"/>
          </w:tcPr>
          <w:p w14:paraId="459E7A21" w14:textId="1915AD8A" w:rsidR="00FE3745" w:rsidRDefault="00FE3745" w:rsidP="00035A6A">
            <w:pPr>
              <w:shd w:val="clear" w:color="auto" w:fill="FFFFFF"/>
              <w:spacing w:line="240" w:lineRule="auto"/>
              <w:ind w:right="46"/>
              <w:jc w:val="both"/>
              <w:rPr>
                <w:rFonts w:ascii="Times New Roman" w:eastAsia="Times New Roman" w:hAnsi="Times New Roman" w:cs="Times New Roman"/>
                <w:i/>
                <w:sz w:val="24"/>
                <w:szCs w:val="24"/>
                <w:lang w:val="uk-UA"/>
              </w:rPr>
            </w:pPr>
            <w:r w:rsidRPr="00C6661D">
              <w:rPr>
                <w:rFonts w:ascii="Times New Roman" w:eastAsia="Times New Roman" w:hAnsi="Times New Roman" w:cs="Times New Roman"/>
                <w:i/>
                <w:sz w:val="24"/>
                <w:szCs w:val="24"/>
                <w:lang w:val="uk-UA"/>
              </w:rPr>
              <w:t>Комунальне підприємство виконавчого органу Київради (Київської міської державної адміністрації) «</w:t>
            </w:r>
            <w:proofErr w:type="spellStart"/>
            <w:r w:rsidRPr="00C6661D">
              <w:rPr>
                <w:rFonts w:ascii="Times New Roman" w:eastAsia="Times New Roman" w:hAnsi="Times New Roman" w:cs="Times New Roman"/>
                <w:i/>
                <w:sz w:val="24"/>
                <w:szCs w:val="24"/>
                <w:lang w:val="uk-UA"/>
              </w:rPr>
              <w:t>Київтеплоенерго</w:t>
            </w:r>
            <w:proofErr w:type="spellEnd"/>
            <w:r w:rsidRPr="00C6661D">
              <w:rPr>
                <w:rFonts w:ascii="Times New Roman" w:eastAsia="Times New Roman" w:hAnsi="Times New Roman" w:cs="Times New Roman"/>
                <w:i/>
                <w:sz w:val="24"/>
                <w:szCs w:val="24"/>
                <w:lang w:val="uk-UA"/>
              </w:rPr>
              <w:t>»</w:t>
            </w:r>
            <w:r w:rsidRPr="00C869B7">
              <w:rPr>
                <w:rFonts w:ascii="Times New Roman" w:eastAsia="Times New Roman" w:hAnsi="Times New Roman" w:cs="Times New Roman"/>
                <w:i/>
                <w:sz w:val="24"/>
                <w:szCs w:val="24"/>
                <w:lang w:val="uk-UA"/>
              </w:rPr>
              <w:t xml:space="preserve"> пропонує</w:t>
            </w:r>
            <w:r>
              <w:rPr>
                <w:rFonts w:ascii="Times New Roman" w:eastAsia="Times New Roman" w:hAnsi="Times New Roman" w:cs="Times New Roman"/>
                <w:i/>
                <w:sz w:val="24"/>
                <w:szCs w:val="24"/>
                <w:lang w:val="uk-UA"/>
              </w:rPr>
              <w:t xml:space="preserve"> термін «технічне переоснащення» в тексті Порядку</w:t>
            </w:r>
            <w:r w:rsidR="0048293F" w:rsidRPr="000B53B8">
              <w:rPr>
                <w:rFonts w:ascii="Times New Roman" w:hAnsi="Times New Roman" w:cs="Times New Roman"/>
                <w:bCs/>
                <w:sz w:val="24"/>
                <w:szCs w:val="24"/>
                <w:shd w:val="clear" w:color="auto" w:fill="FFFFFF"/>
                <w:lang w:val="uk-UA"/>
              </w:rPr>
              <w:t xml:space="preserve"> </w:t>
            </w:r>
            <w:r w:rsidR="0048293F" w:rsidRPr="0048293F">
              <w:rPr>
                <w:rStyle w:val="rvts23"/>
                <w:rFonts w:ascii="Times New Roman" w:hAnsi="Times New Roman" w:cs="Times New Roman"/>
                <w:bCs/>
                <w:i/>
                <w:sz w:val="24"/>
                <w:szCs w:val="24"/>
                <w:shd w:val="clear" w:color="auto" w:fill="FFFFFF"/>
                <w:lang w:val="uk-UA"/>
              </w:rPr>
              <w:t>формування інвестиційних програм ліцензіатів з виробництва електричної та теплової енергії на теплоелектроцентралях та когенераційних установках</w:t>
            </w:r>
            <w:r>
              <w:rPr>
                <w:rFonts w:ascii="Times New Roman" w:eastAsia="Times New Roman" w:hAnsi="Times New Roman" w:cs="Times New Roman"/>
                <w:i/>
                <w:sz w:val="24"/>
                <w:szCs w:val="24"/>
                <w:lang w:val="uk-UA"/>
              </w:rPr>
              <w:t xml:space="preserve"> вилучити.</w:t>
            </w:r>
          </w:p>
          <w:p w14:paraId="686A9AA7" w14:textId="77777777" w:rsidR="00B7577F" w:rsidRPr="005B66AD" w:rsidRDefault="00B7577F" w:rsidP="00035A6A">
            <w:pPr>
              <w:spacing w:line="240" w:lineRule="auto"/>
              <w:ind w:right="46"/>
              <w:contextualSpacing/>
              <w:jc w:val="both"/>
              <w:rPr>
                <w:rFonts w:ascii="Times New Roman" w:eastAsia="Times New Roman" w:hAnsi="Times New Roman" w:cs="Times New Roman"/>
                <w:i/>
                <w:sz w:val="24"/>
                <w:szCs w:val="24"/>
                <w:lang w:val="uk-UA"/>
              </w:rPr>
            </w:pPr>
          </w:p>
          <w:p w14:paraId="3030ACBD" w14:textId="77777777" w:rsidR="00B7577F" w:rsidRPr="005B66AD" w:rsidRDefault="00B7577F" w:rsidP="00035A6A">
            <w:pPr>
              <w:spacing w:line="240" w:lineRule="auto"/>
              <w:ind w:right="46"/>
              <w:contextualSpacing/>
              <w:jc w:val="both"/>
              <w:rPr>
                <w:rFonts w:ascii="Times New Roman" w:eastAsia="Times New Roman" w:hAnsi="Times New Roman" w:cs="Times New Roman"/>
                <w:i/>
                <w:sz w:val="24"/>
                <w:szCs w:val="24"/>
                <w:lang w:val="uk-UA"/>
              </w:rPr>
            </w:pPr>
            <w:r w:rsidRPr="005B66AD">
              <w:rPr>
                <w:rFonts w:ascii="Times New Roman" w:eastAsia="Times New Roman" w:hAnsi="Times New Roman" w:cs="Times New Roman"/>
                <w:i/>
                <w:sz w:val="24"/>
                <w:szCs w:val="24"/>
                <w:lang w:val="uk-UA"/>
              </w:rPr>
              <w:t>Обґрунтування:</w:t>
            </w:r>
          </w:p>
          <w:p w14:paraId="4C41C957" w14:textId="2E202EFC" w:rsidR="00B7577F" w:rsidRPr="005B66AD" w:rsidRDefault="00FE3745" w:rsidP="00035A6A">
            <w:pPr>
              <w:spacing w:line="240" w:lineRule="auto"/>
              <w:ind w:right="4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Приведення термінів у відповідність до законів України «Про регулювання містобудівної діяльності» та «Про архітектурну діяльність»</w:t>
            </w:r>
            <w:r w:rsidR="009F0F40" w:rsidRPr="005B66AD">
              <w:rPr>
                <w:rFonts w:ascii="Times New Roman" w:eastAsia="Times New Roman" w:hAnsi="Times New Roman" w:cs="Times New Roman"/>
                <w:sz w:val="24"/>
                <w:szCs w:val="24"/>
                <w:lang w:val="uk-UA" w:eastAsia="uk-UA"/>
              </w:rPr>
              <w:t>.</w:t>
            </w:r>
          </w:p>
        </w:tc>
        <w:tc>
          <w:tcPr>
            <w:tcW w:w="3544" w:type="dxa"/>
            <w:shd w:val="clear" w:color="auto" w:fill="auto"/>
          </w:tcPr>
          <w:p w14:paraId="6D92906E" w14:textId="77777777" w:rsidR="001871D7" w:rsidRDefault="001871D7" w:rsidP="00B7577F">
            <w:pPr>
              <w:spacing w:line="240" w:lineRule="auto"/>
              <w:contextualSpacing/>
              <w:jc w:val="both"/>
              <w:rPr>
                <w:rFonts w:ascii="Times New Roman" w:eastAsia="Times New Roman" w:hAnsi="Times New Roman" w:cs="Times New Roman"/>
                <w:b/>
                <w:sz w:val="24"/>
                <w:szCs w:val="24"/>
                <w:highlight w:val="green"/>
                <w:lang w:val="uk-UA"/>
              </w:rPr>
            </w:pPr>
          </w:p>
          <w:p w14:paraId="3724AE4D" w14:textId="0DE9DD23" w:rsidR="00943672" w:rsidRPr="001871D7" w:rsidRDefault="00953599" w:rsidP="00B7577F">
            <w:pP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Потребує</w:t>
            </w:r>
            <w:r w:rsidR="005C5202" w:rsidRPr="001871D7">
              <w:rPr>
                <w:rFonts w:ascii="Times New Roman" w:eastAsia="Times New Roman" w:hAnsi="Times New Roman" w:cs="Times New Roman"/>
                <w:b/>
                <w:sz w:val="24"/>
                <w:szCs w:val="24"/>
                <w:lang w:val="uk-UA"/>
              </w:rPr>
              <w:t xml:space="preserve"> обговорення</w:t>
            </w:r>
          </w:p>
          <w:p w14:paraId="3C432FD4" w14:textId="330B764B" w:rsidR="00943672" w:rsidRPr="001871D7" w:rsidRDefault="00943672" w:rsidP="00B7577F">
            <w:pPr>
              <w:spacing w:line="240" w:lineRule="auto"/>
              <w:contextualSpacing/>
              <w:jc w:val="both"/>
              <w:rPr>
                <w:rFonts w:ascii="Times New Roman" w:eastAsia="Times New Roman" w:hAnsi="Times New Roman" w:cs="Times New Roman"/>
                <w:sz w:val="24"/>
                <w:szCs w:val="24"/>
                <w:lang w:val="uk-UA"/>
              </w:rPr>
            </w:pPr>
          </w:p>
          <w:p w14:paraId="29E472BE" w14:textId="391EFDB8" w:rsidR="009E76EC" w:rsidRPr="004438DE" w:rsidRDefault="00642F65" w:rsidP="004438DE">
            <w:pPr>
              <w:spacing w:line="240" w:lineRule="auto"/>
              <w:contextualSpacing/>
              <w:jc w:val="both"/>
              <w:rPr>
                <w:rFonts w:ascii="Times New Roman" w:eastAsia="Times New Roman" w:hAnsi="Times New Roman" w:cs="Times New Roman"/>
                <w:sz w:val="24"/>
                <w:szCs w:val="24"/>
                <w:lang w:val="uk-UA"/>
              </w:rPr>
            </w:pPr>
            <w:r w:rsidRPr="004A118D">
              <w:rPr>
                <w:rFonts w:ascii="Times New Roman" w:eastAsia="Times New Roman" w:hAnsi="Times New Roman" w:cs="Times New Roman"/>
                <w:sz w:val="24"/>
                <w:szCs w:val="24"/>
                <w:lang w:val="uk-UA"/>
              </w:rPr>
              <w:t>В частині</w:t>
            </w:r>
            <w:r w:rsidR="004A118D">
              <w:rPr>
                <w:rFonts w:ascii="Times New Roman" w:eastAsia="Times New Roman" w:hAnsi="Times New Roman" w:cs="Times New Roman"/>
                <w:sz w:val="24"/>
                <w:szCs w:val="24"/>
                <w:lang w:val="uk-UA"/>
              </w:rPr>
              <w:t xml:space="preserve"> доцільності</w:t>
            </w:r>
            <w:r w:rsidRPr="004A118D">
              <w:rPr>
                <w:rFonts w:ascii="Times New Roman" w:eastAsia="Times New Roman" w:hAnsi="Times New Roman" w:cs="Times New Roman"/>
                <w:sz w:val="24"/>
                <w:szCs w:val="24"/>
                <w:lang w:val="uk-UA"/>
              </w:rPr>
              <w:t xml:space="preserve"> використання терміну </w:t>
            </w:r>
            <w:r w:rsidR="004A118D" w:rsidRPr="004A118D">
              <w:rPr>
                <w:rFonts w:ascii="Times New Roman" w:eastAsia="Times New Roman" w:hAnsi="Times New Roman" w:cs="Times New Roman"/>
                <w:sz w:val="24"/>
                <w:szCs w:val="24"/>
                <w:lang w:val="uk-UA" w:eastAsia="uk-UA"/>
              </w:rPr>
              <w:t>«технічне переоснащення»</w:t>
            </w:r>
          </w:p>
        </w:tc>
      </w:tr>
      <w:tr w:rsidR="008C06F0" w:rsidRPr="008C06F0" w14:paraId="2D0A93C6" w14:textId="77777777" w:rsidTr="00E92AD6">
        <w:trPr>
          <w:trHeight w:val="107"/>
          <w:jc w:val="center"/>
        </w:trPr>
        <w:tc>
          <w:tcPr>
            <w:tcW w:w="5519" w:type="dxa"/>
            <w:shd w:val="clear" w:color="auto" w:fill="auto"/>
            <w:tcMar>
              <w:top w:w="100" w:type="dxa"/>
              <w:left w:w="100" w:type="dxa"/>
              <w:bottom w:w="100" w:type="dxa"/>
              <w:right w:w="100" w:type="dxa"/>
            </w:tcMar>
          </w:tcPr>
          <w:p w14:paraId="5ECB0810" w14:textId="77777777" w:rsidR="008C06F0" w:rsidRDefault="008C06F0" w:rsidP="008C06F0">
            <w:pPr>
              <w:pStyle w:val="rvps2"/>
              <w:shd w:val="clear" w:color="auto" w:fill="FFFFFF"/>
              <w:spacing w:before="0" w:beforeAutospacing="0" w:after="0" w:afterAutospacing="0"/>
              <w:ind w:firstLine="448"/>
              <w:jc w:val="both"/>
              <w:rPr>
                <w:lang w:eastAsia="en-US"/>
              </w:rPr>
            </w:pPr>
          </w:p>
          <w:p w14:paraId="7F188F4A" w14:textId="77777777" w:rsidR="008C06F0" w:rsidRDefault="008C06F0" w:rsidP="008C06F0">
            <w:pPr>
              <w:pStyle w:val="rvps2"/>
              <w:shd w:val="clear" w:color="auto" w:fill="FFFFFF"/>
              <w:spacing w:before="0" w:beforeAutospacing="0" w:after="0" w:afterAutospacing="0"/>
              <w:ind w:firstLine="448"/>
              <w:jc w:val="both"/>
              <w:rPr>
                <w:lang w:eastAsia="en-US"/>
              </w:rPr>
            </w:pPr>
          </w:p>
          <w:p w14:paraId="2507094B" w14:textId="77777777" w:rsidR="008C06F0" w:rsidRDefault="008C06F0" w:rsidP="008C06F0">
            <w:pPr>
              <w:pStyle w:val="rvps2"/>
              <w:shd w:val="clear" w:color="auto" w:fill="FFFFFF"/>
              <w:spacing w:before="0" w:beforeAutospacing="0" w:after="0" w:afterAutospacing="0"/>
              <w:ind w:firstLine="448"/>
              <w:jc w:val="both"/>
              <w:rPr>
                <w:lang w:eastAsia="en-US"/>
              </w:rPr>
            </w:pPr>
          </w:p>
          <w:p w14:paraId="7DFBB0FA" w14:textId="34886346" w:rsidR="008C06F0" w:rsidRDefault="008C06F0" w:rsidP="008C06F0">
            <w:pPr>
              <w:pStyle w:val="rvps2"/>
              <w:shd w:val="clear" w:color="auto" w:fill="FFFFFF"/>
              <w:spacing w:before="0" w:beforeAutospacing="0" w:after="0" w:afterAutospacing="0"/>
              <w:ind w:firstLine="448"/>
              <w:jc w:val="both"/>
              <w:rPr>
                <w:lang w:eastAsia="en-US"/>
              </w:rPr>
            </w:pPr>
          </w:p>
          <w:p w14:paraId="63D8F4E2" w14:textId="19FC454F" w:rsidR="008C06F0" w:rsidRPr="008C06F0" w:rsidRDefault="008C06F0" w:rsidP="008C06F0">
            <w:pPr>
              <w:pStyle w:val="rvps2"/>
              <w:shd w:val="clear" w:color="auto" w:fill="FFFFFF"/>
              <w:spacing w:before="0" w:beforeAutospacing="0" w:after="0" w:afterAutospacing="0"/>
              <w:jc w:val="both"/>
            </w:pPr>
            <w:bookmarkStart w:id="0" w:name="_GoBack"/>
            <w:bookmarkEnd w:id="0"/>
            <w:r w:rsidRPr="000B53B8">
              <w:rPr>
                <w:lang w:eastAsia="en-US"/>
              </w:rPr>
              <w:lastRenderedPageBreak/>
              <w:t xml:space="preserve">2.4. </w:t>
            </w:r>
            <w:r w:rsidRPr="008C06F0">
              <w:rPr>
                <w:lang w:val="uk"/>
              </w:rPr>
              <w:t xml:space="preserve">До інвестиційної програми ліцензіатом додаються </w:t>
            </w:r>
            <w:proofErr w:type="spellStart"/>
            <w:r w:rsidRPr="008C06F0">
              <w:t>обґрунтовуючі</w:t>
            </w:r>
            <w:proofErr w:type="spellEnd"/>
            <w:r w:rsidRPr="008C06F0">
              <w:t xml:space="preserve"> матеріали (у тому числі в електронній формі) до кожного заходу, що повинні містити, зокрема:</w:t>
            </w:r>
          </w:p>
          <w:p w14:paraId="4CF8C27B" w14:textId="77777777" w:rsidR="008C06F0" w:rsidRPr="008C06F0" w:rsidRDefault="008C06F0" w:rsidP="00035A6A">
            <w:pPr>
              <w:shd w:val="clear" w:color="auto" w:fill="FFFFFF"/>
              <w:spacing w:line="240" w:lineRule="auto"/>
              <w:jc w:val="both"/>
              <w:rPr>
                <w:rFonts w:ascii="Times New Roman" w:eastAsia="Times New Roman" w:hAnsi="Times New Roman" w:cs="Times New Roman"/>
                <w:sz w:val="24"/>
                <w:szCs w:val="24"/>
                <w:lang w:val="uk-UA" w:eastAsia="uk-UA"/>
              </w:rPr>
            </w:pPr>
            <w:r w:rsidRPr="008C06F0">
              <w:rPr>
                <w:rFonts w:ascii="Times New Roman" w:eastAsia="Times New Roman" w:hAnsi="Times New Roman" w:cs="Times New Roman"/>
                <w:sz w:val="24"/>
                <w:szCs w:val="24"/>
                <w:lang w:val="uk-UA" w:eastAsia="uk-UA"/>
              </w:rPr>
              <w:t>…</w:t>
            </w:r>
          </w:p>
          <w:p w14:paraId="48B226E4" w14:textId="77777777" w:rsidR="008C06F0" w:rsidRDefault="008C06F0" w:rsidP="00035A6A">
            <w:pPr>
              <w:shd w:val="clear" w:color="auto" w:fill="FFFFFF"/>
              <w:spacing w:line="240" w:lineRule="auto"/>
              <w:jc w:val="both"/>
              <w:rPr>
                <w:rFonts w:ascii="Times New Roman" w:hAnsi="Times New Roman" w:cs="Times New Roman"/>
                <w:sz w:val="24"/>
                <w:szCs w:val="24"/>
                <w:lang w:val="uk-UA"/>
              </w:rPr>
            </w:pPr>
            <w:r w:rsidRPr="008C06F0">
              <w:rPr>
                <w:rFonts w:ascii="Times New Roman" w:hAnsi="Times New Roman" w:cs="Times New Roman"/>
                <w:sz w:val="24"/>
                <w:szCs w:val="24"/>
                <w:lang w:val="uk-UA"/>
              </w:rPr>
              <w:t>аналіз можливих альтернативних технічних рішень з наданням матеріалів щодо обґрунтування прийнятого технічного рішення, порівняння витрат на проведення заходу та отримання відповідного результативного показника, обґрунтування вибору обладнання (матеріалів) різних виробників за орієнтовною їх вартістю та технічними показниками на підставі прийнятого технічного рішення;</w:t>
            </w:r>
          </w:p>
          <w:p w14:paraId="6F75AB22" w14:textId="6A05CC2F" w:rsidR="008C06F0" w:rsidRPr="008C06F0" w:rsidRDefault="008C06F0" w:rsidP="00035A6A">
            <w:pPr>
              <w:shd w:val="clear" w:color="auto" w:fill="FFFFFF"/>
              <w:spacing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w:t>
            </w:r>
          </w:p>
        </w:tc>
        <w:tc>
          <w:tcPr>
            <w:tcW w:w="5528" w:type="dxa"/>
            <w:shd w:val="clear" w:color="auto" w:fill="auto"/>
          </w:tcPr>
          <w:p w14:paraId="4CFD69BD" w14:textId="517DC6DD" w:rsidR="008C06F0" w:rsidRDefault="008C06F0" w:rsidP="008C06F0">
            <w:pPr>
              <w:pStyle w:val="rvps2"/>
              <w:shd w:val="clear" w:color="auto" w:fill="FFFFFF"/>
              <w:spacing w:before="0" w:beforeAutospacing="0" w:after="0" w:afterAutospacing="0"/>
              <w:ind w:firstLine="448"/>
              <w:jc w:val="both"/>
              <w:rPr>
                <w:lang w:eastAsia="en-US"/>
              </w:rPr>
            </w:pPr>
            <w:r w:rsidRPr="00C6661D">
              <w:rPr>
                <w:i/>
              </w:rPr>
              <w:lastRenderedPageBreak/>
              <w:t>Комунальне підприємство виконавчого органу Київради (Київської міської державної адміністрації) «</w:t>
            </w:r>
            <w:proofErr w:type="spellStart"/>
            <w:r w:rsidRPr="00C6661D">
              <w:rPr>
                <w:i/>
              </w:rPr>
              <w:t>Київтеплоенерго</w:t>
            </w:r>
            <w:proofErr w:type="spellEnd"/>
            <w:r w:rsidRPr="00C6661D">
              <w:rPr>
                <w:i/>
              </w:rPr>
              <w:t>»</w:t>
            </w:r>
            <w:r w:rsidRPr="00C869B7">
              <w:rPr>
                <w:i/>
              </w:rPr>
              <w:t xml:space="preserve"> пропонує</w:t>
            </w:r>
            <w:r>
              <w:rPr>
                <w:i/>
              </w:rPr>
              <w:t xml:space="preserve"> викласти в такій редакції:</w:t>
            </w:r>
          </w:p>
          <w:p w14:paraId="54254DDC" w14:textId="07D68D75" w:rsidR="008C06F0" w:rsidRPr="008C06F0" w:rsidRDefault="008C06F0" w:rsidP="008C06F0">
            <w:pPr>
              <w:pStyle w:val="rvps2"/>
              <w:shd w:val="clear" w:color="auto" w:fill="FFFFFF"/>
              <w:spacing w:before="0" w:beforeAutospacing="0" w:after="0" w:afterAutospacing="0"/>
              <w:jc w:val="both"/>
            </w:pPr>
            <w:r w:rsidRPr="000B53B8">
              <w:rPr>
                <w:lang w:eastAsia="en-US"/>
              </w:rPr>
              <w:lastRenderedPageBreak/>
              <w:t xml:space="preserve">2.4. </w:t>
            </w:r>
            <w:r w:rsidRPr="008C06F0">
              <w:rPr>
                <w:lang w:val="uk"/>
              </w:rPr>
              <w:t xml:space="preserve">До інвестиційної програми ліцензіатом додаються </w:t>
            </w:r>
            <w:proofErr w:type="spellStart"/>
            <w:r w:rsidRPr="008C06F0">
              <w:t>обґрунтовуючі</w:t>
            </w:r>
            <w:proofErr w:type="spellEnd"/>
            <w:r w:rsidRPr="008C06F0">
              <w:t xml:space="preserve"> матеріали (у тому числі в електронній формі) до кожного заходу, що повинні містити, зокрема:</w:t>
            </w:r>
          </w:p>
          <w:p w14:paraId="3628DC72" w14:textId="77777777" w:rsidR="008C06F0" w:rsidRPr="008C06F0" w:rsidRDefault="008C06F0" w:rsidP="008C06F0">
            <w:pPr>
              <w:shd w:val="clear" w:color="auto" w:fill="FFFFFF"/>
              <w:spacing w:line="240" w:lineRule="auto"/>
              <w:jc w:val="both"/>
              <w:rPr>
                <w:rFonts w:ascii="Times New Roman" w:eastAsia="Times New Roman" w:hAnsi="Times New Roman" w:cs="Times New Roman"/>
                <w:sz w:val="24"/>
                <w:szCs w:val="24"/>
                <w:lang w:val="uk-UA" w:eastAsia="uk-UA"/>
              </w:rPr>
            </w:pPr>
            <w:r w:rsidRPr="008C06F0">
              <w:rPr>
                <w:rFonts w:ascii="Times New Roman" w:eastAsia="Times New Roman" w:hAnsi="Times New Roman" w:cs="Times New Roman"/>
                <w:sz w:val="24"/>
                <w:szCs w:val="24"/>
                <w:lang w:val="uk-UA" w:eastAsia="uk-UA"/>
              </w:rPr>
              <w:t>…</w:t>
            </w:r>
          </w:p>
          <w:p w14:paraId="589DCDFD" w14:textId="71A6F6B9" w:rsidR="008C06F0" w:rsidRDefault="008C06F0" w:rsidP="008C06F0">
            <w:pPr>
              <w:shd w:val="clear" w:color="auto" w:fill="FFFFFF"/>
              <w:spacing w:line="240" w:lineRule="auto"/>
              <w:jc w:val="both"/>
              <w:rPr>
                <w:rFonts w:ascii="Times New Roman" w:hAnsi="Times New Roman" w:cs="Times New Roman"/>
                <w:sz w:val="24"/>
                <w:szCs w:val="24"/>
                <w:lang w:val="uk-UA"/>
              </w:rPr>
            </w:pPr>
            <w:r w:rsidRPr="008C06F0">
              <w:rPr>
                <w:rFonts w:ascii="Times New Roman" w:hAnsi="Times New Roman" w:cs="Times New Roman"/>
                <w:sz w:val="24"/>
                <w:szCs w:val="24"/>
                <w:lang w:val="uk-UA"/>
              </w:rPr>
              <w:t>аналіз можливих альтернативних технічних рішень з наданням матеріалів щодо обґрунтування прийнятого технічного рішення, порівняння витрат на проведення заходу та отримання відповідного результативного показника, обґрунтування вибору обладнання (матеріалів) різних виробників за орієнтовною їх вартістю та технічними показниками на підставі прийнятого технічного рішення</w:t>
            </w:r>
            <w:r w:rsidR="00285794">
              <w:rPr>
                <w:rFonts w:ascii="Times New Roman" w:hAnsi="Times New Roman" w:cs="Times New Roman"/>
                <w:sz w:val="24"/>
                <w:szCs w:val="24"/>
                <w:lang w:val="uk-UA"/>
              </w:rPr>
              <w:t xml:space="preserve"> </w:t>
            </w:r>
            <w:r w:rsidR="00285794" w:rsidRPr="00285794">
              <w:rPr>
                <w:rFonts w:ascii="Times New Roman" w:hAnsi="Times New Roman" w:cs="Times New Roman"/>
                <w:b/>
                <w:sz w:val="24"/>
                <w:szCs w:val="24"/>
                <w:lang w:val="uk-UA"/>
              </w:rPr>
              <w:t>(</w:t>
            </w:r>
            <w:r w:rsidR="00006FDE">
              <w:rPr>
                <w:rFonts w:ascii="Times New Roman" w:hAnsi="Times New Roman" w:cs="Times New Roman"/>
                <w:b/>
                <w:sz w:val="24"/>
                <w:szCs w:val="24"/>
                <w:lang w:val="uk-UA"/>
              </w:rPr>
              <w:t>у разі відсутності альтернативних технічних рішень ліцензіат має надати обґрунтовані пояснення</w:t>
            </w:r>
            <w:r w:rsidR="00285794" w:rsidRPr="00285794">
              <w:rPr>
                <w:rFonts w:ascii="Times New Roman" w:hAnsi="Times New Roman" w:cs="Times New Roman"/>
                <w:b/>
                <w:sz w:val="24"/>
                <w:szCs w:val="24"/>
                <w:lang w:val="uk-UA"/>
              </w:rPr>
              <w:t>)</w:t>
            </w:r>
            <w:r w:rsidRPr="008C06F0">
              <w:rPr>
                <w:rFonts w:ascii="Times New Roman" w:hAnsi="Times New Roman" w:cs="Times New Roman"/>
                <w:sz w:val="24"/>
                <w:szCs w:val="24"/>
                <w:lang w:val="uk-UA"/>
              </w:rPr>
              <w:t>;</w:t>
            </w:r>
          </w:p>
          <w:p w14:paraId="0D43F235" w14:textId="77777777" w:rsidR="008C06F0" w:rsidRDefault="008C06F0" w:rsidP="008C06F0">
            <w:pPr>
              <w:shd w:val="clear" w:color="auto" w:fill="FFFFFF"/>
              <w:spacing w:line="240" w:lineRule="auto"/>
              <w:ind w:right="4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w:t>
            </w:r>
          </w:p>
          <w:p w14:paraId="17166810" w14:textId="77777777" w:rsidR="00006FDE" w:rsidRPr="005B66AD" w:rsidRDefault="00006FDE" w:rsidP="00006FDE">
            <w:pPr>
              <w:spacing w:line="240" w:lineRule="auto"/>
              <w:ind w:right="46"/>
              <w:contextualSpacing/>
              <w:jc w:val="both"/>
              <w:rPr>
                <w:rFonts w:ascii="Times New Roman" w:eastAsia="Times New Roman" w:hAnsi="Times New Roman" w:cs="Times New Roman"/>
                <w:i/>
                <w:sz w:val="24"/>
                <w:szCs w:val="24"/>
                <w:lang w:val="uk-UA"/>
              </w:rPr>
            </w:pPr>
            <w:r w:rsidRPr="005B66AD">
              <w:rPr>
                <w:rFonts w:ascii="Times New Roman" w:eastAsia="Times New Roman" w:hAnsi="Times New Roman" w:cs="Times New Roman"/>
                <w:i/>
                <w:sz w:val="24"/>
                <w:szCs w:val="24"/>
                <w:lang w:val="uk-UA"/>
              </w:rPr>
              <w:t>Обґрунтування:</w:t>
            </w:r>
          </w:p>
          <w:p w14:paraId="56040D44" w14:textId="77777777" w:rsidR="00006FDE" w:rsidRDefault="00006FDE" w:rsidP="008C06F0">
            <w:pPr>
              <w:shd w:val="clear" w:color="auto" w:fill="FFFFFF"/>
              <w:spacing w:line="240" w:lineRule="auto"/>
              <w:ind w:right="46"/>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Вибір обладнання, який було здійснено під час </w:t>
            </w:r>
            <w:proofErr w:type="spellStart"/>
            <w:r>
              <w:rPr>
                <w:rFonts w:ascii="Times New Roman" w:eastAsia="Times New Roman" w:hAnsi="Times New Roman" w:cs="Times New Roman"/>
                <w:sz w:val="24"/>
                <w:szCs w:val="24"/>
                <w:lang w:val="uk-UA"/>
              </w:rPr>
              <w:t>проєктування</w:t>
            </w:r>
            <w:proofErr w:type="spellEnd"/>
            <w:r>
              <w:rPr>
                <w:rFonts w:ascii="Times New Roman" w:eastAsia="Times New Roman" w:hAnsi="Times New Roman" w:cs="Times New Roman"/>
                <w:sz w:val="24"/>
                <w:szCs w:val="24"/>
                <w:lang w:val="uk-UA"/>
              </w:rPr>
              <w:t xml:space="preserve"> ТЕЦ унеможливлює внесення кардинальних змін щодо технічного процесу генерації тепла та електроенергії при їх комбінованому виробництві.</w:t>
            </w:r>
          </w:p>
          <w:p w14:paraId="10332965" w14:textId="2FB4CEF7" w:rsidR="00006FDE" w:rsidRPr="00006FDE" w:rsidRDefault="00006FDE" w:rsidP="008C06F0">
            <w:pPr>
              <w:shd w:val="clear" w:color="auto" w:fill="FFFFFF"/>
              <w:spacing w:line="240" w:lineRule="auto"/>
              <w:ind w:right="46"/>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Крім того, Порядком не передбачено включення у Технічне завдання на </w:t>
            </w:r>
            <w:proofErr w:type="spellStart"/>
            <w:r>
              <w:rPr>
                <w:rFonts w:ascii="Times New Roman" w:eastAsia="Times New Roman" w:hAnsi="Times New Roman" w:cs="Times New Roman"/>
                <w:sz w:val="24"/>
                <w:szCs w:val="24"/>
                <w:lang w:val="uk-UA"/>
              </w:rPr>
              <w:t>проєктування</w:t>
            </w:r>
            <w:proofErr w:type="spellEnd"/>
            <w:r>
              <w:rPr>
                <w:rFonts w:ascii="Times New Roman" w:eastAsia="Times New Roman" w:hAnsi="Times New Roman" w:cs="Times New Roman"/>
                <w:sz w:val="24"/>
                <w:szCs w:val="24"/>
                <w:lang w:val="uk-UA"/>
              </w:rPr>
              <w:t xml:space="preserve"> розробку </w:t>
            </w:r>
            <w:proofErr w:type="spellStart"/>
            <w:r>
              <w:rPr>
                <w:rFonts w:ascii="Times New Roman" w:eastAsia="Times New Roman" w:hAnsi="Times New Roman" w:cs="Times New Roman"/>
                <w:sz w:val="24"/>
                <w:szCs w:val="24"/>
                <w:lang w:val="uk-UA"/>
              </w:rPr>
              <w:t>проєктантом</w:t>
            </w:r>
            <w:proofErr w:type="spellEnd"/>
            <w:r>
              <w:rPr>
                <w:rFonts w:ascii="Times New Roman" w:eastAsia="Times New Roman" w:hAnsi="Times New Roman" w:cs="Times New Roman"/>
                <w:sz w:val="24"/>
                <w:szCs w:val="24"/>
                <w:lang w:val="uk-UA"/>
              </w:rPr>
              <w:t xml:space="preserve"> альтернативних технічних рішень з наданням матеріалів щодо </w:t>
            </w:r>
            <w:proofErr w:type="spellStart"/>
            <w:r>
              <w:rPr>
                <w:rFonts w:ascii="Times New Roman" w:eastAsia="Times New Roman" w:hAnsi="Times New Roman" w:cs="Times New Roman"/>
                <w:sz w:val="24"/>
                <w:szCs w:val="24"/>
                <w:lang w:val="uk-UA"/>
              </w:rPr>
              <w:t>обгрунтування</w:t>
            </w:r>
            <w:proofErr w:type="spellEnd"/>
            <w:r>
              <w:rPr>
                <w:rFonts w:ascii="Times New Roman" w:eastAsia="Times New Roman" w:hAnsi="Times New Roman" w:cs="Times New Roman"/>
                <w:sz w:val="24"/>
                <w:szCs w:val="24"/>
                <w:lang w:val="uk-UA"/>
              </w:rPr>
              <w:t xml:space="preserve"> прийнятого технічного рішення, порівняння витрат на проведення заходу та отримання відповідного результативного показника, </w:t>
            </w:r>
            <w:proofErr w:type="spellStart"/>
            <w:r>
              <w:rPr>
                <w:rFonts w:ascii="Times New Roman" w:eastAsia="Times New Roman" w:hAnsi="Times New Roman" w:cs="Times New Roman"/>
                <w:sz w:val="24"/>
                <w:szCs w:val="24"/>
                <w:lang w:val="uk-UA"/>
              </w:rPr>
              <w:t>обгрунтування</w:t>
            </w:r>
            <w:proofErr w:type="spellEnd"/>
            <w:r>
              <w:rPr>
                <w:rFonts w:ascii="Times New Roman" w:eastAsia="Times New Roman" w:hAnsi="Times New Roman" w:cs="Times New Roman"/>
                <w:sz w:val="24"/>
                <w:szCs w:val="24"/>
                <w:lang w:val="uk-UA"/>
              </w:rPr>
              <w:t xml:space="preserve"> вибору обладнання (матеріалів) різних виробників за </w:t>
            </w:r>
            <w:r>
              <w:rPr>
                <w:rFonts w:ascii="Times New Roman" w:eastAsia="Times New Roman" w:hAnsi="Times New Roman" w:cs="Times New Roman"/>
                <w:sz w:val="24"/>
                <w:szCs w:val="24"/>
                <w:lang w:val="uk-UA"/>
              </w:rPr>
              <w:lastRenderedPageBreak/>
              <w:t xml:space="preserve">орієнтовною їх вартістю та технічними показниками на підставі прийнятого </w:t>
            </w:r>
            <w:r w:rsidR="00AE0BCD">
              <w:rPr>
                <w:rFonts w:ascii="Times New Roman" w:eastAsia="Times New Roman" w:hAnsi="Times New Roman" w:cs="Times New Roman"/>
                <w:sz w:val="24"/>
                <w:szCs w:val="24"/>
                <w:lang w:val="uk-UA"/>
              </w:rPr>
              <w:t>технічного рішення</w:t>
            </w:r>
          </w:p>
        </w:tc>
        <w:tc>
          <w:tcPr>
            <w:tcW w:w="3544" w:type="dxa"/>
            <w:shd w:val="clear" w:color="auto" w:fill="auto"/>
          </w:tcPr>
          <w:p w14:paraId="59806E27" w14:textId="77777777" w:rsidR="008C06F0" w:rsidRDefault="008C06F0" w:rsidP="00B7577F">
            <w:pPr>
              <w:spacing w:line="240" w:lineRule="auto"/>
              <w:contextualSpacing/>
              <w:jc w:val="both"/>
              <w:rPr>
                <w:rFonts w:ascii="Times New Roman" w:eastAsia="Times New Roman" w:hAnsi="Times New Roman" w:cs="Times New Roman"/>
                <w:b/>
                <w:sz w:val="24"/>
                <w:szCs w:val="24"/>
                <w:lang w:val="uk-UA"/>
              </w:rPr>
            </w:pPr>
          </w:p>
          <w:p w14:paraId="64B413D4" w14:textId="77777777" w:rsidR="00AE0BCD" w:rsidRDefault="00AE0BCD" w:rsidP="00B7577F">
            <w:pPr>
              <w:spacing w:line="240" w:lineRule="auto"/>
              <w:contextualSpacing/>
              <w:jc w:val="both"/>
              <w:rPr>
                <w:rFonts w:ascii="Times New Roman" w:eastAsia="Times New Roman" w:hAnsi="Times New Roman" w:cs="Times New Roman"/>
                <w:b/>
                <w:sz w:val="24"/>
                <w:szCs w:val="24"/>
                <w:lang w:val="uk-UA"/>
              </w:rPr>
            </w:pPr>
          </w:p>
          <w:p w14:paraId="4FEC92EC" w14:textId="77777777" w:rsidR="00AE0BCD" w:rsidRDefault="00AE0BCD" w:rsidP="00B7577F">
            <w:pPr>
              <w:spacing w:line="240" w:lineRule="auto"/>
              <w:contextualSpacing/>
              <w:jc w:val="both"/>
              <w:rPr>
                <w:rFonts w:ascii="Times New Roman" w:eastAsia="Times New Roman" w:hAnsi="Times New Roman" w:cs="Times New Roman"/>
                <w:b/>
                <w:sz w:val="24"/>
                <w:szCs w:val="24"/>
                <w:lang w:val="uk-UA"/>
              </w:rPr>
            </w:pPr>
          </w:p>
          <w:p w14:paraId="78DE0724" w14:textId="2ABBBA1B" w:rsidR="00AE0BCD" w:rsidRDefault="00AE0BCD" w:rsidP="00B7577F">
            <w:pPr>
              <w:spacing w:line="240" w:lineRule="auto"/>
              <w:contextualSpacing/>
              <w:jc w:val="both"/>
              <w:rPr>
                <w:rFonts w:ascii="Times New Roman" w:eastAsia="Times New Roman" w:hAnsi="Times New Roman" w:cs="Times New Roman"/>
                <w:b/>
                <w:sz w:val="24"/>
                <w:szCs w:val="24"/>
                <w:lang w:val="uk-UA"/>
              </w:rPr>
            </w:pPr>
          </w:p>
          <w:p w14:paraId="7EDF783E" w14:textId="77777777" w:rsidR="001871D7" w:rsidRDefault="001871D7" w:rsidP="00B7577F">
            <w:pPr>
              <w:spacing w:line="240" w:lineRule="auto"/>
              <w:contextualSpacing/>
              <w:jc w:val="both"/>
              <w:rPr>
                <w:rFonts w:ascii="Times New Roman" w:eastAsia="Times New Roman" w:hAnsi="Times New Roman" w:cs="Times New Roman"/>
                <w:b/>
                <w:sz w:val="24"/>
                <w:szCs w:val="24"/>
                <w:lang w:val="uk-UA"/>
              </w:rPr>
            </w:pPr>
          </w:p>
          <w:p w14:paraId="15C7CCDA" w14:textId="78C4F6B9" w:rsidR="00AE0BCD" w:rsidRDefault="00AE0BCD" w:rsidP="00B7577F">
            <w:pP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tc>
      </w:tr>
      <w:tr w:rsidR="004876E5" w:rsidRPr="00112D53" w14:paraId="0778869B" w14:textId="77777777" w:rsidTr="00B1004D">
        <w:trPr>
          <w:trHeight w:val="107"/>
          <w:jc w:val="center"/>
        </w:trPr>
        <w:tc>
          <w:tcPr>
            <w:tcW w:w="14591" w:type="dxa"/>
            <w:gridSpan w:val="3"/>
            <w:shd w:val="clear" w:color="auto" w:fill="auto"/>
            <w:tcMar>
              <w:top w:w="100" w:type="dxa"/>
              <w:left w:w="100" w:type="dxa"/>
              <w:bottom w:w="100" w:type="dxa"/>
              <w:right w:w="100" w:type="dxa"/>
            </w:tcMar>
            <w:vAlign w:val="center"/>
          </w:tcPr>
          <w:p w14:paraId="240C507D" w14:textId="0E64854F" w:rsidR="004876E5" w:rsidRPr="00AE0BCD" w:rsidRDefault="00AE0BCD" w:rsidP="004876E5">
            <w:pPr>
              <w:spacing w:line="240" w:lineRule="auto"/>
              <w:contextualSpacing/>
              <w:jc w:val="center"/>
              <w:rPr>
                <w:rFonts w:ascii="Times New Roman" w:eastAsia="Times New Roman" w:hAnsi="Times New Roman" w:cs="Times New Roman"/>
                <w:b/>
                <w:sz w:val="24"/>
                <w:szCs w:val="24"/>
                <w:lang w:val="uk-UA"/>
              </w:rPr>
            </w:pPr>
            <w:r w:rsidRPr="00AE0BCD">
              <w:rPr>
                <w:rFonts w:ascii="Times New Roman" w:hAnsi="Times New Roman" w:cs="Times New Roman"/>
                <w:b/>
                <w:color w:val="000000"/>
                <w:sz w:val="24"/>
                <w:szCs w:val="24"/>
                <w:lang w:val="uk-UA"/>
              </w:rPr>
              <w:lastRenderedPageBreak/>
              <w:t>3. Порядок розгляду та схвалення інвестиційних програм</w:t>
            </w:r>
          </w:p>
        </w:tc>
      </w:tr>
      <w:tr w:rsidR="004876E5" w:rsidRPr="004410D8" w14:paraId="5D1B7217" w14:textId="77777777" w:rsidTr="00E92AD6">
        <w:trPr>
          <w:trHeight w:val="107"/>
          <w:jc w:val="center"/>
        </w:trPr>
        <w:tc>
          <w:tcPr>
            <w:tcW w:w="5519" w:type="dxa"/>
            <w:shd w:val="clear" w:color="auto" w:fill="auto"/>
            <w:tcMar>
              <w:top w:w="100" w:type="dxa"/>
              <w:left w:w="100" w:type="dxa"/>
              <w:bottom w:w="100" w:type="dxa"/>
              <w:right w:w="100" w:type="dxa"/>
            </w:tcMar>
          </w:tcPr>
          <w:p w14:paraId="6C21D6AD" w14:textId="77777777" w:rsidR="006A44C9" w:rsidRDefault="006A44C9" w:rsidP="004876E5">
            <w:pPr>
              <w:spacing w:line="240" w:lineRule="auto"/>
              <w:ind w:left="33" w:right="46" w:hanging="9"/>
              <w:jc w:val="both"/>
              <w:rPr>
                <w:rFonts w:ascii="Times New Roman" w:hAnsi="Times New Roman" w:cs="Times New Roman"/>
                <w:b/>
                <w:color w:val="000000"/>
                <w:sz w:val="24"/>
                <w:szCs w:val="24"/>
                <w:lang w:val="uk-UA"/>
              </w:rPr>
            </w:pPr>
          </w:p>
          <w:p w14:paraId="4A0CCD9C" w14:textId="77777777" w:rsidR="006A44C9" w:rsidRDefault="006A44C9" w:rsidP="004876E5">
            <w:pPr>
              <w:spacing w:line="240" w:lineRule="auto"/>
              <w:ind w:left="33" w:right="46" w:hanging="9"/>
              <w:jc w:val="both"/>
              <w:rPr>
                <w:rFonts w:ascii="Times New Roman" w:hAnsi="Times New Roman" w:cs="Times New Roman"/>
                <w:b/>
                <w:color w:val="000000"/>
                <w:sz w:val="24"/>
                <w:szCs w:val="24"/>
                <w:lang w:val="uk-UA"/>
              </w:rPr>
            </w:pPr>
          </w:p>
          <w:p w14:paraId="6505FAD5" w14:textId="77777777" w:rsidR="006A44C9" w:rsidRDefault="006A44C9" w:rsidP="004876E5">
            <w:pPr>
              <w:spacing w:line="240" w:lineRule="auto"/>
              <w:ind w:left="33" w:right="46" w:hanging="9"/>
              <w:jc w:val="both"/>
              <w:rPr>
                <w:rFonts w:ascii="Times New Roman" w:hAnsi="Times New Roman" w:cs="Times New Roman"/>
                <w:b/>
                <w:color w:val="000000"/>
                <w:sz w:val="24"/>
                <w:szCs w:val="24"/>
                <w:lang w:val="uk-UA"/>
              </w:rPr>
            </w:pPr>
          </w:p>
          <w:p w14:paraId="65F0366E" w14:textId="77777777" w:rsidR="006A44C9" w:rsidRDefault="006A44C9" w:rsidP="004876E5">
            <w:pPr>
              <w:spacing w:line="240" w:lineRule="auto"/>
              <w:ind w:left="33" w:right="46" w:hanging="9"/>
              <w:jc w:val="both"/>
              <w:rPr>
                <w:rFonts w:ascii="Times New Roman" w:hAnsi="Times New Roman" w:cs="Times New Roman"/>
                <w:b/>
                <w:color w:val="000000"/>
                <w:sz w:val="24"/>
                <w:szCs w:val="24"/>
                <w:lang w:val="uk-UA"/>
              </w:rPr>
            </w:pPr>
          </w:p>
          <w:p w14:paraId="1075C82F" w14:textId="77777777" w:rsidR="00AE0BCD" w:rsidRPr="00AE0BCD" w:rsidRDefault="00AE0BCD" w:rsidP="00AE0BCD">
            <w:pPr>
              <w:spacing w:line="240" w:lineRule="auto"/>
              <w:ind w:left="33" w:right="46" w:hanging="9"/>
              <w:jc w:val="both"/>
              <w:rPr>
                <w:rFonts w:ascii="Times New Roman" w:hAnsi="Times New Roman" w:cs="Times New Roman"/>
                <w:color w:val="000000"/>
                <w:sz w:val="24"/>
                <w:szCs w:val="24"/>
                <w:lang w:val="uk-UA"/>
              </w:rPr>
            </w:pPr>
            <w:bookmarkStart w:id="1" w:name="_Hlk187342093"/>
            <w:r w:rsidRPr="00AE0BCD">
              <w:rPr>
                <w:rFonts w:ascii="Times New Roman" w:hAnsi="Times New Roman" w:cs="Times New Roman"/>
                <w:color w:val="000000"/>
                <w:sz w:val="24"/>
                <w:szCs w:val="24"/>
                <w:lang w:val="uk-UA"/>
              </w:rPr>
              <w:t xml:space="preserve">3.1. </w:t>
            </w:r>
            <w:bookmarkEnd w:id="1"/>
            <w:r w:rsidRPr="00AE0BCD">
              <w:rPr>
                <w:rFonts w:ascii="Times New Roman" w:hAnsi="Times New Roman" w:cs="Times New Roman"/>
                <w:color w:val="000000"/>
                <w:sz w:val="24"/>
                <w:szCs w:val="24"/>
                <w:lang w:val="uk-UA"/>
              </w:rPr>
              <w:t>Інвестиційна програма на прогнозний період подається на розгляд в електронній формі та на паперових носіях до НКРЕКП не пізніше ніж за 2 місяці до дати закінчення діючої інвестиційної програми.</w:t>
            </w:r>
          </w:p>
          <w:p w14:paraId="118D5B77" w14:textId="77777777" w:rsidR="00AE0BCD" w:rsidRPr="00AE0BCD" w:rsidRDefault="00AE0BCD" w:rsidP="00AE0BCD">
            <w:pPr>
              <w:spacing w:line="240" w:lineRule="auto"/>
              <w:ind w:left="33" w:right="46" w:hanging="9"/>
              <w:jc w:val="both"/>
              <w:rPr>
                <w:rFonts w:ascii="Times New Roman" w:hAnsi="Times New Roman" w:cs="Times New Roman"/>
                <w:color w:val="000000"/>
                <w:sz w:val="24"/>
                <w:szCs w:val="24"/>
                <w:lang w:val="uk-UA"/>
              </w:rPr>
            </w:pPr>
          </w:p>
          <w:p w14:paraId="033A2849" w14:textId="76FA9408" w:rsidR="004876E5" w:rsidRPr="009E76EC" w:rsidRDefault="00AE0BCD" w:rsidP="00AE0BCD">
            <w:pPr>
              <w:shd w:val="clear" w:color="auto" w:fill="FFFFFF"/>
              <w:spacing w:line="240" w:lineRule="auto"/>
              <w:jc w:val="both"/>
              <w:rPr>
                <w:rFonts w:ascii="Times New Roman" w:eastAsia="Times New Roman" w:hAnsi="Times New Roman" w:cs="Times New Roman"/>
                <w:sz w:val="24"/>
                <w:szCs w:val="24"/>
                <w:lang w:val="uk-UA" w:eastAsia="uk-UA"/>
              </w:rPr>
            </w:pPr>
            <w:r w:rsidRPr="009E76EC">
              <w:rPr>
                <w:rFonts w:ascii="Times New Roman" w:hAnsi="Times New Roman" w:cs="Times New Roman"/>
                <w:color w:val="000000"/>
                <w:sz w:val="24"/>
                <w:szCs w:val="24"/>
                <w:lang w:val="uk-UA"/>
              </w:rPr>
              <w:t xml:space="preserve">З метою інформування громадськості </w:t>
            </w:r>
            <w:proofErr w:type="spellStart"/>
            <w:r w:rsidRPr="009E76EC">
              <w:rPr>
                <w:rFonts w:ascii="Times New Roman" w:hAnsi="Times New Roman" w:cs="Times New Roman"/>
                <w:color w:val="000000"/>
                <w:sz w:val="24"/>
                <w:szCs w:val="24"/>
                <w:lang w:val="uk-UA"/>
              </w:rPr>
              <w:t>проєкт</w:t>
            </w:r>
            <w:proofErr w:type="spellEnd"/>
            <w:r w:rsidRPr="009E76EC">
              <w:rPr>
                <w:rFonts w:ascii="Times New Roman" w:hAnsi="Times New Roman" w:cs="Times New Roman"/>
                <w:color w:val="000000"/>
                <w:sz w:val="24"/>
                <w:szCs w:val="24"/>
                <w:lang w:val="uk-UA"/>
              </w:rPr>
              <w:t xml:space="preserve"> інвестиційної програми оприлюднюється відповідним ліцензіатом шляхом розміщення на своєму офіційному </w:t>
            </w:r>
            <w:proofErr w:type="spellStart"/>
            <w:r w:rsidRPr="009E76EC">
              <w:rPr>
                <w:rFonts w:ascii="Times New Roman" w:hAnsi="Times New Roman" w:cs="Times New Roman"/>
                <w:color w:val="000000"/>
                <w:sz w:val="24"/>
                <w:szCs w:val="24"/>
                <w:lang w:val="uk-UA"/>
              </w:rPr>
              <w:t>вебсайті</w:t>
            </w:r>
            <w:proofErr w:type="spellEnd"/>
            <w:r w:rsidRPr="009E76EC">
              <w:rPr>
                <w:rFonts w:ascii="Times New Roman" w:hAnsi="Times New Roman" w:cs="Times New Roman"/>
                <w:color w:val="000000"/>
                <w:sz w:val="24"/>
                <w:szCs w:val="24"/>
                <w:lang w:val="uk-UA"/>
              </w:rPr>
              <w:t xml:space="preserve"> в мережі Інтернет із забезпеченням можливості збору зауважень та пропозицій до зазначених </w:t>
            </w:r>
            <w:proofErr w:type="spellStart"/>
            <w:r w:rsidRPr="009E76EC">
              <w:rPr>
                <w:rFonts w:ascii="Times New Roman" w:hAnsi="Times New Roman" w:cs="Times New Roman"/>
                <w:color w:val="000000"/>
                <w:sz w:val="24"/>
                <w:szCs w:val="24"/>
                <w:lang w:val="uk-UA"/>
              </w:rPr>
              <w:t>проєктів</w:t>
            </w:r>
            <w:proofErr w:type="spellEnd"/>
            <w:r w:rsidRPr="009E76EC">
              <w:rPr>
                <w:rFonts w:ascii="Times New Roman" w:hAnsi="Times New Roman" w:cs="Times New Roman"/>
                <w:color w:val="000000"/>
                <w:sz w:val="24"/>
                <w:szCs w:val="24"/>
                <w:lang w:val="uk-UA"/>
              </w:rPr>
              <w:t xml:space="preserve"> протягом не менше </w:t>
            </w:r>
            <w:r w:rsidRPr="009E76EC">
              <w:rPr>
                <w:rFonts w:ascii="Times New Roman" w:hAnsi="Times New Roman" w:cs="Times New Roman"/>
                <w:b/>
                <w:color w:val="000000"/>
                <w:sz w:val="24"/>
                <w:szCs w:val="24"/>
                <w:lang w:val="uk-UA"/>
              </w:rPr>
              <w:t>30</w:t>
            </w:r>
            <w:r w:rsidRPr="009E76EC">
              <w:rPr>
                <w:rFonts w:ascii="Times New Roman" w:hAnsi="Times New Roman" w:cs="Times New Roman"/>
                <w:b/>
                <w:color w:val="000000"/>
                <w:sz w:val="24"/>
                <w:szCs w:val="24"/>
                <w:lang w:val="ru-RU"/>
              </w:rPr>
              <w:t> </w:t>
            </w:r>
            <w:r w:rsidRPr="009E76EC">
              <w:rPr>
                <w:rFonts w:ascii="Times New Roman" w:hAnsi="Times New Roman" w:cs="Times New Roman"/>
                <w:b/>
                <w:color w:val="000000"/>
                <w:sz w:val="24"/>
                <w:szCs w:val="24"/>
                <w:lang w:val="uk-UA"/>
              </w:rPr>
              <w:t>календарних днів</w:t>
            </w:r>
            <w:r w:rsidRPr="009E76EC">
              <w:rPr>
                <w:rFonts w:ascii="Times New Roman" w:hAnsi="Times New Roman" w:cs="Times New Roman"/>
                <w:color w:val="000000"/>
                <w:sz w:val="24"/>
                <w:szCs w:val="24"/>
                <w:lang w:val="uk-UA"/>
              </w:rPr>
              <w:t xml:space="preserve"> до дати прийняття рішення щодо схвалення інвестиційної програми.</w:t>
            </w:r>
          </w:p>
        </w:tc>
        <w:tc>
          <w:tcPr>
            <w:tcW w:w="5528" w:type="dxa"/>
            <w:shd w:val="clear" w:color="auto" w:fill="auto"/>
          </w:tcPr>
          <w:p w14:paraId="7C161394" w14:textId="6C81F224" w:rsidR="004876E5" w:rsidRDefault="00C6661D" w:rsidP="004876E5">
            <w:pPr>
              <w:widowControl w:val="0"/>
              <w:spacing w:line="240" w:lineRule="auto"/>
              <w:contextualSpacing/>
              <w:jc w:val="both"/>
              <w:rPr>
                <w:rFonts w:ascii="Times New Roman" w:eastAsia="Times New Roman" w:hAnsi="Times New Roman" w:cs="Times New Roman"/>
                <w:i/>
                <w:sz w:val="24"/>
                <w:szCs w:val="24"/>
                <w:lang w:val="uk-UA"/>
              </w:rPr>
            </w:pPr>
            <w:r w:rsidRPr="00C6661D">
              <w:rPr>
                <w:rFonts w:ascii="Times New Roman" w:eastAsia="Times New Roman" w:hAnsi="Times New Roman" w:cs="Times New Roman"/>
                <w:i/>
                <w:sz w:val="24"/>
                <w:szCs w:val="24"/>
                <w:lang w:val="uk-UA"/>
              </w:rPr>
              <w:t>Комунальне підприємство виконавчого органу Київради (Київської міської державної адміністрації) «</w:t>
            </w:r>
            <w:proofErr w:type="spellStart"/>
            <w:r w:rsidRPr="00C6661D">
              <w:rPr>
                <w:rFonts w:ascii="Times New Roman" w:eastAsia="Times New Roman" w:hAnsi="Times New Roman" w:cs="Times New Roman"/>
                <w:i/>
                <w:sz w:val="24"/>
                <w:szCs w:val="24"/>
                <w:lang w:val="uk-UA"/>
              </w:rPr>
              <w:t>Київтеплоенерго</w:t>
            </w:r>
            <w:proofErr w:type="spellEnd"/>
            <w:r w:rsidRPr="00C6661D">
              <w:rPr>
                <w:rFonts w:ascii="Times New Roman" w:eastAsia="Times New Roman" w:hAnsi="Times New Roman" w:cs="Times New Roman"/>
                <w:i/>
                <w:sz w:val="24"/>
                <w:szCs w:val="24"/>
                <w:lang w:val="uk-UA"/>
              </w:rPr>
              <w:t>»</w:t>
            </w:r>
            <w:r w:rsidR="004876E5" w:rsidRPr="00C869B7">
              <w:rPr>
                <w:rFonts w:ascii="Times New Roman" w:eastAsia="Times New Roman" w:hAnsi="Times New Roman" w:cs="Times New Roman"/>
                <w:i/>
                <w:sz w:val="24"/>
                <w:szCs w:val="24"/>
                <w:lang w:val="uk-UA"/>
              </w:rPr>
              <w:t xml:space="preserve"> пропонує</w:t>
            </w:r>
            <w:r w:rsidR="004876E5">
              <w:rPr>
                <w:rFonts w:ascii="Times New Roman" w:eastAsia="Times New Roman" w:hAnsi="Times New Roman" w:cs="Times New Roman"/>
                <w:i/>
                <w:sz w:val="24"/>
                <w:szCs w:val="24"/>
                <w:lang w:val="uk-UA"/>
              </w:rPr>
              <w:t xml:space="preserve"> </w:t>
            </w:r>
            <w:r w:rsidR="00AE0BCD">
              <w:rPr>
                <w:rFonts w:ascii="Times New Roman" w:eastAsia="Times New Roman" w:hAnsi="Times New Roman" w:cs="Times New Roman"/>
                <w:i/>
                <w:sz w:val="24"/>
                <w:szCs w:val="24"/>
                <w:lang w:val="uk-UA"/>
              </w:rPr>
              <w:t xml:space="preserve">викласти </w:t>
            </w:r>
            <w:r w:rsidR="00665223">
              <w:rPr>
                <w:rFonts w:ascii="Times New Roman" w:eastAsia="Times New Roman" w:hAnsi="Times New Roman" w:cs="Times New Roman"/>
                <w:i/>
                <w:sz w:val="24"/>
                <w:szCs w:val="24"/>
                <w:lang w:val="uk-UA"/>
              </w:rPr>
              <w:t xml:space="preserve">абзац другий </w:t>
            </w:r>
            <w:r w:rsidR="00AE0BCD">
              <w:rPr>
                <w:rFonts w:ascii="Times New Roman" w:eastAsia="Times New Roman" w:hAnsi="Times New Roman" w:cs="Times New Roman"/>
                <w:i/>
                <w:sz w:val="24"/>
                <w:szCs w:val="24"/>
                <w:lang w:val="uk-UA"/>
              </w:rPr>
              <w:t>в такій редакції:</w:t>
            </w:r>
          </w:p>
          <w:p w14:paraId="156D2F93" w14:textId="77777777" w:rsidR="00AE0BCD" w:rsidRPr="00AE0BCD" w:rsidRDefault="00AE0BCD" w:rsidP="00AE0BCD">
            <w:pPr>
              <w:spacing w:line="240" w:lineRule="auto"/>
              <w:ind w:left="33" w:right="46" w:hanging="9"/>
              <w:jc w:val="both"/>
              <w:rPr>
                <w:rFonts w:ascii="Times New Roman" w:hAnsi="Times New Roman" w:cs="Times New Roman"/>
                <w:color w:val="000000"/>
                <w:sz w:val="24"/>
                <w:szCs w:val="24"/>
                <w:lang w:val="uk-UA"/>
              </w:rPr>
            </w:pPr>
            <w:r w:rsidRPr="00AE0BCD">
              <w:rPr>
                <w:rFonts w:ascii="Times New Roman" w:hAnsi="Times New Roman" w:cs="Times New Roman"/>
                <w:color w:val="000000"/>
                <w:sz w:val="24"/>
                <w:szCs w:val="24"/>
                <w:lang w:val="uk-UA"/>
              </w:rPr>
              <w:t>3.1. Інвестиційна програма на прогнозний період подається на розгляд в електронній формі та на паперових носіях до НКРЕКП не пізніше ніж за 2 місяці до дати закінчення діючої інвестиційної програми.</w:t>
            </w:r>
          </w:p>
          <w:p w14:paraId="18C6DB71" w14:textId="77777777" w:rsidR="00AE0BCD" w:rsidRPr="00AE0BCD" w:rsidRDefault="00AE0BCD" w:rsidP="00AE0BCD">
            <w:pPr>
              <w:spacing w:line="240" w:lineRule="auto"/>
              <w:ind w:left="33" w:right="46" w:hanging="9"/>
              <w:jc w:val="both"/>
              <w:rPr>
                <w:rFonts w:ascii="Times New Roman" w:hAnsi="Times New Roman" w:cs="Times New Roman"/>
                <w:color w:val="000000"/>
                <w:sz w:val="24"/>
                <w:szCs w:val="24"/>
                <w:lang w:val="uk-UA"/>
              </w:rPr>
            </w:pPr>
          </w:p>
          <w:p w14:paraId="6FD73F02" w14:textId="475CC2F2" w:rsidR="006A44C9" w:rsidRPr="00AE0BCD" w:rsidRDefault="00AE0BCD" w:rsidP="00AE0BCD">
            <w:pPr>
              <w:widowControl w:val="0"/>
              <w:spacing w:line="240" w:lineRule="auto"/>
              <w:contextualSpacing/>
              <w:jc w:val="both"/>
              <w:rPr>
                <w:rFonts w:ascii="Times New Roman" w:eastAsia="Times New Roman" w:hAnsi="Times New Roman" w:cs="Times New Roman"/>
                <w:i/>
                <w:strike/>
                <w:sz w:val="24"/>
                <w:szCs w:val="24"/>
                <w:lang w:val="uk-UA"/>
              </w:rPr>
            </w:pPr>
            <w:r w:rsidRPr="00AE0BCD">
              <w:rPr>
                <w:rFonts w:ascii="Times New Roman" w:hAnsi="Times New Roman" w:cs="Times New Roman"/>
                <w:color w:val="000000"/>
                <w:sz w:val="24"/>
                <w:szCs w:val="24"/>
                <w:lang w:val="uk-UA"/>
              </w:rPr>
              <w:t xml:space="preserve">З метою інформування громадськості </w:t>
            </w:r>
            <w:proofErr w:type="spellStart"/>
            <w:r w:rsidRPr="00AE0BCD">
              <w:rPr>
                <w:rFonts w:ascii="Times New Roman" w:hAnsi="Times New Roman" w:cs="Times New Roman"/>
                <w:color w:val="000000"/>
                <w:sz w:val="24"/>
                <w:szCs w:val="24"/>
                <w:lang w:val="uk-UA"/>
              </w:rPr>
              <w:t>проєкт</w:t>
            </w:r>
            <w:proofErr w:type="spellEnd"/>
            <w:r w:rsidRPr="00AE0BCD">
              <w:rPr>
                <w:rFonts w:ascii="Times New Roman" w:hAnsi="Times New Roman" w:cs="Times New Roman"/>
                <w:color w:val="000000"/>
                <w:sz w:val="24"/>
                <w:szCs w:val="24"/>
                <w:lang w:val="uk-UA"/>
              </w:rPr>
              <w:t xml:space="preserve"> інвестиційної програми оприлюднюється відповідним ліцензіатом шляхом розміщення на своєму офіційному </w:t>
            </w:r>
            <w:proofErr w:type="spellStart"/>
            <w:r w:rsidRPr="00AE0BCD">
              <w:rPr>
                <w:rFonts w:ascii="Times New Roman" w:hAnsi="Times New Roman" w:cs="Times New Roman"/>
                <w:color w:val="000000"/>
                <w:sz w:val="24"/>
                <w:szCs w:val="24"/>
                <w:lang w:val="uk-UA"/>
              </w:rPr>
              <w:t>вебсайті</w:t>
            </w:r>
            <w:proofErr w:type="spellEnd"/>
            <w:r w:rsidRPr="00AE0BCD">
              <w:rPr>
                <w:rFonts w:ascii="Times New Roman" w:hAnsi="Times New Roman" w:cs="Times New Roman"/>
                <w:color w:val="000000"/>
                <w:sz w:val="24"/>
                <w:szCs w:val="24"/>
                <w:lang w:val="uk-UA"/>
              </w:rPr>
              <w:t xml:space="preserve"> в мережі Інтернет із забезпеченням можливості збору зауважень та пропозицій до зазначених </w:t>
            </w:r>
            <w:proofErr w:type="spellStart"/>
            <w:r w:rsidRPr="00AE0BCD">
              <w:rPr>
                <w:rFonts w:ascii="Times New Roman" w:hAnsi="Times New Roman" w:cs="Times New Roman"/>
                <w:color w:val="000000"/>
                <w:sz w:val="24"/>
                <w:szCs w:val="24"/>
                <w:lang w:val="uk-UA"/>
              </w:rPr>
              <w:t>проєктів</w:t>
            </w:r>
            <w:proofErr w:type="spellEnd"/>
            <w:r w:rsidRPr="00AE0BCD">
              <w:rPr>
                <w:rFonts w:ascii="Times New Roman" w:hAnsi="Times New Roman" w:cs="Times New Roman"/>
                <w:color w:val="000000"/>
                <w:sz w:val="24"/>
                <w:szCs w:val="24"/>
                <w:lang w:val="uk-UA"/>
              </w:rPr>
              <w:t xml:space="preserve"> протягом не менше </w:t>
            </w:r>
            <w:r w:rsidRPr="00AE0BCD">
              <w:rPr>
                <w:rFonts w:ascii="Times New Roman" w:hAnsi="Times New Roman" w:cs="Times New Roman"/>
                <w:b/>
                <w:color w:val="000000"/>
                <w:sz w:val="24"/>
                <w:szCs w:val="24"/>
                <w:lang w:val="uk-UA"/>
              </w:rPr>
              <w:t>14</w:t>
            </w:r>
            <w:r w:rsidRPr="00AE0BCD">
              <w:rPr>
                <w:rFonts w:ascii="Times New Roman" w:hAnsi="Times New Roman" w:cs="Times New Roman"/>
                <w:b/>
                <w:color w:val="000000"/>
                <w:sz w:val="24"/>
                <w:szCs w:val="24"/>
                <w:lang w:val="ru-RU"/>
              </w:rPr>
              <w:t> </w:t>
            </w:r>
            <w:r w:rsidRPr="00AE0BCD">
              <w:rPr>
                <w:rFonts w:ascii="Times New Roman" w:hAnsi="Times New Roman" w:cs="Times New Roman"/>
                <w:b/>
                <w:color w:val="000000"/>
                <w:sz w:val="24"/>
                <w:szCs w:val="24"/>
                <w:lang w:val="uk-UA"/>
              </w:rPr>
              <w:t>календарних днів</w:t>
            </w:r>
            <w:r w:rsidRPr="00AE0BCD">
              <w:rPr>
                <w:rFonts w:ascii="Times New Roman" w:hAnsi="Times New Roman" w:cs="Times New Roman"/>
                <w:color w:val="000000"/>
                <w:sz w:val="24"/>
                <w:szCs w:val="24"/>
                <w:lang w:val="uk-UA"/>
              </w:rPr>
              <w:t xml:space="preserve"> до дати прийняття рішення щодо схвалення інвестиційної програми.</w:t>
            </w:r>
          </w:p>
          <w:p w14:paraId="06410598" w14:textId="77777777" w:rsidR="00AE0BCD" w:rsidRDefault="00AE0BCD" w:rsidP="004876E5">
            <w:pPr>
              <w:widowControl w:val="0"/>
              <w:spacing w:line="240" w:lineRule="auto"/>
              <w:contextualSpacing/>
              <w:jc w:val="both"/>
              <w:rPr>
                <w:rFonts w:ascii="Times New Roman" w:eastAsia="Times New Roman" w:hAnsi="Times New Roman" w:cs="Times New Roman"/>
                <w:i/>
                <w:sz w:val="24"/>
                <w:szCs w:val="24"/>
                <w:lang w:val="uk-UA"/>
              </w:rPr>
            </w:pPr>
          </w:p>
          <w:p w14:paraId="12546A43" w14:textId="4CAF9056"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56B344D3" w14:textId="77777777" w:rsidR="004876E5" w:rsidRDefault="00AE0BCD" w:rsidP="009E6643">
            <w:pPr>
              <w:pStyle w:val="a6"/>
              <w:numPr>
                <w:ilvl w:val="0"/>
                <w:numId w:val="3"/>
              </w:numPr>
              <w:shd w:val="clear" w:color="auto" w:fill="FFFFFF"/>
              <w:spacing w:line="240" w:lineRule="auto"/>
              <w:ind w:left="46" w:right="46" w:firstLine="314"/>
              <w:jc w:val="both"/>
              <w:rPr>
                <w:rFonts w:ascii="Times New Roman" w:eastAsia="Times New Roman" w:hAnsi="Times New Roman" w:cs="Times New Roman"/>
                <w:sz w:val="24"/>
                <w:szCs w:val="24"/>
                <w:lang w:val="uk-UA"/>
              </w:rPr>
            </w:pPr>
            <w:r w:rsidRPr="00AE0BCD">
              <w:rPr>
                <w:rFonts w:ascii="Times New Roman" w:eastAsia="Times New Roman" w:hAnsi="Times New Roman" w:cs="Times New Roman"/>
                <w:sz w:val="24"/>
                <w:szCs w:val="24"/>
                <w:lang w:val="uk-UA"/>
              </w:rPr>
              <w:t xml:space="preserve">Розміщення на </w:t>
            </w:r>
            <w:r>
              <w:rPr>
                <w:rFonts w:ascii="Times New Roman" w:eastAsia="Times New Roman" w:hAnsi="Times New Roman" w:cs="Times New Roman"/>
                <w:sz w:val="24"/>
                <w:szCs w:val="24"/>
                <w:lang w:val="uk-UA"/>
              </w:rPr>
              <w:t xml:space="preserve">офіційному </w:t>
            </w:r>
            <w:proofErr w:type="spellStart"/>
            <w:r>
              <w:rPr>
                <w:rFonts w:ascii="Times New Roman" w:eastAsia="Times New Roman" w:hAnsi="Times New Roman" w:cs="Times New Roman"/>
                <w:sz w:val="24"/>
                <w:szCs w:val="24"/>
                <w:lang w:val="uk-UA"/>
              </w:rPr>
              <w:t>веб</w:t>
            </w:r>
            <w:r w:rsidRPr="00AE0BCD">
              <w:rPr>
                <w:rFonts w:ascii="Times New Roman" w:eastAsia="Times New Roman" w:hAnsi="Times New Roman" w:cs="Times New Roman"/>
                <w:sz w:val="24"/>
                <w:szCs w:val="24"/>
                <w:lang w:val="uk-UA"/>
              </w:rPr>
              <w:t>сайті</w:t>
            </w:r>
            <w:proofErr w:type="spellEnd"/>
            <w:r w:rsidRPr="00AE0BCD">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ліцензіата проєкту інвестиційної програми для забезпечення можливості збору зауважень та пропозицій протягом не менше 30 календарних днів є надлишковим та суттєво подовжує час формування інвестиційної програми.</w:t>
            </w:r>
          </w:p>
          <w:p w14:paraId="69282BFE" w14:textId="3587D34A" w:rsidR="00AE0BCD" w:rsidRPr="00AE0BCD" w:rsidRDefault="00AE0BCD" w:rsidP="009E6643">
            <w:pPr>
              <w:pStyle w:val="a6"/>
              <w:numPr>
                <w:ilvl w:val="0"/>
                <w:numId w:val="3"/>
              </w:numPr>
              <w:shd w:val="clear" w:color="auto" w:fill="FFFFFF"/>
              <w:spacing w:line="240" w:lineRule="auto"/>
              <w:ind w:left="46" w:right="46" w:firstLine="31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Протирічить вимогам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w:t>
            </w:r>
            <w:r w:rsidR="009E6643">
              <w:rPr>
                <w:rFonts w:ascii="Times New Roman" w:eastAsia="Times New Roman" w:hAnsi="Times New Roman" w:cs="Times New Roman"/>
                <w:sz w:val="24"/>
                <w:szCs w:val="24"/>
                <w:lang w:val="uk-UA"/>
              </w:rPr>
              <w:t> </w:t>
            </w:r>
            <w:r>
              <w:rPr>
                <w:rFonts w:ascii="Times New Roman" w:eastAsia="Times New Roman" w:hAnsi="Times New Roman" w:cs="Times New Roman"/>
                <w:sz w:val="24"/>
                <w:szCs w:val="24"/>
                <w:lang w:val="uk-UA"/>
              </w:rPr>
              <w:t>чер</w:t>
            </w:r>
            <w:r w:rsidR="009E6643">
              <w:rPr>
                <w:rFonts w:ascii="Times New Roman" w:eastAsia="Times New Roman" w:hAnsi="Times New Roman" w:cs="Times New Roman"/>
                <w:sz w:val="24"/>
                <w:szCs w:val="24"/>
                <w:lang w:val="uk-UA"/>
              </w:rPr>
              <w:t>вня 2017 року № 866.</w:t>
            </w:r>
          </w:p>
        </w:tc>
        <w:tc>
          <w:tcPr>
            <w:tcW w:w="3544" w:type="dxa"/>
            <w:shd w:val="clear" w:color="auto" w:fill="auto"/>
          </w:tcPr>
          <w:p w14:paraId="7CC9DB8B" w14:textId="77777777" w:rsidR="006A44C9" w:rsidRDefault="006A44C9" w:rsidP="004876E5">
            <w:pPr>
              <w:spacing w:line="240" w:lineRule="auto"/>
              <w:contextualSpacing/>
              <w:jc w:val="both"/>
              <w:rPr>
                <w:rFonts w:ascii="Times New Roman" w:eastAsia="Times New Roman" w:hAnsi="Times New Roman" w:cs="Times New Roman"/>
                <w:b/>
                <w:sz w:val="24"/>
                <w:szCs w:val="24"/>
                <w:lang w:val="uk-UA"/>
              </w:rPr>
            </w:pPr>
          </w:p>
          <w:p w14:paraId="625D7877" w14:textId="0530098F" w:rsidR="006A44C9" w:rsidRDefault="006A44C9" w:rsidP="004876E5">
            <w:pPr>
              <w:spacing w:line="240" w:lineRule="auto"/>
              <w:contextualSpacing/>
              <w:jc w:val="both"/>
              <w:rPr>
                <w:rFonts w:ascii="Times New Roman" w:eastAsia="Times New Roman" w:hAnsi="Times New Roman" w:cs="Times New Roman"/>
                <w:b/>
                <w:sz w:val="24"/>
                <w:szCs w:val="24"/>
                <w:lang w:val="uk-UA"/>
              </w:rPr>
            </w:pPr>
          </w:p>
          <w:p w14:paraId="1EEB7470" w14:textId="49DEBD16" w:rsidR="00EC7384" w:rsidRDefault="00EC7384" w:rsidP="004876E5">
            <w:pPr>
              <w:spacing w:line="240" w:lineRule="auto"/>
              <w:contextualSpacing/>
              <w:jc w:val="both"/>
              <w:rPr>
                <w:rFonts w:ascii="Times New Roman" w:eastAsia="Times New Roman" w:hAnsi="Times New Roman" w:cs="Times New Roman"/>
                <w:b/>
                <w:sz w:val="24"/>
                <w:szCs w:val="24"/>
                <w:lang w:val="uk-UA"/>
              </w:rPr>
            </w:pPr>
          </w:p>
          <w:p w14:paraId="0108CB04" w14:textId="4960F9A5" w:rsidR="00EC7384" w:rsidRDefault="00EC7384" w:rsidP="004876E5">
            <w:pPr>
              <w:spacing w:line="240" w:lineRule="auto"/>
              <w:contextualSpacing/>
              <w:jc w:val="both"/>
              <w:rPr>
                <w:rFonts w:ascii="Times New Roman" w:eastAsia="Times New Roman" w:hAnsi="Times New Roman" w:cs="Times New Roman"/>
                <w:b/>
                <w:sz w:val="24"/>
                <w:szCs w:val="24"/>
                <w:lang w:val="uk-UA"/>
              </w:rPr>
            </w:pPr>
          </w:p>
          <w:p w14:paraId="632E3E61" w14:textId="02AC2955" w:rsidR="006A44C9" w:rsidRDefault="003A2689" w:rsidP="004876E5">
            <w:pP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Потребує</w:t>
            </w:r>
            <w:r w:rsidR="00943672" w:rsidRPr="00EC7384">
              <w:rPr>
                <w:rFonts w:ascii="Times New Roman" w:eastAsia="Times New Roman" w:hAnsi="Times New Roman" w:cs="Times New Roman"/>
                <w:b/>
                <w:sz w:val="24"/>
                <w:szCs w:val="24"/>
                <w:lang w:val="uk-UA"/>
              </w:rPr>
              <w:t xml:space="preserve"> обговорення</w:t>
            </w:r>
          </w:p>
          <w:p w14:paraId="452CA750" w14:textId="056ACD68" w:rsidR="00642F65" w:rsidRPr="004876E5" w:rsidRDefault="00642F65" w:rsidP="004876E5">
            <w:pPr>
              <w:spacing w:line="240" w:lineRule="auto"/>
              <w:contextualSpacing/>
              <w:jc w:val="both"/>
              <w:rPr>
                <w:rFonts w:ascii="Times New Roman" w:eastAsia="Times New Roman" w:hAnsi="Times New Roman" w:cs="Times New Roman"/>
                <w:sz w:val="24"/>
                <w:szCs w:val="24"/>
                <w:lang w:val="uk-UA"/>
              </w:rPr>
            </w:pPr>
          </w:p>
        </w:tc>
      </w:tr>
      <w:tr w:rsidR="009E6643" w:rsidRPr="009E6643" w14:paraId="211B11EF" w14:textId="77777777" w:rsidTr="00E92AD6">
        <w:trPr>
          <w:trHeight w:val="107"/>
          <w:jc w:val="center"/>
        </w:trPr>
        <w:tc>
          <w:tcPr>
            <w:tcW w:w="5519" w:type="dxa"/>
            <w:shd w:val="clear" w:color="auto" w:fill="auto"/>
            <w:tcMar>
              <w:top w:w="100" w:type="dxa"/>
              <w:left w:w="100" w:type="dxa"/>
              <w:bottom w:w="100" w:type="dxa"/>
              <w:right w:w="100" w:type="dxa"/>
            </w:tcMar>
          </w:tcPr>
          <w:p w14:paraId="2F8D66B0" w14:textId="77777777" w:rsidR="00943672" w:rsidRDefault="00943672" w:rsidP="009E6643">
            <w:pPr>
              <w:spacing w:line="240" w:lineRule="auto"/>
              <w:ind w:left="33" w:right="46" w:hanging="9"/>
              <w:jc w:val="both"/>
              <w:rPr>
                <w:rFonts w:ascii="Times New Roman" w:hAnsi="Times New Roman" w:cs="Times New Roman"/>
                <w:color w:val="000000"/>
                <w:sz w:val="24"/>
                <w:szCs w:val="24"/>
                <w:lang w:val="uk-UA"/>
              </w:rPr>
            </w:pPr>
          </w:p>
          <w:p w14:paraId="1F2ACF5B" w14:textId="77777777" w:rsidR="00943672" w:rsidRDefault="00943672" w:rsidP="009E6643">
            <w:pPr>
              <w:spacing w:line="240" w:lineRule="auto"/>
              <w:ind w:left="33" w:right="46" w:hanging="9"/>
              <w:jc w:val="both"/>
              <w:rPr>
                <w:rFonts w:ascii="Times New Roman" w:hAnsi="Times New Roman" w:cs="Times New Roman"/>
                <w:color w:val="000000"/>
                <w:sz w:val="24"/>
                <w:szCs w:val="24"/>
                <w:lang w:val="uk-UA"/>
              </w:rPr>
            </w:pPr>
          </w:p>
          <w:p w14:paraId="62AF29E0" w14:textId="77777777" w:rsidR="00943672" w:rsidRDefault="00943672" w:rsidP="009E6643">
            <w:pPr>
              <w:spacing w:line="240" w:lineRule="auto"/>
              <w:ind w:left="33" w:right="46" w:hanging="9"/>
              <w:jc w:val="both"/>
              <w:rPr>
                <w:rFonts w:ascii="Times New Roman" w:hAnsi="Times New Roman" w:cs="Times New Roman"/>
                <w:color w:val="000000"/>
                <w:sz w:val="24"/>
                <w:szCs w:val="24"/>
                <w:lang w:val="uk-UA"/>
              </w:rPr>
            </w:pPr>
          </w:p>
          <w:p w14:paraId="47D8C384" w14:textId="77777777" w:rsidR="00943672" w:rsidRDefault="00943672" w:rsidP="009E6643">
            <w:pPr>
              <w:spacing w:line="240" w:lineRule="auto"/>
              <w:ind w:left="33" w:right="46" w:hanging="9"/>
              <w:jc w:val="both"/>
              <w:rPr>
                <w:rFonts w:ascii="Times New Roman" w:hAnsi="Times New Roman" w:cs="Times New Roman"/>
                <w:color w:val="000000"/>
                <w:sz w:val="24"/>
                <w:szCs w:val="24"/>
                <w:lang w:val="uk-UA"/>
              </w:rPr>
            </w:pPr>
          </w:p>
          <w:p w14:paraId="4F9481BD" w14:textId="74E6730E" w:rsidR="009E6643" w:rsidRPr="009E76EC" w:rsidRDefault="009E6643" w:rsidP="009E6643">
            <w:pPr>
              <w:spacing w:line="240" w:lineRule="auto"/>
              <w:ind w:left="33" w:right="46" w:hanging="9"/>
              <w:jc w:val="both"/>
              <w:rPr>
                <w:rFonts w:ascii="Times New Roman" w:hAnsi="Times New Roman" w:cs="Times New Roman"/>
                <w:color w:val="000000"/>
                <w:sz w:val="24"/>
                <w:szCs w:val="24"/>
                <w:lang w:val="uk-UA"/>
              </w:rPr>
            </w:pPr>
            <w:r w:rsidRPr="009E76EC">
              <w:rPr>
                <w:rFonts w:ascii="Times New Roman" w:hAnsi="Times New Roman" w:cs="Times New Roman"/>
                <w:color w:val="000000"/>
                <w:sz w:val="24"/>
                <w:szCs w:val="24"/>
                <w:lang w:val="uk-UA"/>
              </w:rPr>
              <w:t xml:space="preserve">3.2. </w:t>
            </w:r>
            <w:r w:rsidRPr="00943672">
              <w:rPr>
                <w:rFonts w:ascii="Times New Roman" w:hAnsi="Times New Roman" w:cs="Times New Roman"/>
                <w:b/>
                <w:strike/>
                <w:color w:val="000000"/>
                <w:sz w:val="24"/>
                <w:szCs w:val="24"/>
                <w:lang w:val="uk-UA"/>
              </w:rPr>
              <w:t>Інвестиційна програма оформлюється з дотриманням вимог цього Порядку, затверджується в установленому законодавством порядку, погоджується центральним органом виконавчої влади, що формує та забезпечує реалізацію державної політики в електроенергетичному комплексі, іншими органами виконавчої влади та/або органами місцевого самоврядування в межах чинного законодавства</w:t>
            </w:r>
            <w:r w:rsidRPr="009E76EC">
              <w:rPr>
                <w:rFonts w:ascii="Times New Roman" w:hAnsi="Times New Roman" w:cs="Times New Roman"/>
                <w:color w:val="000000"/>
                <w:sz w:val="24"/>
                <w:szCs w:val="24"/>
                <w:lang w:val="uk-UA"/>
              </w:rPr>
              <w:t>.</w:t>
            </w:r>
          </w:p>
          <w:p w14:paraId="0B914691" w14:textId="14D7F823" w:rsidR="009E6643" w:rsidRPr="009E6643" w:rsidRDefault="009E6643" w:rsidP="009E6643">
            <w:pPr>
              <w:spacing w:line="240" w:lineRule="auto"/>
              <w:ind w:left="33" w:right="46" w:hanging="9"/>
              <w:jc w:val="both"/>
              <w:rPr>
                <w:rFonts w:ascii="Times New Roman" w:hAnsi="Times New Roman" w:cs="Times New Roman"/>
                <w:color w:val="000000"/>
                <w:sz w:val="24"/>
                <w:szCs w:val="24"/>
                <w:lang w:val="uk-UA"/>
              </w:rPr>
            </w:pPr>
            <w:r w:rsidRPr="009E76EC">
              <w:rPr>
                <w:rFonts w:ascii="Times New Roman" w:hAnsi="Times New Roman" w:cs="Times New Roman"/>
                <w:color w:val="000000"/>
                <w:sz w:val="24"/>
                <w:szCs w:val="24"/>
                <w:lang w:val="uk-UA"/>
              </w:rPr>
              <w:t>…</w:t>
            </w:r>
          </w:p>
        </w:tc>
        <w:tc>
          <w:tcPr>
            <w:tcW w:w="5528" w:type="dxa"/>
            <w:shd w:val="clear" w:color="auto" w:fill="auto"/>
          </w:tcPr>
          <w:p w14:paraId="200DF2FD" w14:textId="1B66B184" w:rsidR="00943672" w:rsidRDefault="00943672" w:rsidP="00943672">
            <w:pPr>
              <w:spacing w:line="240" w:lineRule="auto"/>
              <w:ind w:left="33" w:right="46" w:hanging="9"/>
              <w:jc w:val="both"/>
              <w:rPr>
                <w:rFonts w:ascii="Times New Roman" w:hAnsi="Times New Roman" w:cs="Times New Roman"/>
                <w:color w:val="000000"/>
                <w:sz w:val="24"/>
                <w:szCs w:val="24"/>
                <w:lang w:val="uk-UA"/>
              </w:rPr>
            </w:pPr>
            <w:r w:rsidRPr="00C6661D">
              <w:rPr>
                <w:rFonts w:ascii="Times New Roman" w:eastAsia="Times New Roman" w:hAnsi="Times New Roman" w:cs="Times New Roman"/>
                <w:i/>
                <w:sz w:val="24"/>
                <w:szCs w:val="24"/>
                <w:lang w:val="uk-UA"/>
              </w:rPr>
              <w:t>Комунальне підприємство виконавчого органу Київради (Київської міської державної адміністрації) «</w:t>
            </w:r>
            <w:proofErr w:type="spellStart"/>
            <w:r w:rsidRPr="00C6661D">
              <w:rPr>
                <w:rFonts w:ascii="Times New Roman" w:eastAsia="Times New Roman" w:hAnsi="Times New Roman" w:cs="Times New Roman"/>
                <w:i/>
                <w:sz w:val="24"/>
                <w:szCs w:val="24"/>
                <w:lang w:val="uk-UA"/>
              </w:rPr>
              <w:t>Київтеплоенерго</w:t>
            </w:r>
            <w:proofErr w:type="spellEnd"/>
            <w:r w:rsidRPr="00C6661D">
              <w:rPr>
                <w:rFonts w:ascii="Times New Roman" w:eastAsia="Times New Roman" w:hAnsi="Times New Roman" w:cs="Times New Roman"/>
                <w:i/>
                <w:sz w:val="24"/>
                <w:szCs w:val="24"/>
                <w:lang w:val="uk-UA"/>
              </w:rPr>
              <w:t>»</w:t>
            </w:r>
            <w:r>
              <w:rPr>
                <w:rFonts w:ascii="Times New Roman" w:eastAsia="Times New Roman" w:hAnsi="Times New Roman" w:cs="Times New Roman"/>
                <w:i/>
                <w:sz w:val="24"/>
                <w:szCs w:val="24"/>
                <w:lang w:val="uk-UA"/>
              </w:rPr>
              <w:t xml:space="preserve"> </w:t>
            </w:r>
            <w:r w:rsidRPr="00C869B7">
              <w:rPr>
                <w:rFonts w:ascii="Times New Roman" w:eastAsia="Times New Roman" w:hAnsi="Times New Roman" w:cs="Times New Roman"/>
                <w:i/>
                <w:sz w:val="24"/>
                <w:szCs w:val="24"/>
                <w:lang w:val="uk-UA"/>
              </w:rPr>
              <w:t>пропонує</w:t>
            </w:r>
            <w:r>
              <w:rPr>
                <w:rFonts w:ascii="Times New Roman" w:eastAsia="Times New Roman" w:hAnsi="Times New Roman" w:cs="Times New Roman"/>
                <w:i/>
                <w:sz w:val="24"/>
                <w:szCs w:val="24"/>
                <w:lang w:val="uk-UA"/>
              </w:rPr>
              <w:t xml:space="preserve"> абзац перший пункту 3.2. виключити.</w:t>
            </w:r>
          </w:p>
          <w:p w14:paraId="3E99EF57" w14:textId="7278D19A" w:rsidR="00943672" w:rsidRPr="009E76EC" w:rsidRDefault="00943672" w:rsidP="00943672">
            <w:pPr>
              <w:spacing w:line="240" w:lineRule="auto"/>
              <w:ind w:left="33" w:right="46" w:hanging="9"/>
              <w:jc w:val="both"/>
              <w:rPr>
                <w:rFonts w:ascii="Times New Roman" w:hAnsi="Times New Roman" w:cs="Times New Roman"/>
                <w:color w:val="000000"/>
                <w:sz w:val="24"/>
                <w:szCs w:val="24"/>
                <w:lang w:val="uk-UA"/>
              </w:rPr>
            </w:pPr>
            <w:r w:rsidRPr="009E76EC">
              <w:rPr>
                <w:rFonts w:ascii="Times New Roman" w:hAnsi="Times New Roman" w:cs="Times New Roman"/>
                <w:color w:val="000000"/>
                <w:sz w:val="24"/>
                <w:szCs w:val="24"/>
                <w:lang w:val="uk-UA"/>
              </w:rPr>
              <w:t xml:space="preserve">3.2. </w:t>
            </w:r>
            <w:r w:rsidRPr="00943672">
              <w:rPr>
                <w:rFonts w:ascii="Times New Roman" w:hAnsi="Times New Roman" w:cs="Times New Roman"/>
                <w:b/>
                <w:strike/>
                <w:color w:val="000000"/>
                <w:sz w:val="24"/>
                <w:szCs w:val="24"/>
                <w:lang w:val="uk-UA"/>
              </w:rPr>
              <w:t>Інвестиційна програма оформлюється з дотриманням вимог цього Порядку, затверджується в установленому законодавством порядку, погоджується центральним органом виконавчої влади, що формує та забезпечує реалізацію державної політики в електроенергетичному комплексі, іншими органами виконавчої влади та/або органами місцевого самоврядування в межах чинного законодавства.</w:t>
            </w:r>
          </w:p>
          <w:p w14:paraId="634F3474" w14:textId="77777777" w:rsidR="009E6643" w:rsidRDefault="00943672" w:rsidP="00943672">
            <w:pPr>
              <w:widowControl w:val="0"/>
              <w:spacing w:line="240" w:lineRule="auto"/>
              <w:contextualSpacing/>
              <w:jc w:val="both"/>
              <w:rPr>
                <w:rFonts w:ascii="Times New Roman" w:hAnsi="Times New Roman" w:cs="Times New Roman"/>
                <w:color w:val="000000"/>
                <w:sz w:val="24"/>
                <w:szCs w:val="24"/>
                <w:lang w:val="uk-UA"/>
              </w:rPr>
            </w:pPr>
            <w:r w:rsidRPr="009E76EC">
              <w:rPr>
                <w:rFonts w:ascii="Times New Roman" w:hAnsi="Times New Roman" w:cs="Times New Roman"/>
                <w:color w:val="000000"/>
                <w:sz w:val="24"/>
                <w:szCs w:val="24"/>
                <w:lang w:val="uk-UA"/>
              </w:rPr>
              <w:t>…</w:t>
            </w:r>
          </w:p>
          <w:p w14:paraId="7D6F8912" w14:textId="77777777" w:rsidR="00943672" w:rsidRDefault="00943672" w:rsidP="00943672">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4C43150B" w14:textId="448B1FA3" w:rsidR="00943672" w:rsidRPr="006867EC" w:rsidRDefault="006867EC" w:rsidP="006867EC">
            <w:pPr>
              <w:pStyle w:val="a6"/>
              <w:widowControl w:val="0"/>
              <w:numPr>
                <w:ilvl w:val="0"/>
                <w:numId w:val="4"/>
              </w:numPr>
              <w:spacing w:line="240" w:lineRule="auto"/>
              <w:ind w:left="46" w:firstLine="314"/>
              <w:jc w:val="both"/>
              <w:rPr>
                <w:rFonts w:ascii="Times New Roman" w:eastAsia="Times New Roman" w:hAnsi="Times New Roman" w:cs="Times New Roman"/>
                <w:sz w:val="24"/>
                <w:szCs w:val="24"/>
                <w:lang w:val="uk-UA"/>
              </w:rPr>
            </w:pPr>
            <w:r w:rsidRPr="006867EC">
              <w:rPr>
                <w:rFonts w:ascii="Times New Roman" w:eastAsia="Times New Roman" w:hAnsi="Times New Roman" w:cs="Times New Roman"/>
                <w:sz w:val="24"/>
                <w:szCs w:val="24"/>
                <w:lang w:val="uk-UA"/>
              </w:rPr>
              <w:t xml:space="preserve">Відповідно до змін у Положенні про Міністерство енергетики України, внесених постановою КМУ від 11.08.2021 № 863, із завдань Міненерго виключено погодження інвестиційних програм оператора системи передачі електричної енергії та операторів систем розподілу електричної енергії, а також виробників, що здійснюють комбіноване виробництво електричної та теплової енергії на теплоелектроцентралях відповідно до </w:t>
            </w:r>
            <w:r w:rsidRPr="006867EC">
              <w:rPr>
                <w:rFonts w:ascii="Times New Roman" w:eastAsia="Times New Roman" w:hAnsi="Times New Roman" w:cs="Times New Roman"/>
                <w:sz w:val="24"/>
                <w:szCs w:val="24"/>
                <w:lang w:val="uk-UA"/>
              </w:rPr>
              <w:lastRenderedPageBreak/>
              <w:t>Закону України «Про ринок електричної енергії».</w:t>
            </w:r>
          </w:p>
          <w:p w14:paraId="5F4CD70E" w14:textId="159240A4" w:rsidR="006867EC" w:rsidRPr="006867EC" w:rsidRDefault="006867EC" w:rsidP="006867EC">
            <w:pPr>
              <w:pStyle w:val="a6"/>
              <w:widowControl w:val="0"/>
              <w:numPr>
                <w:ilvl w:val="0"/>
                <w:numId w:val="4"/>
              </w:numPr>
              <w:spacing w:line="240" w:lineRule="auto"/>
              <w:ind w:left="46" w:firstLine="31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Відповідно до Закону України «Про місцеве самоврядування в Україні» від 21.05.1997 № 280/97-ВР зі змінами у органів місцевого самоврядування відсутні повноваження погоджувати інвестиційні програми ліцензіатів з виробництва електричної та теплової енергії на теплоелектроцентралях та когенераційних установках.</w:t>
            </w:r>
          </w:p>
        </w:tc>
        <w:tc>
          <w:tcPr>
            <w:tcW w:w="3544" w:type="dxa"/>
            <w:shd w:val="clear" w:color="auto" w:fill="auto"/>
          </w:tcPr>
          <w:p w14:paraId="4F626CCF" w14:textId="77777777" w:rsidR="00943672" w:rsidRDefault="00943672" w:rsidP="004876E5">
            <w:pPr>
              <w:spacing w:line="240" w:lineRule="auto"/>
              <w:contextualSpacing/>
              <w:jc w:val="both"/>
              <w:rPr>
                <w:rFonts w:ascii="Times New Roman" w:eastAsia="Times New Roman" w:hAnsi="Times New Roman" w:cs="Times New Roman"/>
                <w:b/>
                <w:sz w:val="24"/>
                <w:szCs w:val="24"/>
                <w:lang w:val="uk-UA"/>
              </w:rPr>
            </w:pPr>
          </w:p>
          <w:p w14:paraId="0E82C72A" w14:textId="77777777" w:rsidR="00943672" w:rsidRDefault="00943672" w:rsidP="004876E5">
            <w:pPr>
              <w:spacing w:line="240" w:lineRule="auto"/>
              <w:contextualSpacing/>
              <w:jc w:val="both"/>
              <w:rPr>
                <w:rFonts w:ascii="Times New Roman" w:eastAsia="Times New Roman" w:hAnsi="Times New Roman" w:cs="Times New Roman"/>
                <w:b/>
                <w:sz w:val="24"/>
                <w:szCs w:val="24"/>
                <w:lang w:val="uk-UA"/>
              </w:rPr>
            </w:pPr>
          </w:p>
          <w:p w14:paraId="2B87F80D" w14:textId="77777777" w:rsidR="00943672" w:rsidRDefault="00943672" w:rsidP="004876E5">
            <w:pPr>
              <w:spacing w:line="240" w:lineRule="auto"/>
              <w:contextualSpacing/>
              <w:jc w:val="both"/>
              <w:rPr>
                <w:rFonts w:ascii="Times New Roman" w:eastAsia="Times New Roman" w:hAnsi="Times New Roman" w:cs="Times New Roman"/>
                <w:b/>
                <w:sz w:val="24"/>
                <w:szCs w:val="24"/>
                <w:lang w:val="uk-UA"/>
              </w:rPr>
            </w:pPr>
          </w:p>
          <w:p w14:paraId="36C17B39" w14:textId="77777777" w:rsidR="00943672" w:rsidRDefault="00943672" w:rsidP="004876E5">
            <w:pPr>
              <w:spacing w:line="240" w:lineRule="auto"/>
              <w:contextualSpacing/>
              <w:jc w:val="both"/>
              <w:rPr>
                <w:rFonts w:ascii="Times New Roman" w:eastAsia="Times New Roman" w:hAnsi="Times New Roman" w:cs="Times New Roman"/>
                <w:b/>
                <w:sz w:val="24"/>
                <w:szCs w:val="24"/>
                <w:lang w:val="uk-UA"/>
              </w:rPr>
            </w:pPr>
          </w:p>
          <w:p w14:paraId="21E31EA3" w14:textId="12748F0A" w:rsidR="00943672" w:rsidRPr="00943672" w:rsidRDefault="003A2689" w:rsidP="004876E5">
            <w:pP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Потребує</w:t>
            </w:r>
            <w:r w:rsidR="001871D7" w:rsidRPr="00EC7384">
              <w:rPr>
                <w:rFonts w:ascii="Times New Roman" w:eastAsia="Times New Roman" w:hAnsi="Times New Roman" w:cs="Times New Roman"/>
                <w:b/>
                <w:sz w:val="24"/>
                <w:szCs w:val="24"/>
                <w:lang w:val="uk-UA"/>
              </w:rPr>
              <w:t xml:space="preserve"> обговорення</w:t>
            </w:r>
          </w:p>
        </w:tc>
      </w:tr>
      <w:tr w:rsidR="009E6643" w:rsidRPr="009E6643" w14:paraId="2C6AA05B" w14:textId="77777777" w:rsidTr="00E92AD6">
        <w:trPr>
          <w:trHeight w:val="107"/>
          <w:jc w:val="center"/>
        </w:trPr>
        <w:tc>
          <w:tcPr>
            <w:tcW w:w="5519" w:type="dxa"/>
            <w:shd w:val="clear" w:color="auto" w:fill="auto"/>
            <w:tcMar>
              <w:top w:w="100" w:type="dxa"/>
              <w:left w:w="100" w:type="dxa"/>
              <w:bottom w:w="100" w:type="dxa"/>
              <w:right w:w="100" w:type="dxa"/>
            </w:tcMar>
          </w:tcPr>
          <w:p w14:paraId="63045539" w14:textId="77777777" w:rsidR="00665223" w:rsidRDefault="00665223" w:rsidP="004876E5">
            <w:pPr>
              <w:spacing w:line="240" w:lineRule="auto"/>
              <w:ind w:left="33" w:right="46" w:hanging="9"/>
              <w:jc w:val="both"/>
              <w:rPr>
                <w:rFonts w:ascii="Times New Roman" w:hAnsi="Times New Roman" w:cs="Times New Roman"/>
                <w:color w:val="000000"/>
                <w:sz w:val="24"/>
                <w:szCs w:val="24"/>
                <w:lang w:val="uk-UA"/>
              </w:rPr>
            </w:pPr>
          </w:p>
          <w:p w14:paraId="7C9EA9BE" w14:textId="77777777" w:rsidR="00665223" w:rsidRDefault="00665223" w:rsidP="004876E5">
            <w:pPr>
              <w:spacing w:line="240" w:lineRule="auto"/>
              <w:ind w:left="33" w:right="46" w:hanging="9"/>
              <w:jc w:val="both"/>
              <w:rPr>
                <w:rFonts w:ascii="Times New Roman" w:hAnsi="Times New Roman" w:cs="Times New Roman"/>
                <w:color w:val="000000"/>
                <w:sz w:val="24"/>
                <w:szCs w:val="24"/>
                <w:lang w:val="uk-UA"/>
              </w:rPr>
            </w:pPr>
          </w:p>
          <w:p w14:paraId="30E1E682" w14:textId="77777777" w:rsidR="00665223" w:rsidRDefault="00665223" w:rsidP="004876E5">
            <w:pPr>
              <w:spacing w:line="240" w:lineRule="auto"/>
              <w:ind w:left="33" w:right="46" w:hanging="9"/>
              <w:jc w:val="both"/>
              <w:rPr>
                <w:rFonts w:ascii="Times New Roman" w:hAnsi="Times New Roman" w:cs="Times New Roman"/>
                <w:color w:val="000000"/>
                <w:sz w:val="24"/>
                <w:szCs w:val="24"/>
                <w:lang w:val="uk-UA"/>
              </w:rPr>
            </w:pPr>
          </w:p>
          <w:p w14:paraId="0452D7F5" w14:textId="77777777" w:rsidR="00665223" w:rsidRDefault="00665223" w:rsidP="004876E5">
            <w:pPr>
              <w:spacing w:line="240" w:lineRule="auto"/>
              <w:ind w:left="33" w:right="46" w:hanging="9"/>
              <w:jc w:val="both"/>
              <w:rPr>
                <w:rFonts w:ascii="Times New Roman" w:hAnsi="Times New Roman" w:cs="Times New Roman"/>
                <w:color w:val="000000"/>
                <w:sz w:val="24"/>
                <w:szCs w:val="24"/>
                <w:lang w:val="uk-UA"/>
              </w:rPr>
            </w:pPr>
          </w:p>
          <w:p w14:paraId="20AE8E75" w14:textId="793374D8" w:rsidR="009E6643" w:rsidRPr="00665223" w:rsidRDefault="00665223" w:rsidP="004876E5">
            <w:pPr>
              <w:spacing w:line="240" w:lineRule="auto"/>
              <w:ind w:left="33" w:right="46" w:hanging="9"/>
              <w:jc w:val="both"/>
              <w:rPr>
                <w:rFonts w:ascii="Times New Roman" w:hAnsi="Times New Roman" w:cs="Times New Roman"/>
                <w:color w:val="000000"/>
                <w:sz w:val="24"/>
                <w:szCs w:val="24"/>
                <w:lang w:val="uk-UA"/>
              </w:rPr>
            </w:pPr>
            <w:r w:rsidRPr="00665223">
              <w:rPr>
                <w:rFonts w:ascii="Times New Roman" w:hAnsi="Times New Roman" w:cs="Times New Roman"/>
                <w:color w:val="000000"/>
                <w:sz w:val="24"/>
                <w:szCs w:val="24"/>
                <w:lang w:val="uk-UA"/>
              </w:rPr>
              <w:t xml:space="preserve">3.9. Схвалена НКРЕКП інвестиційна програма оформлюється ліцензіатом у чотирьох примірниках. Протягом </w:t>
            </w:r>
            <w:r w:rsidRPr="00665223">
              <w:rPr>
                <w:rFonts w:ascii="Times New Roman" w:hAnsi="Times New Roman" w:cs="Times New Roman"/>
                <w:b/>
                <w:color w:val="000000"/>
                <w:sz w:val="24"/>
                <w:szCs w:val="24"/>
                <w:lang w:val="uk-UA"/>
              </w:rPr>
              <w:t>п’яти робочих днів</w:t>
            </w:r>
            <w:r w:rsidRPr="00665223">
              <w:rPr>
                <w:rFonts w:ascii="Times New Roman" w:hAnsi="Times New Roman" w:cs="Times New Roman"/>
                <w:color w:val="000000"/>
                <w:sz w:val="24"/>
                <w:szCs w:val="24"/>
                <w:lang w:val="uk-UA"/>
              </w:rPr>
              <w:t xml:space="preserve"> з дня схвалення інвестиційної програми перший примірник та його копія в електронній формі надаються до центрального апарату НКРЕКП</w:t>
            </w:r>
            <w:r>
              <w:rPr>
                <w:rFonts w:ascii="Times New Roman" w:hAnsi="Times New Roman" w:cs="Times New Roman"/>
                <w:color w:val="000000"/>
                <w:sz w:val="24"/>
                <w:szCs w:val="24"/>
                <w:lang w:val="uk-UA"/>
              </w:rPr>
              <w:t xml:space="preserve"> …</w:t>
            </w:r>
          </w:p>
        </w:tc>
        <w:tc>
          <w:tcPr>
            <w:tcW w:w="5528" w:type="dxa"/>
            <w:shd w:val="clear" w:color="auto" w:fill="auto"/>
          </w:tcPr>
          <w:p w14:paraId="5B6E0DE5" w14:textId="2817F052" w:rsidR="00665223" w:rsidRDefault="00665223" w:rsidP="00665223">
            <w:pPr>
              <w:widowControl w:val="0"/>
              <w:spacing w:line="240" w:lineRule="auto"/>
              <w:contextualSpacing/>
              <w:jc w:val="both"/>
              <w:rPr>
                <w:rFonts w:ascii="Times New Roman" w:eastAsia="Times New Roman" w:hAnsi="Times New Roman" w:cs="Times New Roman"/>
                <w:i/>
                <w:sz w:val="24"/>
                <w:szCs w:val="24"/>
                <w:lang w:val="uk-UA"/>
              </w:rPr>
            </w:pPr>
            <w:r w:rsidRPr="00C6661D">
              <w:rPr>
                <w:rFonts w:ascii="Times New Roman" w:eastAsia="Times New Roman" w:hAnsi="Times New Roman" w:cs="Times New Roman"/>
                <w:i/>
                <w:sz w:val="24"/>
                <w:szCs w:val="24"/>
                <w:lang w:val="uk-UA"/>
              </w:rPr>
              <w:t>Комунальне підприємство виконавчого органу Київради (Київської міської державної адміністрації) «</w:t>
            </w:r>
            <w:proofErr w:type="spellStart"/>
            <w:r w:rsidRPr="00C6661D">
              <w:rPr>
                <w:rFonts w:ascii="Times New Roman" w:eastAsia="Times New Roman" w:hAnsi="Times New Roman" w:cs="Times New Roman"/>
                <w:i/>
                <w:sz w:val="24"/>
                <w:szCs w:val="24"/>
                <w:lang w:val="uk-UA"/>
              </w:rPr>
              <w:t>Київтеплоенерго</w:t>
            </w:r>
            <w:proofErr w:type="spellEnd"/>
            <w:r w:rsidRPr="00C6661D">
              <w:rPr>
                <w:rFonts w:ascii="Times New Roman" w:eastAsia="Times New Roman" w:hAnsi="Times New Roman" w:cs="Times New Roman"/>
                <w:i/>
                <w:sz w:val="24"/>
                <w:szCs w:val="24"/>
                <w:lang w:val="uk-UA"/>
              </w:rPr>
              <w:t>»</w:t>
            </w:r>
            <w:r w:rsidRPr="00C869B7">
              <w:rPr>
                <w:rFonts w:ascii="Times New Roman" w:eastAsia="Times New Roman" w:hAnsi="Times New Roman" w:cs="Times New Roman"/>
                <w:i/>
                <w:sz w:val="24"/>
                <w:szCs w:val="24"/>
                <w:lang w:val="uk-UA"/>
              </w:rPr>
              <w:t xml:space="preserve"> пропонує</w:t>
            </w:r>
            <w:r>
              <w:rPr>
                <w:rFonts w:ascii="Times New Roman" w:eastAsia="Times New Roman" w:hAnsi="Times New Roman" w:cs="Times New Roman"/>
                <w:i/>
                <w:sz w:val="24"/>
                <w:szCs w:val="24"/>
                <w:lang w:val="uk-UA"/>
              </w:rPr>
              <w:t xml:space="preserve"> викласти в такій редакції:</w:t>
            </w:r>
          </w:p>
          <w:p w14:paraId="60AA61FD" w14:textId="77777777" w:rsidR="009E6643" w:rsidRDefault="00665223" w:rsidP="004876E5">
            <w:pPr>
              <w:widowControl w:val="0"/>
              <w:spacing w:line="240" w:lineRule="auto"/>
              <w:contextualSpacing/>
              <w:jc w:val="both"/>
              <w:rPr>
                <w:rFonts w:ascii="Times New Roman" w:hAnsi="Times New Roman" w:cs="Times New Roman"/>
                <w:color w:val="000000"/>
                <w:sz w:val="24"/>
                <w:szCs w:val="24"/>
                <w:lang w:val="uk-UA"/>
              </w:rPr>
            </w:pPr>
            <w:r w:rsidRPr="00665223">
              <w:rPr>
                <w:rFonts w:ascii="Times New Roman" w:eastAsia="Times New Roman" w:hAnsi="Times New Roman" w:cs="Times New Roman"/>
                <w:sz w:val="24"/>
                <w:szCs w:val="24"/>
                <w:lang w:val="uk-UA"/>
              </w:rPr>
              <w:t>3.9. Схвалена НКРЕКП інвестиційна програма оформлюється ліцензіатом у чотирьох примірниках.</w:t>
            </w:r>
            <w:r w:rsidRPr="00665223">
              <w:rPr>
                <w:rFonts w:ascii="Times New Roman" w:hAnsi="Times New Roman" w:cs="Times New Roman"/>
                <w:color w:val="000000"/>
                <w:sz w:val="24"/>
                <w:szCs w:val="24"/>
                <w:lang w:val="uk-UA"/>
              </w:rPr>
              <w:t xml:space="preserve"> Протягом </w:t>
            </w:r>
            <w:r>
              <w:rPr>
                <w:rFonts w:ascii="Times New Roman" w:hAnsi="Times New Roman" w:cs="Times New Roman"/>
                <w:b/>
                <w:color w:val="000000"/>
                <w:sz w:val="24"/>
                <w:szCs w:val="24"/>
                <w:lang w:val="uk-UA"/>
              </w:rPr>
              <w:t>десяти</w:t>
            </w:r>
            <w:r w:rsidRPr="00665223">
              <w:rPr>
                <w:rFonts w:ascii="Times New Roman" w:hAnsi="Times New Roman" w:cs="Times New Roman"/>
                <w:b/>
                <w:color w:val="000000"/>
                <w:sz w:val="24"/>
                <w:szCs w:val="24"/>
                <w:lang w:val="uk-UA"/>
              </w:rPr>
              <w:t xml:space="preserve"> робочих днів</w:t>
            </w:r>
            <w:r w:rsidRPr="00665223">
              <w:rPr>
                <w:rFonts w:ascii="Times New Roman" w:hAnsi="Times New Roman" w:cs="Times New Roman"/>
                <w:color w:val="000000"/>
                <w:sz w:val="24"/>
                <w:szCs w:val="24"/>
                <w:lang w:val="uk-UA"/>
              </w:rPr>
              <w:t xml:space="preserve"> з дня схвалення інвестиційної програми перший примірник та його копія в електронній формі надаються до центрального апарату НКРЕКП</w:t>
            </w:r>
            <w:r>
              <w:rPr>
                <w:rFonts w:ascii="Times New Roman" w:hAnsi="Times New Roman" w:cs="Times New Roman"/>
                <w:color w:val="000000"/>
                <w:sz w:val="24"/>
                <w:szCs w:val="24"/>
                <w:lang w:val="uk-UA"/>
              </w:rPr>
              <w:t xml:space="preserve"> …</w:t>
            </w:r>
          </w:p>
          <w:p w14:paraId="1400D6A6" w14:textId="0A432092" w:rsidR="00665223" w:rsidRDefault="00665223" w:rsidP="004876E5">
            <w:pPr>
              <w:widowControl w:val="0"/>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i/>
                <w:sz w:val="24"/>
                <w:szCs w:val="24"/>
                <w:lang w:val="uk-UA"/>
              </w:rPr>
              <w:t>Обґрунтування:</w:t>
            </w:r>
          </w:p>
          <w:p w14:paraId="639BD054" w14:textId="40474F50" w:rsidR="00665223" w:rsidRPr="00665223" w:rsidRDefault="00665223" w:rsidP="004876E5">
            <w:pPr>
              <w:widowControl w:val="0"/>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Для запобігання штучних порушень ліцензійних умов щодо термінів подання</w:t>
            </w:r>
          </w:p>
        </w:tc>
        <w:tc>
          <w:tcPr>
            <w:tcW w:w="3544" w:type="dxa"/>
            <w:shd w:val="clear" w:color="auto" w:fill="auto"/>
          </w:tcPr>
          <w:p w14:paraId="41A714E9" w14:textId="77777777" w:rsidR="009E6643" w:rsidRDefault="009E6643" w:rsidP="004876E5">
            <w:pPr>
              <w:spacing w:line="240" w:lineRule="auto"/>
              <w:contextualSpacing/>
              <w:jc w:val="both"/>
              <w:rPr>
                <w:rFonts w:ascii="Times New Roman" w:eastAsia="Times New Roman" w:hAnsi="Times New Roman" w:cs="Times New Roman"/>
                <w:b/>
                <w:sz w:val="24"/>
                <w:szCs w:val="24"/>
                <w:lang w:val="uk-UA"/>
              </w:rPr>
            </w:pPr>
          </w:p>
          <w:p w14:paraId="62F1E0D3" w14:textId="77777777" w:rsidR="00665223" w:rsidRDefault="00665223" w:rsidP="004876E5">
            <w:pPr>
              <w:spacing w:line="240" w:lineRule="auto"/>
              <w:contextualSpacing/>
              <w:jc w:val="both"/>
              <w:rPr>
                <w:rFonts w:ascii="Times New Roman" w:eastAsia="Times New Roman" w:hAnsi="Times New Roman" w:cs="Times New Roman"/>
                <w:b/>
                <w:sz w:val="24"/>
                <w:szCs w:val="24"/>
                <w:lang w:val="uk-UA"/>
              </w:rPr>
            </w:pPr>
          </w:p>
          <w:p w14:paraId="768869A2" w14:textId="77777777" w:rsidR="00665223" w:rsidRDefault="00665223" w:rsidP="004876E5">
            <w:pPr>
              <w:spacing w:line="240" w:lineRule="auto"/>
              <w:contextualSpacing/>
              <w:jc w:val="both"/>
              <w:rPr>
                <w:rFonts w:ascii="Times New Roman" w:eastAsia="Times New Roman" w:hAnsi="Times New Roman" w:cs="Times New Roman"/>
                <w:b/>
                <w:sz w:val="24"/>
                <w:szCs w:val="24"/>
                <w:lang w:val="uk-UA"/>
              </w:rPr>
            </w:pPr>
          </w:p>
          <w:p w14:paraId="1ACC48FA" w14:textId="77777777" w:rsidR="00665223" w:rsidRDefault="00665223" w:rsidP="004876E5">
            <w:pPr>
              <w:spacing w:line="240" w:lineRule="auto"/>
              <w:contextualSpacing/>
              <w:jc w:val="both"/>
              <w:rPr>
                <w:rFonts w:ascii="Times New Roman" w:eastAsia="Times New Roman" w:hAnsi="Times New Roman" w:cs="Times New Roman"/>
                <w:b/>
                <w:sz w:val="24"/>
                <w:szCs w:val="24"/>
                <w:lang w:val="uk-UA"/>
              </w:rPr>
            </w:pPr>
          </w:p>
          <w:p w14:paraId="6B941EB3" w14:textId="314FC2AA" w:rsidR="00665223" w:rsidRPr="001871D7" w:rsidRDefault="00665223" w:rsidP="004876E5">
            <w:pP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tc>
      </w:tr>
    </w:tbl>
    <w:p w14:paraId="3DBCC297" w14:textId="77777777" w:rsidR="005D4EE3" w:rsidRPr="00112D53" w:rsidRDefault="005D4EE3" w:rsidP="004C224A">
      <w:pPr>
        <w:spacing w:line="240" w:lineRule="auto"/>
        <w:contextualSpacing/>
        <w:jc w:val="both"/>
        <w:rPr>
          <w:rFonts w:ascii="Times New Roman" w:eastAsia="Times New Roman" w:hAnsi="Times New Roman" w:cs="Times New Roman"/>
          <w:b/>
          <w:sz w:val="24"/>
          <w:szCs w:val="24"/>
          <w:lang w:val="uk-UA"/>
        </w:rPr>
      </w:pPr>
    </w:p>
    <w:sectPr w:rsidR="005D4EE3" w:rsidRPr="00112D53" w:rsidSect="004E62B2">
      <w:headerReference w:type="default" r:id="rId8"/>
      <w:pgSz w:w="16838" w:h="11906" w:orient="landscape"/>
      <w:pgMar w:top="1440" w:right="1116"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88827" w14:textId="77777777" w:rsidR="00E375FF" w:rsidRDefault="00E375FF">
      <w:pPr>
        <w:spacing w:line="240" w:lineRule="auto"/>
      </w:pPr>
      <w:r>
        <w:separator/>
      </w:r>
    </w:p>
  </w:endnote>
  <w:endnote w:type="continuationSeparator" w:id="0">
    <w:p w14:paraId="155ADD22" w14:textId="77777777" w:rsidR="00E375FF" w:rsidRDefault="00E375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1DD2C" w14:textId="77777777" w:rsidR="00E375FF" w:rsidRDefault="00E375FF">
      <w:pPr>
        <w:spacing w:line="240" w:lineRule="auto"/>
      </w:pPr>
      <w:r>
        <w:separator/>
      </w:r>
    </w:p>
  </w:footnote>
  <w:footnote w:type="continuationSeparator" w:id="0">
    <w:p w14:paraId="2AF534F7" w14:textId="77777777" w:rsidR="00E375FF" w:rsidRDefault="00E375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288029"/>
      <w:docPartObj>
        <w:docPartGallery w:val="Page Numbers (Top of Page)"/>
        <w:docPartUnique/>
      </w:docPartObj>
    </w:sdtPr>
    <w:sdtEndPr>
      <w:rPr>
        <w:rFonts w:ascii="Times New Roman" w:hAnsi="Times New Roman" w:cs="Times New Roman"/>
        <w:sz w:val="24"/>
        <w:szCs w:val="24"/>
      </w:rPr>
    </w:sdtEndPr>
    <w:sdtContent>
      <w:p w14:paraId="2349206F" w14:textId="61E2DAFA" w:rsidR="004E62B2" w:rsidRPr="004E62B2" w:rsidRDefault="004E62B2">
        <w:pPr>
          <w:pStyle w:val="af1"/>
          <w:jc w:val="center"/>
          <w:rPr>
            <w:rFonts w:ascii="Times New Roman" w:hAnsi="Times New Roman" w:cs="Times New Roman"/>
            <w:sz w:val="24"/>
            <w:szCs w:val="24"/>
          </w:rPr>
        </w:pPr>
        <w:r w:rsidRPr="004E62B2">
          <w:rPr>
            <w:rFonts w:ascii="Times New Roman" w:hAnsi="Times New Roman" w:cs="Times New Roman"/>
            <w:sz w:val="24"/>
            <w:szCs w:val="24"/>
          </w:rPr>
          <w:fldChar w:fldCharType="begin"/>
        </w:r>
        <w:r w:rsidRPr="004E62B2">
          <w:rPr>
            <w:rFonts w:ascii="Times New Roman" w:hAnsi="Times New Roman" w:cs="Times New Roman"/>
            <w:sz w:val="24"/>
            <w:szCs w:val="24"/>
          </w:rPr>
          <w:instrText>PAGE   \* MERGEFORMAT</w:instrText>
        </w:r>
        <w:r w:rsidRPr="004E62B2">
          <w:rPr>
            <w:rFonts w:ascii="Times New Roman" w:hAnsi="Times New Roman" w:cs="Times New Roman"/>
            <w:sz w:val="24"/>
            <w:szCs w:val="24"/>
          </w:rPr>
          <w:fldChar w:fldCharType="separate"/>
        </w:r>
        <w:r w:rsidRPr="004E62B2">
          <w:rPr>
            <w:rFonts w:ascii="Times New Roman" w:hAnsi="Times New Roman" w:cs="Times New Roman"/>
            <w:sz w:val="24"/>
            <w:szCs w:val="24"/>
            <w:lang w:val="uk-UA"/>
          </w:rPr>
          <w:t>2</w:t>
        </w:r>
        <w:r w:rsidRPr="004E62B2">
          <w:rPr>
            <w:rFonts w:ascii="Times New Roman" w:hAnsi="Times New Roman" w:cs="Times New Roman"/>
            <w:sz w:val="24"/>
            <w:szCs w:val="24"/>
          </w:rPr>
          <w:fldChar w:fldCharType="end"/>
        </w:r>
      </w:p>
    </w:sdtContent>
  </w:sdt>
  <w:p w14:paraId="512BFBDA" w14:textId="77777777" w:rsidR="005D4EE3" w:rsidRPr="004E62B2" w:rsidRDefault="005D4EE3">
    <w:pP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492792"/>
    <w:multiLevelType w:val="hybridMultilevel"/>
    <w:tmpl w:val="3EAC9B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2F87CEF"/>
    <w:multiLevelType w:val="hybridMultilevel"/>
    <w:tmpl w:val="62329998"/>
    <w:lvl w:ilvl="0" w:tplc="8CA2CD80">
      <w:start w:val="1"/>
      <w:numFmt w:val="decimal"/>
      <w:lvlText w:val="%1."/>
      <w:lvlJc w:val="left"/>
      <w:pPr>
        <w:ind w:left="720" w:hanging="360"/>
      </w:pPr>
      <w:rPr>
        <w:rFonts w:eastAsia="Arial" w:cs="Arial" w:hint="default"/>
        <w:i w:val="0"/>
        <w:color w:val="00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9E82C16"/>
    <w:multiLevelType w:val="multilevel"/>
    <w:tmpl w:val="272ABD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6A701412"/>
    <w:multiLevelType w:val="hybridMultilevel"/>
    <w:tmpl w:val="1A907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EE3"/>
    <w:rsid w:val="00006FDE"/>
    <w:rsid w:val="000132EA"/>
    <w:rsid w:val="00035A6A"/>
    <w:rsid w:val="00043006"/>
    <w:rsid w:val="000552D1"/>
    <w:rsid w:val="00071E41"/>
    <w:rsid w:val="0007766F"/>
    <w:rsid w:val="00082DA4"/>
    <w:rsid w:val="00093028"/>
    <w:rsid w:val="00094F61"/>
    <w:rsid w:val="000A5572"/>
    <w:rsid w:val="000D0164"/>
    <w:rsid w:val="000D276F"/>
    <w:rsid w:val="001128ED"/>
    <w:rsid w:val="00112D53"/>
    <w:rsid w:val="00116463"/>
    <w:rsid w:val="00116FAB"/>
    <w:rsid w:val="00146FB0"/>
    <w:rsid w:val="00163855"/>
    <w:rsid w:val="00173164"/>
    <w:rsid w:val="00184092"/>
    <w:rsid w:val="0018598B"/>
    <w:rsid w:val="00185F83"/>
    <w:rsid w:val="001871D7"/>
    <w:rsid w:val="001A6D61"/>
    <w:rsid w:val="001C0B37"/>
    <w:rsid w:val="001C565C"/>
    <w:rsid w:val="001D2FAC"/>
    <w:rsid w:val="001E4BC0"/>
    <w:rsid w:val="00203939"/>
    <w:rsid w:val="002058EB"/>
    <w:rsid w:val="002372DD"/>
    <w:rsid w:val="00250814"/>
    <w:rsid w:val="00285794"/>
    <w:rsid w:val="00286950"/>
    <w:rsid w:val="002A150B"/>
    <w:rsid w:val="002A4DD9"/>
    <w:rsid w:val="002B07C9"/>
    <w:rsid w:val="002D6AAA"/>
    <w:rsid w:val="002E11C1"/>
    <w:rsid w:val="00301F12"/>
    <w:rsid w:val="0030574D"/>
    <w:rsid w:val="003069CA"/>
    <w:rsid w:val="0031273D"/>
    <w:rsid w:val="00326068"/>
    <w:rsid w:val="00364BB4"/>
    <w:rsid w:val="0039520C"/>
    <w:rsid w:val="003A2689"/>
    <w:rsid w:val="003A4D47"/>
    <w:rsid w:val="003A73D4"/>
    <w:rsid w:val="003B0F3E"/>
    <w:rsid w:val="003B196F"/>
    <w:rsid w:val="003B3D7E"/>
    <w:rsid w:val="003D6A4B"/>
    <w:rsid w:val="003E34CD"/>
    <w:rsid w:val="003E3681"/>
    <w:rsid w:val="004117A7"/>
    <w:rsid w:val="0042401A"/>
    <w:rsid w:val="004410D8"/>
    <w:rsid w:val="00441DA4"/>
    <w:rsid w:val="004438DE"/>
    <w:rsid w:val="00447CBD"/>
    <w:rsid w:val="00463397"/>
    <w:rsid w:val="004660D0"/>
    <w:rsid w:val="004674F4"/>
    <w:rsid w:val="00481DDE"/>
    <w:rsid w:val="0048293F"/>
    <w:rsid w:val="004872E7"/>
    <w:rsid w:val="004876E5"/>
    <w:rsid w:val="004954CB"/>
    <w:rsid w:val="004A118D"/>
    <w:rsid w:val="004A58E9"/>
    <w:rsid w:val="004C1B99"/>
    <w:rsid w:val="004C224A"/>
    <w:rsid w:val="004D3813"/>
    <w:rsid w:val="004E203C"/>
    <w:rsid w:val="004E62B2"/>
    <w:rsid w:val="004E722F"/>
    <w:rsid w:val="004F3F02"/>
    <w:rsid w:val="004F7263"/>
    <w:rsid w:val="00500C6F"/>
    <w:rsid w:val="00507B27"/>
    <w:rsid w:val="00522313"/>
    <w:rsid w:val="00536617"/>
    <w:rsid w:val="00554402"/>
    <w:rsid w:val="005574F2"/>
    <w:rsid w:val="00561077"/>
    <w:rsid w:val="0056428F"/>
    <w:rsid w:val="005701C7"/>
    <w:rsid w:val="00592E11"/>
    <w:rsid w:val="00593CAA"/>
    <w:rsid w:val="005A430F"/>
    <w:rsid w:val="005B1B77"/>
    <w:rsid w:val="005B3ED9"/>
    <w:rsid w:val="005B66AD"/>
    <w:rsid w:val="005C5202"/>
    <w:rsid w:val="005D0556"/>
    <w:rsid w:val="005D4EE3"/>
    <w:rsid w:val="005D6A69"/>
    <w:rsid w:val="00610F58"/>
    <w:rsid w:val="00613F99"/>
    <w:rsid w:val="006353C0"/>
    <w:rsid w:val="00635899"/>
    <w:rsid w:val="00642F65"/>
    <w:rsid w:val="006439A0"/>
    <w:rsid w:val="00644E09"/>
    <w:rsid w:val="00653809"/>
    <w:rsid w:val="00665223"/>
    <w:rsid w:val="00681D94"/>
    <w:rsid w:val="00685AC7"/>
    <w:rsid w:val="006867EC"/>
    <w:rsid w:val="006A44C9"/>
    <w:rsid w:val="006B09BC"/>
    <w:rsid w:val="006C308D"/>
    <w:rsid w:val="006C7557"/>
    <w:rsid w:val="006D1A5B"/>
    <w:rsid w:val="006D3363"/>
    <w:rsid w:val="006F1E85"/>
    <w:rsid w:val="00735C27"/>
    <w:rsid w:val="00775C75"/>
    <w:rsid w:val="007A17E1"/>
    <w:rsid w:val="007D4285"/>
    <w:rsid w:val="007E1E9F"/>
    <w:rsid w:val="007F6E40"/>
    <w:rsid w:val="00800C5C"/>
    <w:rsid w:val="00801E81"/>
    <w:rsid w:val="008141BB"/>
    <w:rsid w:val="00817D68"/>
    <w:rsid w:val="00824F13"/>
    <w:rsid w:val="00835F15"/>
    <w:rsid w:val="00837D1E"/>
    <w:rsid w:val="00845501"/>
    <w:rsid w:val="00854910"/>
    <w:rsid w:val="00857F29"/>
    <w:rsid w:val="0086694E"/>
    <w:rsid w:val="00870930"/>
    <w:rsid w:val="0087528F"/>
    <w:rsid w:val="008775B7"/>
    <w:rsid w:val="008951FC"/>
    <w:rsid w:val="0089778C"/>
    <w:rsid w:val="008A65F3"/>
    <w:rsid w:val="008C06F0"/>
    <w:rsid w:val="008C33B1"/>
    <w:rsid w:val="008E0CDC"/>
    <w:rsid w:val="008E5A3B"/>
    <w:rsid w:val="008E77CA"/>
    <w:rsid w:val="008F225A"/>
    <w:rsid w:val="008F4EEF"/>
    <w:rsid w:val="008F52FF"/>
    <w:rsid w:val="009114C2"/>
    <w:rsid w:val="00930894"/>
    <w:rsid w:val="0094269E"/>
    <w:rsid w:val="00943672"/>
    <w:rsid w:val="00947737"/>
    <w:rsid w:val="00953599"/>
    <w:rsid w:val="00970879"/>
    <w:rsid w:val="00990167"/>
    <w:rsid w:val="0099433E"/>
    <w:rsid w:val="009A760C"/>
    <w:rsid w:val="009B4660"/>
    <w:rsid w:val="009B47BA"/>
    <w:rsid w:val="009C6275"/>
    <w:rsid w:val="009D301F"/>
    <w:rsid w:val="009D40BF"/>
    <w:rsid w:val="009D4149"/>
    <w:rsid w:val="009E6643"/>
    <w:rsid w:val="009E76EC"/>
    <w:rsid w:val="009F0F40"/>
    <w:rsid w:val="00A17BD7"/>
    <w:rsid w:val="00A17D84"/>
    <w:rsid w:val="00A425F3"/>
    <w:rsid w:val="00A433AD"/>
    <w:rsid w:val="00A45989"/>
    <w:rsid w:val="00A46E22"/>
    <w:rsid w:val="00A62BAF"/>
    <w:rsid w:val="00A71EFE"/>
    <w:rsid w:val="00A73310"/>
    <w:rsid w:val="00A73748"/>
    <w:rsid w:val="00A76CBE"/>
    <w:rsid w:val="00A86776"/>
    <w:rsid w:val="00AA4F47"/>
    <w:rsid w:val="00AB2801"/>
    <w:rsid w:val="00AB52AF"/>
    <w:rsid w:val="00AB6FBD"/>
    <w:rsid w:val="00AC6CF8"/>
    <w:rsid w:val="00AE0BCD"/>
    <w:rsid w:val="00AE31BD"/>
    <w:rsid w:val="00AE39E0"/>
    <w:rsid w:val="00AE46A1"/>
    <w:rsid w:val="00AF6087"/>
    <w:rsid w:val="00AF7C31"/>
    <w:rsid w:val="00B11224"/>
    <w:rsid w:val="00B319DD"/>
    <w:rsid w:val="00B33772"/>
    <w:rsid w:val="00B40306"/>
    <w:rsid w:val="00B41101"/>
    <w:rsid w:val="00B65E59"/>
    <w:rsid w:val="00B671A1"/>
    <w:rsid w:val="00B7577F"/>
    <w:rsid w:val="00B8096B"/>
    <w:rsid w:val="00B8363F"/>
    <w:rsid w:val="00BA04BC"/>
    <w:rsid w:val="00BA6A35"/>
    <w:rsid w:val="00BB3A44"/>
    <w:rsid w:val="00BB78FD"/>
    <w:rsid w:val="00BC393C"/>
    <w:rsid w:val="00BD5962"/>
    <w:rsid w:val="00BE7259"/>
    <w:rsid w:val="00BF6083"/>
    <w:rsid w:val="00C05E7A"/>
    <w:rsid w:val="00C21868"/>
    <w:rsid w:val="00C27053"/>
    <w:rsid w:val="00C33234"/>
    <w:rsid w:val="00C33535"/>
    <w:rsid w:val="00C428EC"/>
    <w:rsid w:val="00C6661D"/>
    <w:rsid w:val="00C869B7"/>
    <w:rsid w:val="00C95117"/>
    <w:rsid w:val="00C9589B"/>
    <w:rsid w:val="00CA1EDF"/>
    <w:rsid w:val="00CA251B"/>
    <w:rsid w:val="00CB174A"/>
    <w:rsid w:val="00CB2A6A"/>
    <w:rsid w:val="00CC660B"/>
    <w:rsid w:val="00CC678F"/>
    <w:rsid w:val="00CD0919"/>
    <w:rsid w:val="00CE35B4"/>
    <w:rsid w:val="00CE7619"/>
    <w:rsid w:val="00D07CCB"/>
    <w:rsid w:val="00D41B2A"/>
    <w:rsid w:val="00D41D1C"/>
    <w:rsid w:val="00D51298"/>
    <w:rsid w:val="00D6376B"/>
    <w:rsid w:val="00D66A4C"/>
    <w:rsid w:val="00D66F55"/>
    <w:rsid w:val="00D7537F"/>
    <w:rsid w:val="00D96BB5"/>
    <w:rsid w:val="00DB16AF"/>
    <w:rsid w:val="00DB65E2"/>
    <w:rsid w:val="00DB7356"/>
    <w:rsid w:val="00DC1386"/>
    <w:rsid w:val="00DC174E"/>
    <w:rsid w:val="00DE0F39"/>
    <w:rsid w:val="00DE7B13"/>
    <w:rsid w:val="00DF01DA"/>
    <w:rsid w:val="00DF6831"/>
    <w:rsid w:val="00E026D3"/>
    <w:rsid w:val="00E11AF9"/>
    <w:rsid w:val="00E11E1C"/>
    <w:rsid w:val="00E37328"/>
    <w:rsid w:val="00E375FF"/>
    <w:rsid w:val="00E37698"/>
    <w:rsid w:val="00E41A5A"/>
    <w:rsid w:val="00E42BD4"/>
    <w:rsid w:val="00E44CD2"/>
    <w:rsid w:val="00E44EB2"/>
    <w:rsid w:val="00E55E46"/>
    <w:rsid w:val="00E56FAB"/>
    <w:rsid w:val="00E751A3"/>
    <w:rsid w:val="00E82316"/>
    <w:rsid w:val="00E92AD6"/>
    <w:rsid w:val="00E93523"/>
    <w:rsid w:val="00E95D57"/>
    <w:rsid w:val="00E97602"/>
    <w:rsid w:val="00EA630C"/>
    <w:rsid w:val="00EB18EC"/>
    <w:rsid w:val="00EC02BE"/>
    <w:rsid w:val="00EC7384"/>
    <w:rsid w:val="00ED32AE"/>
    <w:rsid w:val="00F04BC8"/>
    <w:rsid w:val="00F10F17"/>
    <w:rsid w:val="00F20750"/>
    <w:rsid w:val="00F30697"/>
    <w:rsid w:val="00F313A9"/>
    <w:rsid w:val="00F6067A"/>
    <w:rsid w:val="00F773FC"/>
    <w:rsid w:val="00FB70D1"/>
    <w:rsid w:val="00FC4088"/>
    <w:rsid w:val="00FC4E7D"/>
    <w:rsid w:val="00FE3745"/>
    <w:rsid w:val="00FE5A25"/>
    <w:rsid w:val="00FF6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931E"/>
  <w15:docId w15:val="{C53008C7-75F1-441F-B6AB-64F1BDD6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4A58E9"/>
    <w:pPr>
      <w:ind w:left="720"/>
      <w:contextualSpacing/>
    </w:pPr>
  </w:style>
  <w:style w:type="character" w:styleId="a7">
    <w:name w:val="annotation reference"/>
    <w:basedOn w:val="a0"/>
    <w:uiPriority w:val="99"/>
    <w:semiHidden/>
    <w:unhideWhenUsed/>
    <w:rsid w:val="00CE7619"/>
    <w:rPr>
      <w:sz w:val="16"/>
      <w:szCs w:val="16"/>
    </w:rPr>
  </w:style>
  <w:style w:type="paragraph" w:styleId="a8">
    <w:name w:val="annotation text"/>
    <w:basedOn w:val="a"/>
    <w:link w:val="a9"/>
    <w:uiPriority w:val="99"/>
    <w:semiHidden/>
    <w:unhideWhenUsed/>
    <w:rsid w:val="00CE7619"/>
    <w:pPr>
      <w:spacing w:line="240" w:lineRule="auto"/>
    </w:pPr>
    <w:rPr>
      <w:sz w:val="20"/>
      <w:szCs w:val="20"/>
    </w:rPr>
  </w:style>
  <w:style w:type="character" w:customStyle="1" w:styleId="a9">
    <w:name w:val="Текст примітки Знак"/>
    <w:basedOn w:val="a0"/>
    <w:link w:val="a8"/>
    <w:uiPriority w:val="99"/>
    <w:semiHidden/>
    <w:rsid w:val="00CE7619"/>
    <w:rPr>
      <w:sz w:val="20"/>
      <w:szCs w:val="20"/>
    </w:rPr>
  </w:style>
  <w:style w:type="paragraph" w:styleId="aa">
    <w:name w:val="annotation subject"/>
    <w:basedOn w:val="a8"/>
    <w:next w:val="a8"/>
    <w:link w:val="ab"/>
    <w:uiPriority w:val="99"/>
    <w:semiHidden/>
    <w:unhideWhenUsed/>
    <w:rsid w:val="00CE7619"/>
    <w:rPr>
      <w:b/>
      <w:bCs/>
    </w:rPr>
  </w:style>
  <w:style w:type="character" w:customStyle="1" w:styleId="ab">
    <w:name w:val="Тема примітки Знак"/>
    <w:basedOn w:val="a9"/>
    <w:link w:val="aa"/>
    <w:uiPriority w:val="99"/>
    <w:semiHidden/>
    <w:rsid w:val="00CE7619"/>
    <w:rPr>
      <w:b/>
      <w:bCs/>
      <w:sz w:val="20"/>
      <w:szCs w:val="20"/>
    </w:rPr>
  </w:style>
  <w:style w:type="paragraph" w:styleId="ac">
    <w:name w:val="Revision"/>
    <w:hidden/>
    <w:uiPriority w:val="99"/>
    <w:semiHidden/>
    <w:rsid w:val="00CE7619"/>
    <w:pPr>
      <w:spacing w:line="240" w:lineRule="auto"/>
    </w:pPr>
  </w:style>
  <w:style w:type="paragraph" w:styleId="ad">
    <w:name w:val="Balloon Text"/>
    <w:basedOn w:val="a"/>
    <w:link w:val="ae"/>
    <w:uiPriority w:val="99"/>
    <w:semiHidden/>
    <w:unhideWhenUsed/>
    <w:rsid w:val="00CE7619"/>
    <w:pPr>
      <w:spacing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CE7619"/>
    <w:rPr>
      <w:rFonts w:ascii="Segoe UI" w:hAnsi="Segoe UI" w:cs="Segoe UI"/>
      <w:sz w:val="18"/>
      <w:szCs w:val="18"/>
    </w:rPr>
  </w:style>
  <w:style w:type="paragraph" w:styleId="af">
    <w:name w:val="Normal (Web)"/>
    <w:basedOn w:val="a"/>
    <w:uiPriority w:val="99"/>
    <w:rsid w:val="00536617"/>
    <w:pPr>
      <w:overflowPunct w:val="0"/>
      <w:autoSpaceDE w:val="0"/>
      <w:autoSpaceDN w:val="0"/>
      <w:adjustRightInd w:val="0"/>
      <w:spacing w:before="100" w:beforeAutospacing="1" w:after="100" w:afterAutospacing="1" w:line="240" w:lineRule="auto"/>
      <w:textAlignment w:val="baseline"/>
    </w:pPr>
    <w:rPr>
      <w:rFonts w:ascii="Times New Roman" w:eastAsia="Times New Roman" w:hAnsi="Times New Roman" w:cs="Times New Roman"/>
      <w:sz w:val="24"/>
      <w:szCs w:val="24"/>
      <w:lang w:val="ru-RU" w:eastAsia="ru-RU"/>
    </w:rPr>
  </w:style>
  <w:style w:type="paragraph" w:styleId="af0">
    <w:name w:val="No Spacing"/>
    <w:uiPriority w:val="1"/>
    <w:qFormat/>
    <w:rsid w:val="00093028"/>
    <w:pPr>
      <w:spacing w:line="240" w:lineRule="auto"/>
    </w:pPr>
    <w:rPr>
      <w:rFonts w:ascii="Calibri" w:eastAsia="Calibri" w:hAnsi="Calibri" w:cs="Times New Roman"/>
      <w:lang w:val="uk-UA"/>
    </w:rPr>
  </w:style>
  <w:style w:type="paragraph" w:styleId="af1">
    <w:name w:val="header"/>
    <w:basedOn w:val="a"/>
    <w:link w:val="af2"/>
    <w:uiPriority w:val="99"/>
    <w:unhideWhenUsed/>
    <w:rsid w:val="004E62B2"/>
    <w:pPr>
      <w:tabs>
        <w:tab w:val="center" w:pos="4677"/>
        <w:tab w:val="right" w:pos="9355"/>
      </w:tabs>
      <w:spacing w:line="240" w:lineRule="auto"/>
    </w:pPr>
  </w:style>
  <w:style w:type="character" w:customStyle="1" w:styleId="af2">
    <w:name w:val="Верхній колонтитул Знак"/>
    <w:basedOn w:val="a0"/>
    <w:link w:val="af1"/>
    <w:uiPriority w:val="99"/>
    <w:rsid w:val="004E62B2"/>
  </w:style>
  <w:style w:type="paragraph" w:styleId="af3">
    <w:name w:val="footer"/>
    <w:basedOn w:val="a"/>
    <w:link w:val="af4"/>
    <w:uiPriority w:val="99"/>
    <w:unhideWhenUsed/>
    <w:rsid w:val="004E62B2"/>
    <w:pPr>
      <w:tabs>
        <w:tab w:val="center" w:pos="4677"/>
        <w:tab w:val="right" w:pos="9355"/>
      </w:tabs>
      <w:spacing w:line="240" w:lineRule="auto"/>
    </w:pPr>
  </w:style>
  <w:style w:type="character" w:customStyle="1" w:styleId="af4">
    <w:name w:val="Нижній колонтитул Знак"/>
    <w:basedOn w:val="a0"/>
    <w:link w:val="af3"/>
    <w:uiPriority w:val="99"/>
    <w:rsid w:val="004E62B2"/>
  </w:style>
  <w:style w:type="character" w:customStyle="1" w:styleId="fontstyle01">
    <w:name w:val="fontstyle01"/>
    <w:basedOn w:val="a0"/>
    <w:rsid w:val="00735C27"/>
    <w:rPr>
      <w:rFonts w:ascii="TimesNewRomanPSMT" w:hAnsi="TimesNewRomanPSMT" w:hint="default"/>
      <w:b w:val="0"/>
      <w:bCs w:val="0"/>
      <w:i w:val="0"/>
      <w:iCs w:val="0"/>
      <w:color w:val="000000"/>
      <w:sz w:val="28"/>
      <w:szCs w:val="28"/>
    </w:rPr>
  </w:style>
  <w:style w:type="character" w:customStyle="1" w:styleId="rvts15">
    <w:name w:val="rvts15"/>
    <w:basedOn w:val="a0"/>
    <w:rsid w:val="00FE3745"/>
  </w:style>
  <w:style w:type="paragraph" w:customStyle="1" w:styleId="rvps2">
    <w:name w:val="rvps2"/>
    <w:basedOn w:val="a"/>
    <w:rsid w:val="008C06F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482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3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9D2EF-B17D-4C49-91BD-428D61A14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1140</Words>
  <Characters>6504</Characters>
  <Application>Microsoft Office Word</Application>
  <DocSecurity>0</DocSecurity>
  <Lines>54</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Kravchuk_SV</dc:creator>
  <cp:lastModifiedBy>Ольга Журавльова</cp:lastModifiedBy>
  <cp:revision>8</cp:revision>
  <cp:lastPrinted>2025-02-03T13:38:00Z</cp:lastPrinted>
  <dcterms:created xsi:type="dcterms:W3CDTF">2025-02-03T13:09:00Z</dcterms:created>
  <dcterms:modified xsi:type="dcterms:W3CDTF">2025-02-03T14:51:00Z</dcterms:modified>
</cp:coreProperties>
</file>