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448"/>
        <w:gridCol w:w="4448"/>
        <w:gridCol w:w="4448"/>
        <w:gridCol w:w="2250"/>
      </w:tblGrid>
      <w:tr w:rsidR="004B2AFB" w:rsidRPr="007B42B5" w14:paraId="07C1F6A1" w14:textId="361B2DE4" w:rsidTr="005D52AA">
        <w:tc>
          <w:tcPr>
            <w:tcW w:w="5670" w:type="dxa"/>
            <w:gridSpan w:val="4"/>
          </w:tcPr>
          <w:p w14:paraId="43D625D8" w14:textId="77777777" w:rsidR="004B2AFB" w:rsidRPr="008B01A9" w:rsidRDefault="004B2AFB" w:rsidP="0046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14:paraId="0976AA83" w14:textId="0D3583F4" w:rsidR="004B2AFB" w:rsidRPr="00DC50E7" w:rsidRDefault="004B2AFB" w:rsidP="002B4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Узагальнені зауваження та пропозиції до </w:t>
            </w:r>
            <w:proofErr w:type="spellStart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рішення НКРЕКП, що має ознаки регуляторного </w:t>
            </w:r>
            <w:proofErr w:type="spellStart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акта</w:t>
            </w:r>
            <w:proofErr w:type="spellEnd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, – </w:t>
            </w:r>
            <w:proofErr w:type="spellStart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проєкту</w:t>
            </w:r>
            <w:proofErr w:type="spellEnd"/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постанови НКРЕКП «</w:t>
            </w:r>
            <w:r w:rsidR="00CF6A3E"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Про внесення змін до деяких постанов НКРЕКП</w:t>
            </w:r>
            <w:r w:rsidRPr="00DC5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»</w:t>
            </w:r>
          </w:p>
          <w:p w14:paraId="118DDB63" w14:textId="27698068" w:rsidR="004B2AFB" w:rsidRPr="00DC50E7" w:rsidRDefault="004B2AFB" w:rsidP="0046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DC50E7">
              <w:rPr>
                <w:rFonts w:ascii="Times New Roman" w:hAnsi="Times New Roman" w:cs="Times New Roman"/>
                <w:b/>
                <w:i/>
                <w:lang w:val="uk-UA"/>
              </w:rPr>
              <w:t>(</w:t>
            </w:r>
            <w:r w:rsidRPr="00DC50E7">
              <w:rPr>
                <w:rFonts w:ascii="Times New Roman" w:hAnsi="Times New Roman" w:cs="Times New Roman"/>
                <w:i/>
                <w:lang w:val="uk-UA"/>
              </w:rPr>
              <w:t xml:space="preserve">щодо вдосконалення норм </w:t>
            </w:r>
            <w:r w:rsidR="00CF6A3E" w:rsidRPr="00DC50E7">
              <w:rPr>
                <w:rFonts w:ascii="Times New Roman" w:hAnsi="Times New Roman" w:cs="Times New Roman"/>
                <w:i/>
                <w:lang w:val="uk-UA"/>
              </w:rPr>
              <w:t>Кодексу системи передачі та Кодексу систем розподілу,</w:t>
            </w:r>
            <w:r w:rsidR="00121AE9">
              <w:rPr>
                <w:rFonts w:ascii="Times New Roman" w:hAnsi="Times New Roman" w:cs="Times New Roman"/>
                <w:i/>
                <w:lang w:val="uk-UA"/>
              </w:rPr>
              <w:t xml:space="preserve"> стосовно</w:t>
            </w:r>
            <w:bookmarkStart w:id="0" w:name="_GoBack"/>
            <w:bookmarkEnd w:id="0"/>
            <w:r w:rsidR="00CF6A3E" w:rsidRPr="00DC50E7">
              <w:rPr>
                <w:rFonts w:ascii="Times New Roman" w:hAnsi="Times New Roman" w:cs="Times New Roman"/>
                <w:i/>
                <w:lang w:val="uk-UA"/>
              </w:rPr>
              <w:t xml:space="preserve"> формування та розгляду планів розвитку систем розподілу)</w:t>
            </w:r>
          </w:p>
        </w:tc>
      </w:tr>
      <w:tr w:rsidR="004B2AFB" w:rsidRPr="007B42B5" w14:paraId="527D839C" w14:textId="0A261AB1" w:rsidTr="005D52AA">
        <w:tc>
          <w:tcPr>
            <w:tcW w:w="5670" w:type="dxa"/>
            <w:tcBorders>
              <w:bottom w:val="single" w:sz="4" w:space="0" w:color="auto"/>
            </w:tcBorders>
          </w:tcPr>
          <w:p w14:paraId="073F2B1B" w14:textId="70171654" w:rsidR="004B2AFB" w:rsidRPr="00DC50E7" w:rsidRDefault="004B2AFB" w:rsidP="00174A77">
            <w:pPr>
              <w:spacing w:after="0" w:line="240" w:lineRule="auto"/>
              <w:ind w:firstLine="2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C50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Чинна редакція</w:t>
            </w:r>
            <w:r w:rsidR="00DC0B16" w:rsidRPr="00DC50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C0B16" w:rsidRPr="00DC50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="00DC0B16" w:rsidRPr="00DC50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постанови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D654E67" w14:textId="66432A3E" w:rsidR="004B2AFB" w:rsidRPr="00DC50E7" w:rsidRDefault="00DC0B16" w:rsidP="00174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C50E7">
              <w:rPr>
                <w:rFonts w:ascii="Times New Roman" w:hAnsi="Times New Roman" w:cs="Times New Roman"/>
                <w:b/>
                <w:lang w:val="uk-UA"/>
              </w:rPr>
              <w:t xml:space="preserve">Редакція </w:t>
            </w:r>
            <w:proofErr w:type="spellStart"/>
            <w:r w:rsidRPr="00DC50E7">
              <w:rPr>
                <w:rFonts w:ascii="Times New Roman" w:hAnsi="Times New Roman" w:cs="Times New Roman"/>
                <w:b/>
                <w:lang w:val="uk-UA"/>
              </w:rPr>
              <w:t>проєкту</w:t>
            </w:r>
            <w:proofErr w:type="spellEnd"/>
            <w:r w:rsidRPr="00DC50E7">
              <w:rPr>
                <w:rFonts w:ascii="Times New Roman" w:hAnsi="Times New Roman" w:cs="Times New Roman"/>
                <w:b/>
                <w:lang w:val="uk-UA"/>
              </w:rPr>
              <w:t xml:space="preserve"> рішення НКРЕКП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72DAB4D7" w14:textId="7E361713" w:rsidR="004B2AFB" w:rsidRPr="00DC50E7" w:rsidRDefault="00DC0B16" w:rsidP="00174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C5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Зауваження та пропозиції </w:t>
            </w:r>
            <w:r w:rsidRPr="00DC5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 </w:t>
            </w:r>
            <w:proofErr w:type="spellStart"/>
            <w:r w:rsidRPr="00DC5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проєкту</w:t>
            </w:r>
            <w:proofErr w:type="spellEnd"/>
            <w:r w:rsidRPr="00DC5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рішення НКРЕКП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B589351" w14:textId="2E2CFB94" w:rsidR="004B2AFB" w:rsidRPr="00DC50E7" w:rsidRDefault="00DC0B16" w:rsidP="00174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C50E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5650A2" w:rsidRPr="00DC50E7" w14:paraId="4B836613" w14:textId="77777777" w:rsidTr="005D52AA">
        <w:tc>
          <w:tcPr>
            <w:tcW w:w="5670" w:type="dxa"/>
            <w:gridSpan w:val="4"/>
            <w:shd w:val="pct15" w:color="auto" w:fill="auto"/>
          </w:tcPr>
          <w:p w14:paraId="6AA15D41" w14:textId="0FD9858B" w:rsidR="005650A2" w:rsidRPr="00DC50E7" w:rsidRDefault="005650A2" w:rsidP="005650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  <w:r w:rsidRPr="00DC50E7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  <w:t>Зміни до Кодексу системи передачі, затвердженого постановою НКРЕКП від 14.03.2018  № 309</w:t>
            </w:r>
          </w:p>
        </w:tc>
      </w:tr>
      <w:tr w:rsidR="00225ACD" w:rsidRPr="007B42B5" w14:paraId="65B34BF8" w14:textId="201863F8" w:rsidTr="005D52AA">
        <w:tc>
          <w:tcPr>
            <w:tcW w:w="5670" w:type="dxa"/>
          </w:tcPr>
          <w:p w14:paraId="7D2CD2D3" w14:textId="77777777" w:rsidR="000A7AE1" w:rsidRPr="00225ACD" w:rsidRDefault="000A7AE1" w:rsidP="000A7AE1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lang w:eastAsia="en-US"/>
              </w:rPr>
            </w:pPr>
          </w:p>
          <w:p w14:paraId="24503B05" w14:textId="77777777" w:rsidR="000A7AE1" w:rsidRPr="00225ACD" w:rsidRDefault="000A7AE1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2CEF2597" w14:textId="3BA0D676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 xml:space="preserve">6.4. ОСП повинен здійснити аналіз отриманих від ОСР </w:t>
            </w:r>
            <w:proofErr w:type="spellStart"/>
            <w:r w:rsidRPr="00225ACD">
              <w:rPr>
                <w:lang w:eastAsia="en-US"/>
              </w:rPr>
              <w:t>проєктів</w:t>
            </w:r>
            <w:proofErr w:type="spellEnd"/>
            <w:r w:rsidRPr="00225ACD">
              <w:rPr>
                <w:lang w:eastAsia="en-US"/>
              </w:rPr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 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ОСР.</w:t>
            </w:r>
          </w:p>
          <w:p w14:paraId="7BAF6374" w14:textId="77777777" w:rsidR="000A7AE1" w:rsidRPr="00225ACD" w:rsidRDefault="000A7AE1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bookmarkStart w:id="1" w:name="n4851"/>
            <w:bookmarkEnd w:id="1"/>
          </w:p>
          <w:p w14:paraId="6ED16766" w14:textId="77777777" w:rsidR="000A7AE1" w:rsidRPr="00225ACD" w:rsidRDefault="000A7AE1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192CD662" w14:textId="77777777" w:rsidR="000A7AE1" w:rsidRPr="00225ACD" w:rsidRDefault="000A7AE1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069B7893" w14:textId="77777777" w:rsidR="00B400ED" w:rsidRDefault="00B400ED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6D81D07E" w14:textId="410F64D1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lastRenderedPageBreak/>
              <w:t xml:space="preserve">У разі обґрунтованої необхідності виконання заходів з будівництва, реконструкції та/або технічного переоснащення об’єктів ОСП, пов’язаних з виконанням планів розвитку систем розподілу, ОСР погоджує з ОСП технічне завдання на </w:t>
            </w:r>
            <w:proofErr w:type="spellStart"/>
            <w:r w:rsidRPr="00225ACD">
              <w:rPr>
                <w:lang w:eastAsia="en-US"/>
              </w:rPr>
              <w:t>проєктування</w:t>
            </w:r>
            <w:proofErr w:type="spellEnd"/>
            <w:r w:rsidRPr="00225ACD">
              <w:rPr>
                <w:lang w:eastAsia="en-US"/>
              </w:rPr>
              <w:t xml:space="preserve"> таких заходів.</w:t>
            </w:r>
          </w:p>
          <w:p w14:paraId="28286C48" w14:textId="77777777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bookmarkStart w:id="2" w:name="n4852"/>
            <w:bookmarkStart w:id="3" w:name="n4854"/>
            <w:bookmarkEnd w:id="2"/>
            <w:bookmarkEnd w:id="3"/>
            <w:r w:rsidRPr="00225ACD">
              <w:rPr>
                <w:lang w:eastAsia="en-US"/>
              </w:rPr>
              <w:t>Виконання таких заходів у мережах ОСП має бути передбачено у Плані та відповідній інвестиційній програмі ОСП та корелюватися із термінами виконання відповідних заходів у планах розвитку систем розподілу та інвестиційних програмах ОСР.</w:t>
            </w:r>
          </w:p>
          <w:p w14:paraId="1160F9F8" w14:textId="691A31A3" w:rsidR="005650A2" w:rsidRPr="00225ACD" w:rsidRDefault="005650A2" w:rsidP="005650A2">
            <w:pPr>
              <w:spacing w:after="0"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14:paraId="60BE9D04" w14:textId="77777777" w:rsidR="000A7AE1" w:rsidRPr="00225ACD" w:rsidRDefault="000A7AE1" w:rsidP="000A7AE1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lang w:eastAsia="en-US"/>
              </w:rPr>
            </w:pPr>
          </w:p>
          <w:p w14:paraId="42990428" w14:textId="77777777" w:rsidR="000A7AE1" w:rsidRPr="00225ACD" w:rsidRDefault="000A7AE1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685D0C57" w14:textId="0B9A897C" w:rsidR="005650A2" w:rsidRPr="00B400E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 xml:space="preserve">6.4. ОСП повинен здійснити аналіз отриманих від ОСР </w:t>
            </w:r>
            <w:proofErr w:type="spellStart"/>
            <w:r w:rsidRPr="00225ACD">
              <w:rPr>
                <w:lang w:eastAsia="en-US"/>
              </w:rPr>
              <w:t>проєктів</w:t>
            </w:r>
            <w:proofErr w:type="spellEnd"/>
            <w:r w:rsidRPr="00225ACD">
              <w:rPr>
                <w:lang w:eastAsia="en-US"/>
              </w:rPr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</w:t>
            </w:r>
            <w:r w:rsidRPr="00B400ED">
              <w:rPr>
                <w:b/>
                <w:lang w:eastAsia="en-US"/>
              </w:rPr>
              <w:t xml:space="preserve">, а також на їх відповідність схемам перспективного розвитку, нормативно-правовим/нормативно-технічним документам </w:t>
            </w:r>
            <w:r w:rsidRPr="00B400ED">
              <w:rPr>
                <w:lang w:eastAsia="en-US"/>
              </w:rPr>
              <w:t xml:space="preserve">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 </w:t>
            </w:r>
            <w:r w:rsidRPr="00B400ED">
              <w:rPr>
                <w:b/>
                <w:lang w:eastAsia="en-US"/>
              </w:rPr>
              <w:t xml:space="preserve">за формою згідно </w:t>
            </w:r>
            <w:r w:rsidRPr="00B400ED">
              <w:rPr>
                <w:b/>
                <w:shd w:val="clear" w:color="auto" w:fill="FFFFFF"/>
                <w:lang w:eastAsia="en-US"/>
              </w:rPr>
              <w:t xml:space="preserve">з додатком </w:t>
            </w:r>
            <w:hyperlink r:id="rId7" w:anchor="n4943" w:history="1">
              <w:r w:rsidRPr="00B400ED">
                <w:rPr>
                  <w:rStyle w:val="a4"/>
                  <w:b/>
                  <w:color w:val="auto"/>
                  <w:lang w:eastAsia="en-US"/>
                </w:rPr>
                <w:t>15</w:t>
              </w:r>
            </w:hyperlink>
            <w:r w:rsidRPr="00B400ED">
              <w:rPr>
                <w:b/>
                <w:shd w:val="clear" w:color="auto" w:fill="FFFFFF"/>
                <w:lang w:eastAsia="en-US"/>
              </w:rPr>
              <w:t> до цього Кодексу</w:t>
            </w:r>
            <w:r w:rsidRPr="00B400ED">
              <w:rPr>
                <w:b/>
                <w:lang w:eastAsia="en-US"/>
              </w:rPr>
              <w:t>.</w:t>
            </w:r>
          </w:p>
          <w:p w14:paraId="2013DC43" w14:textId="77777777" w:rsidR="00B400ED" w:rsidRDefault="00B400ED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  <w:p w14:paraId="54AF5FF6" w14:textId="156D604B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B400ED">
              <w:rPr>
                <w:lang w:eastAsia="en-US"/>
              </w:rPr>
              <w:lastRenderedPageBreak/>
              <w:t>У разі</w:t>
            </w:r>
            <w:r w:rsidRPr="00225ACD">
              <w:rPr>
                <w:lang w:eastAsia="en-US"/>
              </w:rPr>
              <w:t xml:space="preserve"> обґрунтованої необхідності виконання заходів з будівництва, реконструкції та/або технічного переоснащення об’єктів ОСП, пов’язаних з виконанням планів розвитку систем розподілу, ОСР погоджує з ОСП технічне завдання на </w:t>
            </w:r>
            <w:proofErr w:type="spellStart"/>
            <w:r w:rsidRPr="00225ACD">
              <w:rPr>
                <w:lang w:eastAsia="en-US"/>
              </w:rPr>
              <w:t>проєктування</w:t>
            </w:r>
            <w:proofErr w:type="spellEnd"/>
            <w:r w:rsidRPr="00225ACD">
              <w:rPr>
                <w:lang w:eastAsia="en-US"/>
              </w:rPr>
              <w:t xml:space="preserve"> таких заходів.</w:t>
            </w:r>
          </w:p>
          <w:p w14:paraId="670151F5" w14:textId="77777777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>Виконання таких заходів у мережах ОСП має бути передбачено у Плані та відповідній інвестиційній програмі ОСП та корелюватися із термінами виконання відповідних заходів у планах розвитку систем розподілу та інвестиційних програмах ОСР.</w:t>
            </w:r>
          </w:p>
          <w:p w14:paraId="506249BA" w14:textId="31CEDF66" w:rsidR="005650A2" w:rsidRPr="00225ACD" w:rsidRDefault="005650A2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14:paraId="02BB05E7" w14:textId="4F10466B" w:rsidR="00445E52" w:rsidRPr="00225ACD" w:rsidRDefault="00445E52" w:rsidP="000A7AE1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bCs/>
                <w:i/>
                <w:lang w:eastAsia="ru-RU"/>
              </w:rPr>
            </w:pPr>
            <w:r w:rsidRPr="00225ACD">
              <w:rPr>
                <w:b/>
                <w:bCs/>
                <w:i/>
                <w:lang w:eastAsia="ru-RU"/>
              </w:rPr>
              <w:lastRenderedPageBreak/>
              <w:t>АТ «ДТЕК ДНІПРОВСЬКІ ЕЛЕКТРОМЕРЕЖІ»</w:t>
            </w:r>
          </w:p>
          <w:p w14:paraId="3E6A6098" w14:textId="49FF4139" w:rsidR="005D52AA" w:rsidRPr="00225ACD" w:rsidRDefault="005D52AA" w:rsidP="000A7AE1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3F10596C" w14:textId="0EED36F5" w:rsidR="00445E52" w:rsidRPr="00225ACD" w:rsidRDefault="00445E52" w:rsidP="00445E5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6.4. ОСП повинен здійснити аналіз отриманих від ОСР </w:t>
            </w:r>
            <w:proofErr w:type="spellStart"/>
            <w:r w:rsidRPr="00225ACD">
              <w:t>проєктів</w:t>
            </w:r>
            <w:proofErr w:type="spellEnd"/>
            <w:r w:rsidRPr="00225ACD">
              <w:t xml:space="preserve"> планів розвитку систем розподілу на наступні 5 років щодо частин цих планів, що відносяться до розвитку електричних мереж 110 (150) кВ, на відповідність Плану</w:t>
            </w:r>
            <w:r w:rsidRPr="00225ACD">
              <w:rPr>
                <w:b/>
              </w:rPr>
              <w:t xml:space="preserve">, а також на їх відповідність схемам перспективного розвитку, </w:t>
            </w:r>
            <w:r w:rsidR="00B400ED" w:rsidRPr="00B400ED">
              <w:rPr>
                <w:b/>
                <w:strike/>
                <w:highlight w:val="yellow"/>
                <w:lang w:eastAsia="en-US"/>
              </w:rPr>
              <w:t>нормативно-правовим/нормативно-технічним документам</w:t>
            </w:r>
            <w:r w:rsidR="00B400ED" w:rsidRPr="00225ACD">
              <w:rPr>
                <w:b/>
                <w:lang w:eastAsia="en-US"/>
              </w:rPr>
              <w:t xml:space="preserve"> </w:t>
            </w:r>
            <w:r w:rsidRPr="00225ACD">
              <w:t xml:space="preserve">та надати ОСР висновки (з обґрунтованими пропозиціями та зауваженнями щодо необхідності коригування у випадку невідповідності) протягом 20 робочих днів з дати отримання їх від ОСР </w:t>
            </w:r>
            <w:r w:rsidRPr="00225ACD">
              <w:rPr>
                <w:b/>
              </w:rPr>
              <w:t xml:space="preserve">за формою згідно </w:t>
            </w:r>
            <w:r w:rsidRPr="00225ACD">
              <w:rPr>
                <w:b/>
                <w:shd w:val="clear" w:color="auto" w:fill="FFFFFF"/>
              </w:rPr>
              <w:t xml:space="preserve">з додатком </w:t>
            </w:r>
            <w:hyperlink r:id="rId8" w:anchor="n4943" w:history="1">
              <w:r w:rsidRPr="00225ACD">
                <w:rPr>
                  <w:b/>
                </w:rPr>
                <w:t>15</w:t>
              </w:r>
            </w:hyperlink>
            <w:r w:rsidRPr="00225ACD">
              <w:rPr>
                <w:b/>
                <w:shd w:val="clear" w:color="auto" w:fill="FFFFFF"/>
              </w:rPr>
              <w:t> до цього Кодексу</w:t>
            </w:r>
            <w:r w:rsidRPr="00225ACD">
              <w:rPr>
                <w:b/>
              </w:rPr>
              <w:t>.</w:t>
            </w:r>
          </w:p>
          <w:p w14:paraId="71435168" w14:textId="77777777" w:rsidR="00445E52" w:rsidRPr="00225ACD" w:rsidRDefault="00445E52" w:rsidP="00445E5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z w:val="6"/>
                <w:szCs w:val="6"/>
              </w:rPr>
            </w:pPr>
          </w:p>
          <w:p w14:paraId="3E97066E" w14:textId="77777777" w:rsidR="00445E52" w:rsidRPr="00225ACD" w:rsidRDefault="00445E52" w:rsidP="00445E5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lastRenderedPageBreak/>
              <w:t xml:space="preserve">У разі обґрунтованої необхідності виконання заходів з будівництва, реконструкції та/або технічного переоснащення об’єктів ОСП, пов’язаних з виконанням планів розвитку систем розподілу, ОСР погоджує з ОСП технічне завдання на </w:t>
            </w:r>
            <w:proofErr w:type="spellStart"/>
            <w:r w:rsidRPr="00225ACD">
              <w:t>проєктування</w:t>
            </w:r>
            <w:proofErr w:type="spellEnd"/>
            <w:r w:rsidRPr="00225ACD">
              <w:t xml:space="preserve"> таких заходів.</w:t>
            </w:r>
          </w:p>
          <w:p w14:paraId="2C48422E" w14:textId="77777777" w:rsidR="005650A2" w:rsidRPr="00225ACD" w:rsidRDefault="00445E52" w:rsidP="00445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Виконання таких заходів у мережах ОСП має бути передбачено у Плані та відповідній інвестиційній програмі ОСП та корелюватися із термінами виконання відповідних заходів у планах розвитку систем розподілу та інвестиційних програмах ОСР.</w:t>
            </w:r>
          </w:p>
          <w:p w14:paraId="394CF842" w14:textId="77777777" w:rsidR="009E2340" w:rsidRPr="00225ACD" w:rsidRDefault="009E2340" w:rsidP="00445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</w:p>
          <w:p w14:paraId="437286FD" w14:textId="7E3102FF" w:rsidR="00445E52" w:rsidRPr="00225ACD" w:rsidRDefault="00445E52" w:rsidP="00445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proofErr w:type="spellStart"/>
            <w:r w:rsidRPr="00225A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Обгрунтування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 xml:space="preserve"> пропозиції:</w:t>
            </w:r>
          </w:p>
          <w:p w14:paraId="62BFD6E4" w14:textId="4171BD28" w:rsidR="00445E52" w:rsidRPr="00225ACD" w:rsidRDefault="00445E52" w:rsidP="00445E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Пропонуємо вилучити зобов’язання ОСП перевіряти проекти планів розвитку на відповідність нормативним документам. Схеми перспективного розвитку вже  розробляються з урахування вимог</w:t>
            </w:r>
            <w:r w:rsidRPr="00225ACD">
              <w:rPr>
                <w:rFonts w:ascii="Times New Roman" w:hAnsi="Times New Roman" w:cs="Times New Roman"/>
                <w:i/>
                <w:lang w:val="uk-UA"/>
              </w:rPr>
              <w:t xml:space="preserve"> нормативної бази.</w:t>
            </w:r>
          </w:p>
        </w:tc>
        <w:tc>
          <w:tcPr>
            <w:tcW w:w="2835" w:type="dxa"/>
          </w:tcPr>
          <w:p w14:paraId="06461B0F" w14:textId="77777777" w:rsidR="00777FA7" w:rsidRDefault="00777FA7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7D6D1CC8" w14:textId="77777777" w:rsidR="00777FA7" w:rsidRDefault="00777FA7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455E6FC6" w14:textId="77777777" w:rsidR="00777FA7" w:rsidRDefault="00777FA7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4AA66166" w14:textId="77777777" w:rsidR="00777FA7" w:rsidRDefault="00777FA7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703C929F" w14:textId="605F1D17" w:rsidR="005650A2" w:rsidRPr="00B400ED" w:rsidRDefault="00021233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B400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 xml:space="preserve">Пропонується </w:t>
            </w:r>
            <w:r w:rsidR="008B01A9" w:rsidRPr="00B400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відхилити</w:t>
            </w:r>
          </w:p>
          <w:p w14:paraId="74A3D2B3" w14:textId="0C7EB29A" w:rsidR="009E2340" w:rsidRPr="00225ACD" w:rsidRDefault="009E2340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наразі </w:t>
            </w:r>
            <w:r w:rsidR="00B400ED"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ОСП </w:t>
            </w:r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надавав/надає висновки</w:t>
            </w:r>
            <w:r w:rsidR="00B40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такі</w:t>
            </w:r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що включають і вказаний аналіз. Разом із цим, не всі заходи, що є у ПРСР, наявні в СПР, як приклад ті, що були включені на вимогу, зокрема, ОСП тощо</w:t>
            </w:r>
          </w:p>
        </w:tc>
      </w:tr>
      <w:tr w:rsidR="00225ACD" w:rsidRPr="007B42B5" w14:paraId="107A6B43" w14:textId="77777777" w:rsidTr="005D52AA">
        <w:tc>
          <w:tcPr>
            <w:tcW w:w="5670" w:type="dxa"/>
          </w:tcPr>
          <w:p w14:paraId="4BE49D6A" w14:textId="6EE8D4B3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>Додаток відсутній</w:t>
            </w:r>
          </w:p>
        </w:tc>
        <w:tc>
          <w:tcPr>
            <w:tcW w:w="5670" w:type="dxa"/>
          </w:tcPr>
          <w:p w14:paraId="7534CA30" w14:textId="77777777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>Додаток 15</w:t>
            </w:r>
          </w:p>
          <w:p w14:paraId="4CB3908D" w14:textId="77777777" w:rsidR="005650A2" w:rsidRPr="00225ACD" w:rsidRDefault="005650A2" w:rsidP="005650A2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>«ВИСНОВОК щодо відповідності Плану розвитку системи розподілу_______________</w:t>
            </w:r>
          </w:p>
          <w:p w14:paraId="1C77B863" w14:textId="1FBD564E" w:rsidR="005650A2" w:rsidRPr="00225ACD" w:rsidRDefault="005650A2" w:rsidP="005650A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rPr>
                <w:lang w:eastAsia="en-US"/>
              </w:rPr>
              <w:t>на ______________ роки (далі – ПРСР) вимогам нормативно-правових та нормативно-технічних документів»</w:t>
            </w:r>
          </w:p>
        </w:tc>
        <w:tc>
          <w:tcPr>
            <w:tcW w:w="5670" w:type="dxa"/>
          </w:tcPr>
          <w:p w14:paraId="37E96F61" w14:textId="77777777" w:rsidR="005650A2" w:rsidRPr="00225ACD" w:rsidRDefault="005650A2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1162A5AC" w14:textId="77777777" w:rsidR="005650A2" w:rsidRPr="00225ACD" w:rsidRDefault="005650A2" w:rsidP="005650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25ACD" w:rsidRPr="00225ACD" w14:paraId="0FE7D0B3" w14:textId="77777777" w:rsidTr="005D52AA">
        <w:tc>
          <w:tcPr>
            <w:tcW w:w="5670" w:type="dxa"/>
            <w:gridSpan w:val="4"/>
          </w:tcPr>
          <w:p w14:paraId="70413053" w14:textId="427FEB8E" w:rsidR="006A7F4F" w:rsidRPr="00225ACD" w:rsidRDefault="006A7F4F" w:rsidP="006A7F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</w:pPr>
            <w:r w:rsidRPr="00225AC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  <w:lang w:val="uk-UA"/>
              </w:rPr>
              <w:t>Зміни до Кодексу систем розподілу, затвердженого постановою НКРЕКП від 14.03.2018  № 310</w:t>
            </w:r>
          </w:p>
        </w:tc>
      </w:tr>
      <w:tr w:rsidR="00225ACD" w:rsidRPr="007B42B5" w14:paraId="34FDC558" w14:textId="77777777" w:rsidTr="005D52AA">
        <w:tc>
          <w:tcPr>
            <w:tcW w:w="5670" w:type="dxa"/>
          </w:tcPr>
          <w:p w14:paraId="6827E496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2DC3775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EA00ACA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8A2E20B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C30564A" w14:textId="6CCABC33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3.3.1. ПРСР має містити:</w:t>
            </w:r>
          </w:p>
          <w:p w14:paraId="256B1F5D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4" w:name="n2047"/>
            <w:bookmarkEnd w:id="4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фактичні та прогнозні обсяги попиту на електричну енергію та потужність у системі розподілу, обсяги розподілу (у т. ч. транзиту) електричної енергії мережами ОСР, з урахуванням приєднаної потужності УЗЕ та відбору УЗЕ, включаючи УЗЕ, які заплановані до будівництва ОСР;</w:t>
            </w:r>
          </w:p>
          <w:p w14:paraId="199EFB65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" w:name="n4260"/>
            <w:bookmarkStart w:id="6" w:name="n2048"/>
            <w:bookmarkEnd w:id="5"/>
            <w:bookmarkEnd w:id="6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 фактичні та обґрунтовані прогнозні обсяги відпуску електричної енергії виробників електричної енергії, приєднаних до системи розподілу (визначені, де необхідно, у координації з ОСП), з урахуванням приєднаної потужності УЗЕ та відбору УЗЕ, включаючи УЗЕ, які заплановані до будівництва ОСР;</w:t>
            </w:r>
          </w:p>
          <w:p w14:paraId="031F058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7" w:name="n4262"/>
            <w:bookmarkStart w:id="8" w:name="n4098"/>
            <w:bookmarkEnd w:id="7"/>
            <w:bookmarkEnd w:id="8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будівництва, реконструкції та технічного переоснащення елементів системи розподілу, сформований:</w:t>
            </w:r>
          </w:p>
          <w:p w14:paraId="582473A5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9" w:name="n4099"/>
            <w:bookmarkEnd w:id="9"/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рівня напруги 20 кВ та вище;</w:t>
            </w:r>
          </w:p>
          <w:p w14:paraId="09756C18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0" w:name="n4100"/>
            <w:bookmarkEnd w:id="10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узагальнено із прив’язкою до відповідних районів для рівня напруги нижче 20 кВ на прогнозний п’ятирічний період, а також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першого року прогнозного періоду;</w:t>
            </w:r>
          </w:p>
          <w:p w14:paraId="78C0957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1" w:name="n4101"/>
            <w:bookmarkStart w:id="12" w:name="n2050"/>
            <w:bookmarkEnd w:id="11"/>
            <w:bookmarkEnd w:id="12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4) заплановані та прогнозні рівні потужності в кожній точці приєднання системи розподілу до системи передачі та до систем розподілу інших ОСР та/або збільшення потужності для існуючих точок приєднання;</w:t>
            </w:r>
          </w:p>
          <w:p w14:paraId="0F3280F3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3" w:name="n2051"/>
            <w:bookmarkEnd w:id="13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5) заходи з будівництва об’єктів системи розподілу, включаючи засоби РЗА, ПА і зв’язку, потреба в яких визначена ОСП відповідно до вимог підтримання належного рівня операційної безпеки;</w:t>
            </w:r>
          </w:p>
          <w:p w14:paraId="1F899CDB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4" w:name="n4265"/>
            <w:bookmarkEnd w:id="14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6) інформацію щодо існуючих та нових електроустановок виробництва електричної енергії, УЗЕ, які приєднані та/або мають бути приєднані до системи розподілу (на основі заяв про приєднання та іншої інформації, наявної в ОСР);</w:t>
            </w:r>
          </w:p>
          <w:p w14:paraId="7D534855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5" w:name="n4270"/>
            <w:bookmarkStart w:id="16" w:name="n4266"/>
            <w:bookmarkEnd w:id="15"/>
            <w:bookmarkEnd w:id="16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7) інформацію щодо УЗЕ (номінальна (встановлена) потужність, яких більше 1 МВт), які приєднуються до внутрішніх мереж Користувача;</w:t>
            </w:r>
          </w:p>
          <w:p w14:paraId="7F0AEFB8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7" w:name="n4271"/>
            <w:bookmarkStart w:id="18" w:name="n4267"/>
            <w:bookmarkEnd w:id="17"/>
            <w:bookmarkEnd w:id="18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8) інформацію щодо генеруючих установок (встановленою потужністю 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більше 1 МВт), які встановлені споживачем;</w:t>
            </w:r>
          </w:p>
          <w:p w14:paraId="619B5602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9" w:name="n4272"/>
            <w:bookmarkStart w:id="20" w:name="n2053"/>
            <w:bookmarkEnd w:id="19"/>
            <w:bookmarkEnd w:id="20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9) дані щодо прогнозної потужності приєднання нових електроустановок (на основі заяв про приєднання та доступної потужності в точках забезпечення потужності);</w:t>
            </w:r>
          </w:p>
          <w:p w14:paraId="1F3F87C9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1" w:name="n2054"/>
            <w:bookmarkEnd w:id="21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10) дані щодо потужності в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енерговузлах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системи розподілу, ураховуючи формування переліку елементів мережі, що спричиняють обмеження та/або неналежну якість електропостачання споживачів, які потребують виконання заходів щодо підсилення з метою забезпечення інтеграції нового навантаження та виробництва до системи розподілу;</w:t>
            </w:r>
          </w:p>
          <w:p w14:paraId="6348E390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2" w:name="n2055"/>
            <w:bookmarkEnd w:id="22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11) дані щодо завантаження електричних мереж напругою 20 кВ та вище в характерні періоди їх роботи для нормальних та ремонтних режимів;</w:t>
            </w:r>
          </w:p>
          <w:p w14:paraId="7E4EF85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3" w:name="n2056"/>
            <w:bookmarkEnd w:id="23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12) інформацію (фактичні та заплановані рівні показників) щодо якості електропостачання (комерційна якість послуг, надійність (безперервність) та якість електроенергії) та заходів, направлених на її підвищення;</w:t>
            </w:r>
          </w:p>
          <w:p w14:paraId="3699B9B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4" w:name="n2057"/>
            <w:bookmarkEnd w:id="24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13) інформацію щодо розміщення пристроїв фіксації/аналізу показників якості електроенергії та планів щодо їх встановлення;</w:t>
            </w:r>
          </w:p>
          <w:p w14:paraId="427727A8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5" w:name="n2058"/>
            <w:bookmarkEnd w:id="25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14) інформацію щодо запланованого виведення обладнання системи розподілу 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з експлуатації та оцінку впливу такого виведення;</w:t>
            </w:r>
          </w:p>
          <w:p w14:paraId="70392102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6" w:name="n4275"/>
            <w:bookmarkEnd w:id="26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15) інформацію щодо заходів з енергоефективності, управління попитом та можливостей використання розподіленої генерації, необхідності і можливостей використання УЗЕ;</w:t>
            </w:r>
          </w:p>
          <w:p w14:paraId="5AB446C8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7" w:name="n4276"/>
            <w:bookmarkStart w:id="28" w:name="n2059"/>
            <w:bookmarkEnd w:id="27"/>
            <w:bookmarkEnd w:id="28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16) плани в частині заходів з компенсації реактивної потужності;</w:t>
            </w:r>
          </w:p>
          <w:p w14:paraId="510C46A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29" w:name="n2060"/>
            <w:bookmarkEnd w:id="29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17) плани в частині улаштування «інтелектуального» обліку електричної енергії;</w:t>
            </w:r>
          </w:p>
          <w:p w14:paraId="5EFECF3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0" w:name="n2061"/>
            <w:bookmarkEnd w:id="30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18) фактичні та прогнозні витрати електроенергії в системі розподілу та заходи, направлені на їх зниження;</w:t>
            </w:r>
          </w:p>
          <w:p w14:paraId="705FDE9F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1" w:name="n2062"/>
            <w:bookmarkEnd w:id="31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19)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потужності, які створюються при реалізації цих планів для можливості приєднання нових замовників;</w:t>
            </w:r>
          </w:p>
          <w:p w14:paraId="28EC66B6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32" w:name="n2063"/>
            <w:bookmarkEnd w:id="32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20) аналіз витрат та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(з урахуванням техніко-економічних показників)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розвитку системи розподілу.</w:t>
            </w:r>
          </w:p>
          <w:p w14:paraId="6A688C8A" w14:textId="77777777" w:rsidR="0069076B" w:rsidRPr="00225ACD" w:rsidRDefault="0069076B" w:rsidP="0069076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</w:tc>
        <w:tc>
          <w:tcPr>
            <w:tcW w:w="5670" w:type="dxa"/>
          </w:tcPr>
          <w:p w14:paraId="0A64FF8A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20F93D8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8D16B51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3678DEF" w14:textId="77777777" w:rsidR="00225ACD" w:rsidRDefault="00225ACD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02D0BCB" w14:textId="650EC9FB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3.3.1. ПРСР має містити:</w:t>
            </w:r>
          </w:p>
          <w:p w14:paraId="2B2A1CA6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фактичні та прогнозні обсяги попиту на електричну енергію та потужність у системі розподілу, обсяги розподілу (у т. ч. транзиту) електричної енергії мережами ОСР, з урахуванням приєднаної потужності УЗЕ та відбору УЗЕ, включаючи УЗЕ, які заплановані до будівництва ОСР;</w:t>
            </w:r>
          </w:p>
          <w:p w14:paraId="0999E519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 фактичні та обґрунтовані прогнозні обсяги відпуску електричної енергії виробників електричної енергії, приєднаних до системи розподілу (визначені, де необхідно, у координації з ОСП), з урахуванням приєднаної потужності УЗЕ та відбору УЗЕ, включаючи УЗЕ, які заплановані до будівництва ОСР;</w:t>
            </w:r>
          </w:p>
          <w:p w14:paraId="6FF6ACE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будівництва, реконструкції та технічного переоснащення елементів системи розподілу, сформований:</w:t>
            </w:r>
          </w:p>
          <w:p w14:paraId="6554C67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рівня напруги 20 кВ та вище;</w:t>
            </w:r>
          </w:p>
          <w:p w14:paraId="004E3F90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узагальнено із прив’язкою до відповідних районів для рівня напруги нижче 20 кВ на прогнозний п’ятирічний період, а також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першого року прогнозного періоду;</w:t>
            </w:r>
          </w:p>
          <w:p w14:paraId="54E92E9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4) заплановані та прогнозні рівні потужності в кожній точці приєднання системи розподілу до системи передачі та до систем розподілу інших ОСР та/або збільшення потужності для існуючих точок приєднання;</w:t>
            </w:r>
          </w:p>
          <w:p w14:paraId="10ADF277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5) заходи з будівництва об’єктів системи розподілу, включаючи засоби РЗА, ПА і зв’язку, потреба в яких визначена ОСП відповідно до вимог підтримання належного рівня операційної безпеки;</w:t>
            </w:r>
          </w:p>
          <w:p w14:paraId="7C3B6E48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6) інформацію щодо існуючих та нових електроустановок виробництва електричної енергії, УЗЕ, які приєднані та/або мають бути приєднані до системи розподілу (на основі заяв про приєднання та іншої інформації, наявної в ОСР);</w:t>
            </w:r>
          </w:p>
          <w:p w14:paraId="0F02C30F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7) інформацію щодо УЗЕ (номінальна (встановлена) потужність, яких більше 1 МВт), які приєднуються до внутрішніх мереж Користувача;</w:t>
            </w:r>
          </w:p>
          <w:p w14:paraId="7801D683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8) інформацію щодо генеруючих установок (встановленою потужністю 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більше 1 МВт), які встановлені споживачем;</w:t>
            </w:r>
          </w:p>
          <w:p w14:paraId="798F450A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9) дані щодо прогнозної потужності приєднання нових електроустановок (на основі заяв про приєднання та доступної потужності в точках забезпечення потужності);</w:t>
            </w:r>
          </w:p>
          <w:p w14:paraId="08588EBE" w14:textId="77777777" w:rsidR="0069076B" w:rsidRPr="00B30EAB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10) дані щодо потужності в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енерговузлах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системи розподілу, ураховуючи формування переліку елементів мережі, що спричиняють обмеження та/або неналежну якість електропостачання споживачів, які потребують виконання заходів щодо підсилення з метою забезпечення інтеграції нового навантаження та </w:t>
            </w:r>
            <w:r w:rsidRPr="00B30E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виробництва до системи розподілу;</w:t>
            </w:r>
          </w:p>
          <w:p w14:paraId="4868B71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30E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11) дані щодо завантаження електричних мереж напругою 20 кВ та вище в характерні періоди їх роботи для нормальних та ремонтних режимів </w:t>
            </w:r>
            <w:r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для року, що передує першому року прогнозного періоду, та останнього року прогнозного періоду</w:t>
            </w:r>
            <w:r w:rsidRPr="00B30E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14:paraId="74458DD4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12) інформацію (фактичні та заплановані рівні показників) щодо якості електропостачання (комерційна якість послуг, надійність (безперервність) та якість електроенергії) та заходів, направлених на її підвищення;</w:t>
            </w:r>
          </w:p>
          <w:p w14:paraId="2B5EE3FF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13) інформацію щодо розміщення пристроїв фіксації/аналізу показників 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якості електроенергії та планів щодо їх встановлення;</w:t>
            </w:r>
          </w:p>
          <w:p w14:paraId="725D695A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14) інформацію щодо запланованого виведення обладнання системи розподілу з експлуатації та оцінку впливу такого виведення;</w:t>
            </w:r>
          </w:p>
          <w:p w14:paraId="049F98F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15) інформацію щодо заходів з енергоефективності, управління попитом та можливостей використання розподіленої генерації, необхідності і можливостей використання УЗЕ;</w:t>
            </w:r>
          </w:p>
          <w:p w14:paraId="79BCB59D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16) плани в частині заходів з компенсації реактивної потужності;</w:t>
            </w:r>
          </w:p>
          <w:p w14:paraId="57903F78" w14:textId="77777777" w:rsidR="0069076B" w:rsidRPr="00B30EAB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17) плани в частині улаштування «інтелектуального» обліку електричної </w:t>
            </w:r>
            <w:r w:rsidRPr="00B30E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енергії;</w:t>
            </w:r>
          </w:p>
          <w:p w14:paraId="53DFCD1D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18) інформацію щодо заходів, спрямованих на впровадження та розвиток «розумних мереж»;</w:t>
            </w:r>
          </w:p>
          <w:p w14:paraId="4BCCA84D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val="uk-UA" w:eastAsia="uk-UA"/>
              </w:rPr>
              <w:t>18)</w:t>
            </w:r>
            <w:r w:rsidRPr="00225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19)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фактичні та прогнозні витрати електроенергії в системі розподілу та заходи, направлені на їх зниження;</w:t>
            </w:r>
          </w:p>
          <w:p w14:paraId="056178DA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val="uk-UA" w:eastAsia="uk-UA"/>
              </w:rPr>
              <w:t>19)</w:t>
            </w:r>
            <w:r w:rsidRPr="00225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20)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потужності, які створюються при реалізації цих планів для можливості приєднання нових замовників;</w:t>
            </w:r>
          </w:p>
          <w:p w14:paraId="076605BC" w14:textId="77777777" w:rsidR="0069076B" w:rsidRPr="00225ACD" w:rsidRDefault="0069076B" w:rsidP="0069076B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val="uk-UA" w:eastAsia="uk-UA"/>
              </w:rPr>
              <w:lastRenderedPageBreak/>
              <w:t>20)</w:t>
            </w:r>
            <w:r w:rsidRPr="00225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21)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аналіз витрат та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вигод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(з урахуванням техніко-економічних показників)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розвитку системи розподілу.</w:t>
            </w:r>
          </w:p>
          <w:p w14:paraId="47E486AA" w14:textId="77777777" w:rsidR="0069076B" w:rsidRPr="00225ACD" w:rsidRDefault="0069076B" w:rsidP="0069076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</w:p>
        </w:tc>
        <w:tc>
          <w:tcPr>
            <w:tcW w:w="5670" w:type="dxa"/>
          </w:tcPr>
          <w:p w14:paraId="7A32F9EE" w14:textId="351A695E" w:rsidR="0069076B" w:rsidRDefault="0069076B" w:rsidP="0069076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lang w:eastAsia="ru-RU"/>
              </w:rPr>
            </w:pPr>
            <w:r w:rsidRPr="00225ACD">
              <w:rPr>
                <w:b/>
                <w:bCs/>
                <w:lang w:eastAsia="ru-RU"/>
              </w:rPr>
              <w:lastRenderedPageBreak/>
              <w:t>АТ «ДТЕК ДНІПРОВСЬКІ ЕЛЕКТРОМЕРЕЖІ»</w:t>
            </w:r>
          </w:p>
          <w:p w14:paraId="789223CA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51490002" w14:textId="77777777" w:rsidR="00225ACD" w:rsidRPr="00225ACD" w:rsidRDefault="00225ACD" w:rsidP="0069076B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483D23F1" w14:textId="0FC7AC8B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3.3.1. ПРСР має містити:</w:t>
            </w:r>
          </w:p>
          <w:p w14:paraId="6C98C16B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1) фактичні та прогнозні обсяги попиту на електричну енергію та потужність у системі розподілу, обсяги розподілу (у т. ч. транзиту) електричної енергії мережами ОСР, з урахуванням приєднаної потужності УЗЕ та відбору УЗЕ, включаючи УЗЕ, які заплановані до будівництва ОСР;</w:t>
            </w:r>
          </w:p>
          <w:p w14:paraId="3B412327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2) фактичні та обґрунтовані прогнозні обсяги відпуску електричної енергії виробників електричної енергії, приєднаних до системи розподілу (визначені, де необхідно, у координації з ОСП), з урахуванням приєднаної потужності УЗЕ та відбору УЗЕ, включаючи УЗЕ, які заплановані до будівництва ОСР;</w:t>
            </w:r>
          </w:p>
          <w:p w14:paraId="4CEE5D9E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3)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будівництва, реконструкції та технічного переоснащення елементів системи розподілу, сформований:</w:t>
            </w:r>
          </w:p>
          <w:p w14:paraId="450A005F" w14:textId="77777777" w:rsidR="00B400ED" w:rsidRDefault="00B400ED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F8A570E" w14:textId="20DFCEB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для рівня напруги </w:t>
            </w:r>
            <w:r w:rsidRPr="00225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lang w:val="uk-UA" w:eastAsia="uk-UA"/>
              </w:rPr>
              <w:t>35 кВ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та вище;</w:t>
            </w:r>
          </w:p>
          <w:p w14:paraId="293A9A11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узагальнено із прив’язкою до відповідних районів для рівня напруги </w:t>
            </w:r>
            <w:r w:rsidRPr="00225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lang w:val="uk-UA" w:eastAsia="uk-UA"/>
              </w:rPr>
              <w:t>20 кВ та нижче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прогнозний п’ятирічний період, а також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для першого року прогнозного періоду;</w:t>
            </w:r>
          </w:p>
          <w:p w14:paraId="483539E5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4) заплановані та прогнозні рівні потужності в кожній точці приєднання системи розподілу до системи передачі та до систем розподілу інших ОСР та/або збільшення потужності для існуючих точок приєднання;</w:t>
            </w:r>
          </w:p>
          <w:p w14:paraId="3CFAD71D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5) заходи з будівництва об’єктів системи розподілу, включаючи засоби РЗА, ПА і зв’язку, потреба в яких визначена ОСП відповідно до вимог підтримання належного рівня операційної безпеки;</w:t>
            </w:r>
          </w:p>
          <w:p w14:paraId="7E1B53F7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6) інформацію щодо існуючих та нових електроустановок виробництва електричної енергії, УЗЕ, які приєднані та/або мають бути приєднані до системи розподілу (на основі заяв про приєднання та іншої інформації, наявної в ОСР);</w:t>
            </w:r>
          </w:p>
          <w:p w14:paraId="7971222A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7) інформацію щодо УЗЕ (номінальна (встановлена) потужність, яких більше 1 МВт), які приєднуються до внутрішніх мереж Користувача;</w:t>
            </w:r>
          </w:p>
          <w:p w14:paraId="043893C8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8) інформацію щодо генеруючих установок (встановленою потужністю більше 1 МВт), які встановлені споживачем;</w:t>
            </w:r>
          </w:p>
          <w:p w14:paraId="098A1023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9) дані щодо прогнозної потужності приєднання нових електроустановок (на основі заяв про приєднання та доступної потужності в точках забезпечення потужності);</w:t>
            </w:r>
          </w:p>
          <w:p w14:paraId="1099D633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10) дані щодо потужності в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енерговузлах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системи розподілу, ураховуючи формування переліку елементів мережі, що спричиняють обмеження та/або неналежну якість електропостачання споживачів, які потребують виконання заходів щодо підсилення з метою забезпечення інтеграції нового навантаження та виробництва до системи розподілу;</w:t>
            </w:r>
          </w:p>
          <w:p w14:paraId="083585F3" w14:textId="77777777" w:rsidR="00225ACD" w:rsidRDefault="00225ACD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78BB20F1" w14:textId="1E784D2D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11) дані щодо завантаження електричних мереж напругою </w:t>
            </w:r>
            <w:r w:rsidRPr="00225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lang w:val="uk-UA" w:eastAsia="uk-UA"/>
              </w:rPr>
              <w:t>35 кВ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та вище в характерні періоди їх роботи для нормальних та ремонтних режимів 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для року, що передує першому року прогнозного періоду, та останнього року прогнозного періоду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;</w:t>
            </w:r>
          </w:p>
          <w:p w14:paraId="3DEBA327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12) інформацію (фактичні та заплановані рівні показників) щодо якості електропостачання (комерційна якість послуг, надійність (безперервність) та якість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електроенергії) та заходів, направлених на її підвищення;</w:t>
            </w:r>
          </w:p>
          <w:p w14:paraId="13DEF4B3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13) інформацію щодо розміщення пристроїв фіксації/аналізу показників якості електроенергії та планів щодо їх встановлення;</w:t>
            </w:r>
          </w:p>
          <w:p w14:paraId="6B5E2F39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14) інформацію щодо запланованого виведення обладнання системи розподілу з експлуатації та оцінку впливу такого виведення;</w:t>
            </w:r>
          </w:p>
          <w:p w14:paraId="17468064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15) інформацію щодо заходів з енергоефективності, управління попитом та можливостей використання розподіленої генерації, необхідності і можливостей використання УЗЕ;</w:t>
            </w:r>
          </w:p>
          <w:p w14:paraId="06B83859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16) плани в частині заходів з компенсації реактивної потужності;</w:t>
            </w:r>
          </w:p>
          <w:p w14:paraId="645674C3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17) плани в частині улаштування «інтелектуального» обліку електричної енергії;</w:t>
            </w:r>
          </w:p>
          <w:p w14:paraId="63CA5326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18) інформацію щодо заходів, спрямованих на впровадження та розвиток «розумних мереж»;</w:t>
            </w:r>
          </w:p>
          <w:p w14:paraId="63E4D1BD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lang w:val="uk-UA" w:eastAsia="uk-UA"/>
              </w:rPr>
              <w:t>18)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19)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фактичні та прогнозні витрати електроенергії в системі розподілу та заходи, направлені на їх зниження;</w:t>
            </w:r>
          </w:p>
          <w:p w14:paraId="5C4F1FF1" w14:textId="77777777" w:rsidR="0069076B" w:rsidRPr="00225ACD" w:rsidRDefault="0069076B" w:rsidP="0069076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lang w:val="uk-UA" w:eastAsia="uk-UA"/>
              </w:rPr>
              <w:t>19)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20)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плани щодо реконструкції електричних мереж у точках забезпечення потужності або створення нових точок забезпечення потужності із зазначенням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резервів потужності, які створюються при реалізації цих планів для можливості приєднання нових замовників;</w:t>
            </w:r>
          </w:p>
          <w:p w14:paraId="250EFD41" w14:textId="2A288EEB" w:rsidR="00FF6DFD" w:rsidRPr="00225ACD" w:rsidRDefault="0069076B" w:rsidP="00690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b/>
                <w:strike/>
                <w:lang w:val="uk-UA" w:eastAsia="uk-UA"/>
              </w:rPr>
              <w:t>20)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21)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аналіз витрат та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вигод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(з урахуванням техніко-економічних показників)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проєктів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з розвитку системи розподілу.</w:t>
            </w:r>
          </w:p>
          <w:p w14:paraId="35DF14ED" w14:textId="77777777" w:rsidR="0069076B" w:rsidRPr="00225ACD" w:rsidRDefault="0069076B" w:rsidP="00FF6DF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CB499BE" w14:textId="52478ABB" w:rsidR="00FF6DFD" w:rsidRPr="00225ACD" w:rsidRDefault="00FF6DFD" w:rsidP="00FF6DFD">
            <w:pPr>
              <w:shd w:val="clear" w:color="auto" w:fill="FFFFFF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val="uk-UA" w:eastAsia="uk-UA"/>
              </w:rPr>
            </w:pPr>
            <w:proofErr w:type="spellStart"/>
            <w:r w:rsidRPr="00225ACD">
              <w:rPr>
                <w:rFonts w:ascii="Times New Roman" w:eastAsia="Times New Roman" w:hAnsi="Times New Roman" w:cs="Times New Roman"/>
                <w:b/>
                <w:bCs/>
                <w:i/>
                <w:lang w:val="uk-UA" w:eastAsia="uk-UA"/>
              </w:rPr>
              <w:t>Обгрунтування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b/>
                <w:bCs/>
                <w:i/>
                <w:lang w:val="uk-UA" w:eastAsia="uk-UA"/>
              </w:rPr>
              <w:t xml:space="preserve"> пропозиції</w:t>
            </w:r>
          </w:p>
          <w:p w14:paraId="4A32A229" w14:textId="1A62D5E6" w:rsidR="00FF6DFD" w:rsidRPr="00225ACD" w:rsidRDefault="00FF6DFD" w:rsidP="00B913FE">
            <w:pPr>
              <w:shd w:val="clear" w:color="auto" w:fill="FFFFFF"/>
              <w:spacing w:after="0" w:line="240" w:lineRule="auto"/>
              <w:ind w:left="-18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bCs/>
                <w:i/>
                <w:lang w:val="uk-UA" w:eastAsia="uk-UA"/>
              </w:rPr>
              <w:t>Пропонуємо визначити рівень напруги для більш детальної деталізації на рівні 35кВ</w:t>
            </w:r>
          </w:p>
          <w:p w14:paraId="1383E579" w14:textId="77777777" w:rsidR="00FF6DFD" w:rsidRPr="00225ACD" w:rsidRDefault="00FF6DFD" w:rsidP="00FF6DFD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Електричні мережі 20 кВ відносяться до розподільчих електричних мереж, що формуються по принципу побудови 6-10 кВ і або забезпечують живленням кінцевих споживачів або знаходяться в «передостанній» ланці живлення кінцевих споживачів. Відповідно,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прогнозно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, кількість ТП 20 кВ буде зростати та становитиме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співрозмірну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 кількість з ТП 6-10 кВ.</w:t>
            </w:r>
          </w:p>
          <w:p w14:paraId="70FFA82E" w14:textId="46071FFC" w:rsidR="00FF6DFD" w:rsidRPr="00225ACD" w:rsidRDefault="00FF6DFD" w:rsidP="00FF6DFD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Наказом №456 від 04.12.2024 МЕУ затверджено зміни в Стандарт операційної безпеки функціонування об’єднаної енергетичної системи України (надалі – СОБУ). В СОБУ побудови мереж 20 кВ та 10 кВ відбуваються за єдиними принципами. Окрім цього зараз відбувається процес внесення змін в СОУ-Н ЕЕ 40.1-00100227-103:2014 «Виконання Схем перспективного розвитку ОЕС України, окремих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енерговузлів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 та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енергорайонів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. Правила» (надалі – Норми), пройдено два етапи обговорень зі всіма профільними організаціями і наявна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фіналізація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 документу. Підходи до мереж 20 кВ відповідають СОБУ та іншим документам. Підходи до аналізу мережі в ПРСР перекликаються /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синхронізовуються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 з Нормами, в яких розрахунки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lastRenderedPageBreak/>
              <w:t>потокорозподілу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 для мереж 20 кВ та нижче не вимагається.   У зв’язку з цим, пропонується синхронізувати положення та відповідні вимоги по аналізу до мереж за класами наруги і їх функціональним напрямком</w:t>
            </w:r>
          </w:p>
        </w:tc>
        <w:tc>
          <w:tcPr>
            <w:tcW w:w="2835" w:type="dxa"/>
          </w:tcPr>
          <w:p w14:paraId="4B1663C1" w14:textId="2CB5C4C5" w:rsidR="00B913FE" w:rsidRPr="00225ACD" w:rsidRDefault="00B913FE" w:rsidP="00690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E1C6BFF" w14:textId="77777777" w:rsidR="00225ACD" w:rsidRDefault="00225ACD" w:rsidP="00B913F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593D8052" w14:textId="77777777" w:rsidR="00225ACD" w:rsidRDefault="00225ACD" w:rsidP="00B913F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27450908" w14:textId="77777777" w:rsidR="00225ACD" w:rsidRDefault="00225ACD" w:rsidP="00B913F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169D049C" w14:textId="0A79929A" w:rsidR="00B400ED" w:rsidRPr="00B400ED" w:rsidRDefault="00B400ED" w:rsidP="00B400ED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</w:pPr>
            <w:r w:rsidRPr="00B400ED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Пропонується врахувати у такій редакції:</w:t>
            </w:r>
          </w:p>
          <w:p w14:paraId="3D2DA7F6" w14:textId="617A94A7" w:rsidR="00B400ED" w:rsidRDefault="00B400ED" w:rsidP="0077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36A5C10E" w14:textId="0FEC0FA1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204949" w14:textId="67A85F64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60727E" w14:textId="2C152C95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5C1DAE" w14:textId="3FEB75FA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19C286" w14:textId="42486C31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6B61A6" w14:textId="058E12F2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798849" w14:textId="6F6E1F19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AC0654" w14:textId="587BB548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E6733C" w14:textId="4FDF83BC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CDB350" w14:textId="0A64F31C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CF33FD" w14:textId="710A614D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43B27F" w14:textId="5E237EC9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C3DE42" w14:textId="77777777" w:rsidR="00EA3FE7" w:rsidRDefault="00EA3FE7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71316B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F470AF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A8EE9E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6B051D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47D983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343652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7DFB64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9AA665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961121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3D04AC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2D7545" w14:textId="77777777" w:rsidR="00B400E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98881E" w14:textId="6260B411" w:rsidR="00B400ED" w:rsidRDefault="00B400ED" w:rsidP="00B400ED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«…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</w:t>
            </w:r>
            <w:r w:rsidR="001B41E8"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  <w:t>ПС та ЛЕП</w:t>
            </w:r>
            <w:r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  <w:t xml:space="preserve"> напруг</w:t>
            </w:r>
            <w:r w:rsidR="00EA3FE7"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  <w:t>ою</w:t>
            </w:r>
            <w:r w:rsidRPr="00B30E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uk-UA"/>
              </w:rPr>
              <w:t xml:space="preserve"> вище 20 кВ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</w:p>
          <w:p w14:paraId="3FF0CF98" w14:textId="527C4B9F" w:rsidR="00B30EAB" w:rsidRDefault="00234F42" w:rsidP="00B30EA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«…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узагальнено із прив’язкою до відповідних районів для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Pr="00B30EAB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ТП(РП) та ЛЕП напруг</w:t>
            </w:r>
            <w:r w:rsidR="00B30EAB" w:rsidRPr="00B30EAB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ою</w:t>
            </w:r>
            <w:r w:rsidRPr="00B30EAB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Pr="00B30E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 кВ та нижче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прогнозний п’ятирічний період, а також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пооб’єктно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для першого року прогнозного періоду;</w:t>
            </w:r>
            <w:r w:rsidR="00B30EAB">
              <w:rPr>
                <w:rFonts w:ascii="Times New Roman" w:eastAsia="Times New Roman" w:hAnsi="Times New Roman" w:cs="Times New Roman"/>
                <w:lang w:val="uk-UA" w:eastAsia="uk-UA"/>
              </w:rPr>
              <w:t>»</w:t>
            </w:r>
          </w:p>
          <w:p w14:paraId="2BBB586E" w14:textId="23B42F03" w:rsidR="00B30EAB" w:rsidRP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B30EAB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Із відповідним внесенням вказаних абревіатур до переліку скорочень КСР</w:t>
            </w:r>
          </w:p>
          <w:p w14:paraId="1FB0B94D" w14:textId="59C16F26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CD1FD23" w14:textId="4EE91CFA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00986FF" w14:textId="688CDF38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7F5C4779" w14:textId="122EEEE3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2D8F2CBE" w14:textId="68B44A4A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792EDD8" w14:textId="0ABB6611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5247518C" w14:textId="15104A9E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2D0B5250" w14:textId="26618268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05D4A43B" w14:textId="49AD13BF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0FDB5597" w14:textId="6C6F351B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01552FF1" w14:textId="3C1CF004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3D309D86" w14:textId="0D17FB58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C121464" w14:textId="0CA52DBA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37D7F38A" w14:textId="72A6CD19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04171B5E" w14:textId="05818C31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55EBD944" w14:textId="53FAD8A6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59563511" w14:textId="5B3EA211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152E1025" w14:textId="232E0554" w:rsidR="00B30EAB" w:rsidRDefault="00B30EAB" w:rsidP="00B30EAB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378F2F99" w14:textId="0B21D062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2B44043D" w14:textId="6B635A52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5D8CE48A" w14:textId="01285994" w:rsidR="00B30EAB" w:rsidRDefault="00B30EAB" w:rsidP="00234F42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243BD0F0" w14:textId="6B0F6B3D" w:rsidR="00B30EAB" w:rsidRPr="00225ACD" w:rsidRDefault="00B30EAB" w:rsidP="00B30EA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11) дані щодо завантаження електричних мереж </w:t>
            </w:r>
            <w:r w:rsidRPr="00B30EAB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напругою </w:t>
            </w:r>
            <w:r w:rsidRPr="00B30EAB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 xml:space="preserve">вище 20 </w:t>
            </w:r>
            <w:r w:rsidRPr="00B30E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uk-UA" w:eastAsia="uk-UA"/>
              </w:rPr>
              <w:t>кВ</w:t>
            </w:r>
            <w:r w:rsidRPr="00B30E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30EAB">
              <w:rPr>
                <w:rFonts w:ascii="Times New Roman" w:eastAsia="Times New Roman" w:hAnsi="Times New Roman" w:cs="Times New Roman"/>
                <w:lang w:val="uk-UA" w:eastAsia="uk-UA"/>
              </w:rPr>
              <w:t>в характерні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періоди їх роботи для </w:t>
            </w:r>
            <w:r w:rsidRPr="00B30EAB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нормальних та ремонтних режимів для року, що передує першому року прогнозного періоду, </w:t>
            </w:r>
            <w:r w:rsidRPr="00B30EAB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та останнього року прогнозного періоду;</w:t>
            </w:r>
          </w:p>
          <w:p w14:paraId="5083D2E2" w14:textId="77777777" w:rsidR="00B30EAB" w:rsidRPr="00225ACD" w:rsidRDefault="00B30EAB" w:rsidP="00B30EAB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544A859E" w14:textId="2016FAB1" w:rsidR="00B400ED" w:rsidRPr="00225ACD" w:rsidRDefault="00B400ED" w:rsidP="00777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5ACD" w:rsidRPr="007B42B5" w14:paraId="0FD9ED11" w14:textId="77777777" w:rsidTr="005D52AA">
        <w:tc>
          <w:tcPr>
            <w:tcW w:w="5670" w:type="dxa"/>
          </w:tcPr>
          <w:p w14:paraId="08314243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AF534D7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6BAC37CE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3197A9A9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ECC3D96" w14:textId="48E5C3DC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3.3.4. До ПРСР також додаються:</w:t>
            </w:r>
          </w:p>
          <w:p w14:paraId="5C6379CF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3" w:name="n2067"/>
            <w:bookmarkEnd w:id="33"/>
            <w:r w:rsidRPr="00225ACD">
              <w:t>1) схема електричних з’єднань мереж напругою 20 кВ та вище, для року, що передує першому року планового періоду, та останнього року планового періоду;</w:t>
            </w:r>
          </w:p>
          <w:p w14:paraId="6F44DDA0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4" w:name="n3626"/>
            <w:bookmarkStart w:id="35" w:name="n2068"/>
            <w:bookmarkEnd w:id="34"/>
            <w:bookmarkEnd w:id="35"/>
            <w:r w:rsidRPr="00225ACD">
              <w:t>2) схема нормального режиму електричної мережі напругою 20 кВ та вище;</w:t>
            </w:r>
          </w:p>
          <w:p w14:paraId="3FF744C0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6" w:name="n2069"/>
            <w:bookmarkEnd w:id="36"/>
            <w:r w:rsidRPr="00225ACD">
              <w:t xml:space="preserve">3) схема заміщення для розрахунку струмів короткого замикання та величини струму короткого замикання для кожного </w:t>
            </w:r>
            <w:proofErr w:type="spellStart"/>
            <w:r w:rsidRPr="00225ACD">
              <w:t>енерговузла</w:t>
            </w:r>
            <w:proofErr w:type="spellEnd"/>
            <w:r w:rsidRPr="00225ACD">
              <w:t xml:space="preserve"> (елемента) електричних мереж;</w:t>
            </w:r>
          </w:p>
          <w:p w14:paraId="0C155CE2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7" w:name="n2070"/>
            <w:bookmarkEnd w:id="37"/>
            <w:r w:rsidRPr="00225ACD">
              <w:t>4) аналіз досліджених режимів з урахуванням існуючого та прогнозного завантаження системи розподілу;</w:t>
            </w:r>
          </w:p>
          <w:p w14:paraId="2A99097E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8" w:name="n4034"/>
            <w:bookmarkEnd w:id="38"/>
            <w:r w:rsidRPr="00225ACD">
              <w:t>5) розрахункові схеми нормальних, аварійних, ремонтно-аварійних режимів роботи електричної мережі для таких характерних режимів:</w:t>
            </w:r>
          </w:p>
          <w:p w14:paraId="4C0DF3E0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39" w:name="n4035"/>
            <w:bookmarkEnd w:id="39"/>
            <w:r w:rsidRPr="00225ACD">
              <w:lastRenderedPageBreak/>
              <w:t>максимуму навантаження під час зимового періоду;</w:t>
            </w:r>
          </w:p>
          <w:p w14:paraId="4E51AEB1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40" w:name="n4036"/>
            <w:bookmarkEnd w:id="40"/>
            <w:r w:rsidRPr="00225ACD">
              <w:t>мінімуму навантаження під час зимового періоду;</w:t>
            </w:r>
          </w:p>
          <w:p w14:paraId="2EA79FBB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41" w:name="n4037"/>
            <w:bookmarkEnd w:id="41"/>
            <w:r w:rsidRPr="00225ACD">
              <w:t>денного зниження навантаження під час зимового періоду;</w:t>
            </w:r>
          </w:p>
          <w:p w14:paraId="6FA7A432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42" w:name="n4038"/>
            <w:bookmarkEnd w:id="42"/>
            <w:r w:rsidRPr="00225ACD">
              <w:t>максимуму навантаження під час літнього періоду;</w:t>
            </w:r>
          </w:p>
          <w:p w14:paraId="0D52F526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43" w:name="n4039"/>
            <w:bookmarkEnd w:id="43"/>
            <w:r w:rsidRPr="00225ACD">
              <w:t>мінімуму навантаження під час літнього періоду;</w:t>
            </w:r>
          </w:p>
          <w:p w14:paraId="42936455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bookmarkStart w:id="44" w:name="n4040"/>
            <w:bookmarkEnd w:id="44"/>
            <w:r w:rsidRPr="00225ACD">
              <w:t>денного зниження навантаження під час літнього періоду;</w:t>
            </w:r>
          </w:p>
          <w:p w14:paraId="519C586A" w14:textId="2B7CED31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bookmarkStart w:id="45" w:name="n4041"/>
            <w:bookmarkStart w:id="46" w:name="n4279"/>
            <w:bookmarkEnd w:id="45"/>
            <w:bookmarkEnd w:id="46"/>
            <w:r w:rsidRPr="00225ACD">
              <w:t xml:space="preserve">6) карти-схеми мереж напругою 20 кВ та вище (з урахуванням мереж, що </w:t>
            </w:r>
            <w:proofErr w:type="spellStart"/>
            <w:r w:rsidRPr="00225ACD">
              <w:t>проєктуються</w:t>
            </w:r>
            <w:proofErr w:type="spellEnd"/>
            <w:r w:rsidRPr="00225ACD">
              <w:t xml:space="preserve">) у вигляді посилання на актуальний </w:t>
            </w:r>
            <w:proofErr w:type="spellStart"/>
            <w:r w:rsidRPr="00225ACD">
              <w:t>вебресурс</w:t>
            </w:r>
            <w:proofErr w:type="spellEnd"/>
            <w:r w:rsidRPr="00225ACD">
              <w:t>, на якому вони містяться (за умови авторизованого доступу).</w:t>
            </w:r>
          </w:p>
        </w:tc>
        <w:tc>
          <w:tcPr>
            <w:tcW w:w="5670" w:type="dxa"/>
          </w:tcPr>
          <w:p w14:paraId="404D2A38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618C3448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D8D6F9D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0F98938C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72A4423F" w14:textId="15FFC0EA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3.3.4. До ПРСР також додаються:</w:t>
            </w:r>
          </w:p>
          <w:p w14:paraId="228E55BD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1) схема електричних з’єднань мереж напругою 20 кВ та вище, для року, що передує першому року планового періоду, та останнього року планового періоду;</w:t>
            </w:r>
          </w:p>
          <w:p w14:paraId="497BE809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2) схема нормального режиму електричної мережі напругою 20 кВ та вище;</w:t>
            </w:r>
          </w:p>
          <w:p w14:paraId="318179D6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3) схема заміщення для розрахунку струмів короткого замикання та величини струму короткого замикання для кожного </w:t>
            </w:r>
            <w:proofErr w:type="spellStart"/>
            <w:r w:rsidRPr="00225ACD">
              <w:t>енерговузла</w:t>
            </w:r>
            <w:proofErr w:type="spellEnd"/>
            <w:r w:rsidRPr="00225ACD">
              <w:t xml:space="preserve"> (елемента) електричних мереж;</w:t>
            </w:r>
          </w:p>
          <w:p w14:paraId="4F2BD50B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4) аналіз досліджених режимів з урахуванням існуючого та прогнозного завантаження системи розподілу;</w:t>
            </w:r>
          </w:p>
          <w:p w14:paraId="5F98D9B7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5) розрахункові схеми нормальних, аварійних, ремонтно-аварійних режимів роботи електричної мережі для таких характерних режимів:</w:t>
            </w:r>
          </w:p>
          <w:p w14:paraId="05E52FB4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lastRenderedPageBreak/>
              <w:t>максимуму навантаження під час зимового періоду;</w:t>
            </w:r>
          </w:p>
          <w:p w14:paraId="4463C749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мінімуму навантаження під час зимового періоду;</w:t>
            </w:r>
          </w:p>
          <w:p w14:paraId="42E10C84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денного зниження навантаження під час зимового періоду;</w:t>
            </w:r>
          </w:p>
          <w:p w14:paraId="4EAA0B5B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максимуму навантаження під час літнього періоду;</w:t>
            </w:r>
          </w:p>
          <w:p w14:paraId="6C826F02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мінімуму навантаження під час літнього періоду;</w:t>
            </w:r>
          </w:p>
          <w:p w14:paraId="62E98E78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денного зниження навантаження під час літнього періоду;</w:t>
            </w:r>
          </w:p>
          <w:p w14:paraId="350B7D6B" w14:textId="77777777" w:rsidR="00021233" w:rsidRPr="00557C78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6) карти-схеми мереж напругою 20 кВ та вище (з урахуванням мереж, що </w:t>
            </w:r>
            <w:proofErr w:type="spellStart"/>
            <w:r w:rsidRPr="00225ACD">
              <w:t>проєктуються</w:t>
            </w:r>
            <w:proofErr w:type="spellEnd"/>
            <w:r w:rsidRPr="00225ACD">
              <w:t xml:space="preserve">) у вигляді посилання на актуальний </w:t>
            </w:r>
            <w:proofErr w:type="spellStart"/>
            <w:r w:rsidRPr="00225ACD">
              <w:t>вебресурс</w:t>
            </w:r>
            <w:proofErr w:type="spellEnd"/>
            <w:r w:rsidRPr="00225ACD">
              <w:t xml:space="preserve">, на якому вони </w:t>
            </w:r>
            <w:r w:rsidRPr="00557C78">
              <w:t>містяться (за умови авторизованого доступу)</w:t>
            </w:r>
            <w:r w:rsidRPr="00557C78">
              <w:rPr>
                <w:b/>
                <w:strike/>
              </w:rPr>
              <w:t>.</w:t>
            </w:r>
            <w:r w:rsidRPr="00557C78">
              <w:rPr>
                <w:b/>
              </w:rPr>
              <w:t>;</w:t>
            </w:r>
          </w:p>
          <w:p w14:paraId="75F8CD5F" w14:textId="14D733F6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557C78">
              <w:rPr>
                <w:b/>
              </w:rPr>
              <w:t>7) Перелік та технічні дані основного обладнання трансформаторних підстанцій 20 кВ та вище.</w:t>
            </w:r>
          </w:p>
        </w:tc>
        <w:tc>
          <w:tcPr>
            <w:tcW w:w="5670" w:type="dxa"/>
          </w:tcPr>
          <w:p w14:paraId="187150C1" w14:textId="08608383" w:rsidR="00021233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lang w:eastAsia="ru-RU"/>
              </w:rPr>
            </w:pPr>
            <w:r w:rsidRPr="00225ACD">
              <w:rPr>
                <w:b/>
                <w:bCs/>
                <w:lang w:eastAsia="ru-RU"/>
              </w:rPr>
              <w:lastRenderedPageBreak/>
              <w:t>АТ «ДТЕК ДНІПРОВСЬКІ ЕЛЕКТРОМЕРЕЖІ»</w:t>
            </w:r>
          </w:p>
          <w:p w14:paraId="547F931F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79A1EFF5" w14:textId="77777777" w:rsidR="00225ACD" w:rsidRP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0548CBCD" w14:textId="5E8E697A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3.3.4. До ПРСР також додаються:</w:t>
            </w:r>
          </w:p>
          <w:p w14:paraId="54BF3117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1) схема електричних з’єднань мереж напругою </w:t>
            </w:r>
            <w:r w:rsidRPr="00225ACD">
              <w:rPr>
                <w:b/>
                <w:bCs/>
                <w:highlight w:val="yellow"/>
                <w:u w:val="single"/>
              </w:rPr>
              <w:t>35 кВ</w:t>
            </w:r>
            <w:r w:rsidRPr="00225ACD">
              <w:t xml:space="preserve"> та вище, для року, що передує першому року планового періоду, та останнього року планового періоду;</w:t>
            </w:r>
          </w:p>
          <w:p w14:paraId="45CB3358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2) схема нормального режиму електричної мережі напругою </w:t>
            </w:r>
            <w:r w:rsidRPr="00225ACD">
              <w:rPr>
                <w:b/>
                <w:bCs/>
                <w:highlight w:val="yellow"/>
                <w:u w:val="single"/>
              </w:rPr>
              <w:t>35 кВ</w:t>
            </w:r>
            <w:r w:rsidRPr="00225ACD">
              <w:t xml:space="preserve"> та вище;</w:t>
            </w:r>
          </w:p>
          <w:p w14:paraId="1F7D97B4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3) схема заміщення для розрахунку струмів короткого замикання та величини струму короткого замикання для кожного </w:t>
            </w:r>
            <w:proofErr w:type="spellStart"/>
            <w:r w:rsidRPr="00225ACD">
              <w:t>енерговузла</w:t>
            </w:r>
            <w:proofErr w:type="spellEnd"/>
            <w:r w:rsidRPr="00225ACD">
              <w:t xml:space="preserve"> (елемента) електричних мереж;</w:t>
            </w:r>
          </w:p>
          <w:p w14:paraId="30319AF9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4) аналіз досліджених режимів з урахуванням існуючого та прогнозного завантаження системи розподілу;</w:t>
            </w:r>
          </w:p>
          <w:p w14:paraId="7A132057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5) розрахункові схеми нормальних, аварійних, ремонтно-аварійних режимів роботи електричної мережі для таких характерних режимів:</w:t>
            </w:r>
          </w:p>
          <w:p w14:paraId="4ACC9A4C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lastRenderedPageBreak/>
              <w:t>максимуму навантаження під час зимового періоду;</w:t>
            </w:r>
          </w:p>
          <w:p w14:paraId="264836A5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мінімуму навантаження під час зимового періоду;</w:t>
            </w:r>
          </w:p>
          <w:p w14:paraId="3B651409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денного зниження навантаження під час зимового періоду;</w:t>
            </w:r>
          </w:p>
          <w:p w14:paraId="2FBE6AAC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максимуму навантаження під час літнього періоду;</w:t>
            </w:r>
          </w:p>
          <w:p w14:paraId="370F1450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мінімуму навантаження під час літнього періоду;</w:t>
            </w:r>
          </w:p>
          <w:p w14:paraId="588B1402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>денного зниження навантаження під час літнього періоду;</w:t>
            </w:r>
          </w:p>
          <w:p w14:paraId="6A8B6D7C" w14:textId="77777777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6) карти-схеми мереж напругою </w:t>
            </w:r>
            <w:r w:rsidRPr="00225ACD">
              <w:rPr>
                <w:b/>
                <w:bCs/>
                <w:highlight w:val="yellow"/>
                <w:u w:val="single"/>
              </w:rPr>
              <w:t>35 кВ</w:t>
            </w:r>
            <w:r w:rsidRPr="00225ACD">
              <w:t xml:space="preserve"> та вище (з урахуванням мереж, що </w:t>
            </w:r>
            <w:proofErr w:type="spellStart"/>
            <w:r w:rsidRPr="00225ACD">
              <w:t>проєктуються</w:t>
            </w:r>
            <w:proofErr w:type="spellEnd"/>
            <w:r w:rsidRPr="00225ACD">
              <w:t xml:space="preserve">) у вигляді посилання на актуальний </w:t>
            </w:r>
            <w:proofErr w:type="spellStart"/>
            <w:r w:rsidRPr="00225ACD">
              <w:t>вебресурс</w:t>
            </w:r>
            <w:proofErr w:type="spellEnd"/>
            <w:r w:rsidRPr="00225ACD">
              <w:t>, на якому вони містяться (за умови авторизованого доступу)</w:t>
            </w:r>
            <w:r w:rsidRPr="00225ACD">
              <w:rPr>
                <w:b/>
                <w:strike/>
              </w:rPr>
              <w:t>.</w:t>
            </w:r>
            <w:r w:rsidRPr="00225ACD">
              <w:rPr>
                <w:b/>
              </w:rPr>
              <w:t>;</w:t>
            </w:r>
          </w:p>
          <w:p w14:paraId="5961BA37" w14:textId="77777777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225ACD">
              <w:rPr>
                <w:rFonts w:ascii="Times New Roman" w:hAnsi="Times New Roman" w:cs="Times New Roman"/>
                <w:b/>
                <w:lang w:val="uk-UA"/>
              </w:rPr>
              <w:t xml:space="preserve">7) Перелік та технічні дані основного обладнання трансформаторних підстанцій </w:t>
            </w:r>
            <w:r w:rsidRPr="00225A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lang w:val="uk-UA"/>
              </w:rPr>
              <w:t>35 кВ</w:t>
            </w:r>
            <w:r w:rsidRPr="00225AC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25ACD">
              <w:rPr>
                <w:rFonts w:ascii="Times New Roman" w:hAnsi="Times New Roman" w:cs="Times New Roman"/>
                <w:b/>
                <w:lang w:val="uk-UA"/>
              </w:rPr>
              <w:t>та вище.</w:t>
            </w:r>
          </w:p>
          <w:p w14:paraId="2E32A49E" w14:textId="77777777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EE39C31" w14:textId="77777777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Обгрунтування</w:t>
            </w:r>
            <w:proofErr w:type="spellEnd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пропозиції:</w:t>
            </w:r>
          </w:p>
          <w:p w14:paraId="7CEC0D5E" w14:textId="77777777" w:rsidR="00021233" w:rsidRPr="00225ACD" w:rsidRDefault="00021233" w:rsidP="00021233">
            <w:pPr>
              <w:shd w:val="clear" w:color="auto" w:fill="FFFFFF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Пропонуємо визначити рівень напруги для більш детальної деталізації на рівні 35кВ</w:t>
            </w:r>
          </w:p>
          <w:p w14:paraId="06C9BBE0" w14:textId="77777777" w:rsidR="00021233" w:rsidRPr="00225ACD" w:rsidRDefault="00021233" w:rsidP="0002123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 xml:space="preserve">Електричні мережі 20 кВ відносяться до розподільчих електричних мереж, що формуються по принципу побудови 6-10 кВ і або забезпечують живленням кінцевих споживачів або знаходяться в «передостанній» ланці живлення кінцевих споживачів. </w:t>
            </w:r>
          </w:p>
          <w:p w14:paraId="04392312" w14:textId="77777777" w:rsidR="00021233" w:rsidRPr="00225ACD" w:rsidRDefault="00021233" w:rsidP="0002123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lastRenderedPageBreak/>
              <w:t xml:space="preserve">Трансформаторні підстанції 20/0,4 кВ не будуються в вигляді високовольтних підстанцій 35 кВ та вище, це ТП. </w:t>
            </w:r>
          </w:p>
          <w:p w14:paraId="1F0320D7" w14:textId="77777777" w:rsidR="00021233" w:rsidRPr="00225ACD" w:rsidRDefault="00021233" w:rsidP="0002123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Схема мережі 20 кВ це схема районних мереж і вона не поєднується з схемами нормального режиму основної мережі 35 кВ та вище.</w:t>
            </w:r>
          </w:p>
          <w:p w14:paraId="64EBA0CF" w14:textId="560F8D87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Пропонується синхронізувати положення відповідно до СОБУ та Норм.</w:t>
            </w:r>
          </w:p>
        </w:tc>
        <w:tc>
          <w:tcPr>
            <w:tcW w:w="2835" w:type="dxa"/>
          </w:tcPr>
          <w:p w14:paraId="3D67DB39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64E82B53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6F96B806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27BD26E8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3BD37BEE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0F673FEF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  <w:p w14:paraId="226D6D23" w14:textId="77777777" w:rsidR="00021233" w:rsidRDefault="00B30EAB" w:rsidP="0002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B050"/>
                <w:lang w:val="uk-UA" w:eastAsia="uk-UA"/>
              </w:rPr>
            </w:pPr>
            <w:r w:rsidRPr="00B30EAB">
              <w:rPr>
                <w:rFonts w:ascii="Times New Roman" w:eastAsia="Times New Roman" w:hAnsi="Times New Roman" w:cs="Times New Roman"/>
                <w:b/>
                <w:color w:val="00B050"/>
                <w:lang w:val="uk-UA" w:eastAsia="uk-UA"/>
              </w:rPr>
              <w:t>Пропонується врахувати в такій редакції</w:t>
            </w:r>
          </w:p>
          <w:p w14:paraId="70B93380" w14:textId="1CA263A1" w:rsidR="00557C78" w:rsidRPr="00225ACD" w:rsidRDefault="00557C78" w:rsidP="00557C7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>
              <w:t>«</w:t>
            </w:r>
            <w:r w:rsidRPr="00225ACD">
              <w:t xml:space="preserve">1) схема електричних з’єднань мереж напругою </w:t>
            </w:r>
            <w:r w:rsidRPr="00557C78">
              <w:rPr>
                <w:b/>
                <w:highlight w:val="yellow"/>
              </w:rPr>
              <w:t>вище 20</w:t>
            </w:r>
            <w:r w:rsidRPr="00557C78">
              <w:rPr>
                <w:b/>
                <w:bCs/>
                <w:highlight w:val="yellow"/>
                <w:u w:val="single"/>
              </w:rPr>
              <w:t xml:space="preserve"> </w:t>
            </w:r>
            <w:r w:rsidRPr="00557C78">
              <w:rPr>
                <w:b/>
                <w:bCs/>
                <w:highlight w:val="yellow"/>
              </w:rPr>
              <w:t>кВ</w:t>
            </w:r>
            <w:r w:rsidRPr="00225ACD">
              <w:t>, для року, що передує першому року планового періоду, та останнього року планового періоду;</w:t>
            </w:r>
          </w:p>
          <w:p w14:paraId="0BF9B58E" w14:textId="608F9993" w:rsidR="00557C78" w:rsidRPr="00225ACD" w:rsidRDefault="00557C78" w:rsidP="00557C7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225ACD">
              <w:t xml:space="preserve">2) схема нормального режиму електричної мережі напругою </w:t>
            </w:r>
            <w:r w:rsidRPr="00557C78">
              <w:rPr>
                <w:b/>
                <w:highlight w:val="yellow"/>
              </w:rPr>
              <w:t>вище</w:t>
            </w:r>
            <w:r>
              <w:t xml:space="preserve"> </w:t>
            </w:r>
            <w:r w:rsidRPr="00557C78">
              <w:rPr>
                <w:b/>
                <w:bCs/>
                <w:highlight w:val="yellow"/>
              </w:rPr>
              <w:t>20</w:t>
            </w:r>
            <w:r w:rsidRPr="00225ACD">
              <w:rPr>
                <w:b/>
                <w:bCs/>
                <w:highlight w:val="yellow"/>
                <w:u w:val="single"/>
              </w:rPr>
              <w:t xml:space="preserve"> </w:t>
            </w:r>
            <w:r w:rsidRPr="00557C78">
              <w:rPr>
                <w:b/>
                <w:bCs/>
                <w:highlight w:val="yellow"/>
              </w:rPr>
              <w:t>кВ</w:t>
            </w:r>
            <w:r w:rsidRPr="00225ACD">
              <w:t>;</w:t>
            </w:r>
            <w:r>
              <w:t>»</w:t>
            </w:r>
          </w:p>
          <w:p w14:paraId="3F9DC053" w14:textId="664B4594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31567F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AF113E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CAC4A6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883574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4F124E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438642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759BE4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28D4DB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5F79F1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4B277C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834B10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7E4765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8C5AD8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384D55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9B1301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E6ACEC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1AE962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C7C6B1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1C6121" w14:textId="77777777" w:rsidR="00557C78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9B934C" w14:textId="5A3055CC" w:rsidR="00557C78" w:rsidRPr="00557C78" w:rsidRDefault="00557C78" w:rsidP="006C39C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r w:rsidRPr="00225ACD">
              <w:t xml:space="preserve">6) карти-схеми мереж напругою </w:t>
            </w:r>
            <w:r w:rsidR="006C39C2" w:rsidRPr="006C39C2">
              <w:rPr>
                <w:b/>
                <w:highlight w:val="yellow"/>
              </w:rPr>
              <w:t xml:space="preserve">вище </w:t>
            </w:r>
            <w:r w:rsidR="006C39C2" w:rsidRPr="006C39C2">
              <w:rPr>
                <w:b/>
                <w:bCs/>
                <w:highlight w:val="yellow"/>
              </w:rPr>
              <w:t>20</w:t>
            </w:r>
            <w:r w:rsidRPr="006C39C2">
              <w:rPr>
                <w:b/>
                <w:bCs/>
                <w:highlight w:val="yellow"/>
              </w:rPr>
              <w:t xml:space="preserve"> кВ</w:t>
            </w:r>
            <w:r w:rsidRPr="00225ACD">
              <w:t xml:space="preserve"> (з урахуванням мереж, що </w:t>
            </w:r>
            <w:proofErr w:type="spellStart"/>
            <w:r w:rsidRPr="00225ACD">
              <w:t>проєктуються</w:t>
            </w:r>
            <w:proofErr w:type="spellEnd"/>
            <w:r w:rsidRPr="00225ACD">
              <w:t xml:space="preserve">) у вигляді посилання на актуальний </w:t>
            </w:r>
            <w:proofErr w:type="spellStart"/>
            <w:r w:rsidRPr="00225ACD">
              <w:t>вебресурс</w:t>
            </w:r>
            <w:proofErr w:type="spellEnd"/>
            <w:r w:rsidRPr="00225ACD">
              <w:t xml:space="preserve">, на якому вони містяться (за умови авторизованого </w:t>
            </w:r>
            <w:r w:rsidRPr="00557C78">
              <w:t>доступу)</w:t>
            </w:r>
            <w:r w:rsidRPr="00557C78">
              <w:rPr>
                <w:strike/>
              </w:rPr>
              <w:t>.</w:t>
            </w:r>
            <w:r w:rsidRPr="00557C78">
              <w:t>;</w:t>
            </w:r>
          </w:p>
          <w:p w14:paraId="526E7744" w14:textId="2448595A" w:rsidR="00557C78" w:rsidRPr="006C39C2" w:rsidRDefault="00557C78" w:rsidP="006C3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3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7) Перелік та технічні дані основного обладнання трансформаторних підстанцій</w:t>
            </w:r>
            <w:r w:rsidR="006C39C2" w:rsidRPr="006C3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напругою вище</w:t>
            </w:r>
            <w:r w:rsidRPr="006C3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C39C2" w:rsidRPr="006C39C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>20</w:t>
            </w:r>
            <w:r w:rsidRPr="006C39C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  <w:t xml:space="preserve"> кВ</w:t>
            </w:r>
            <w:r w:rsidRPr="006C3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E85033C" w14:textId="76941932" w:rsidR="00557C78" w:rsidRPr="00225ACD" w:rsidRDefault="00557C78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5ACD" w:rsidRPr="00225ACD" w14:paraId="73B38B04" w14:textId="77777777" w:rsidTr="005D52AA">
        <w:tc>
          <w:tcPr>
            <w:tcW w:w="5670" w:type="dxa"/>
          </w:tcPr>
          <w:p w14:paraId="43078869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9B14D7A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D4E1998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55596758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3AC41906" w14:textId="1838C7E5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t xml:space="preserve">3.4.4. ОСР повинен не пізніше ніж за 2 місяці до подачі на схвалення Регулятору направити </w:t>
            </w:r>
            <w:proofErr w:type="spellStart"/>
            <w:r w:rsidRPr="00225ACD">
              <w:t>проєкт</w:t>
            </w:r>
            <w:proofErr w:type="spellEnd"/>
            <w:r w:rsidRPr="00225ACD">
      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та іншим заінтересованим сторонам для отримання їх коментарів та пропозицій/зауважень і подати його разом з висновком ОСП на схвалення Регулятору не пізніше 01 червня року, що передує прогнозному п’ятирічному періоду, в електронній формі (у форматі </w:t>
            </w:r>
            <w:proofErr w:type="spellStart"/>
            <w:r w:rsidRPr="00225ACD">
              <w:t>pdf</w:t>
            </w:r>
            <w:proofErr w:type="spellEnd"/>
            <w:r w:rsidRPr="00225ACD">
              <w:t>).</w:t>
            </w:r>
          </w:p>
        </w:tc>
        <w:tc>
          <w:tcPr>
            <w:tcW w:w="5670" w:type="dxa"/>
          </w:tcPr>
          <w:p w14:paraId="2F450E96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3EB5FEE8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27BAF0C1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708CCF14" w14:textId="77777777" w:rsid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1000C2AA" w14:textId="49B2EF22" w:rsidR="00021233" w:rsidRPr="00225ACD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t xml:space="preserve">3.4.4. ОСР повинен не пізніше ніж за 2 місяці до подачі </w:t>
            </w:r>
            <w:proofErr w:type="spellStart"/>
            <w:r w:rsidRPr="00225ACD">
              <w:rPr>
                <w:b/>
                <w:highlight w:val="yellow"/>
              </w:rPr>
              <w:t>проєкту</w:t>
            </w:r>
            <w:proofErr w:type="spellEnd"/>
            <w:r w:rsidRPr="00225ACD">
              <w:rPr>
                <w:b/>
                <w:highlight w:val="yellow"/>
              </w:rPr>
              <w:t xml:space="preserve"> ПРСР</w:t>
            </w:r>
            <w:r w:rsidRPr="00225ACD">
              <w:t xml:space="preserve"> на схвалення Регулятору направити </w:t>
            </w:r>
            <w:proofErr w:type="spellStart"/>
            <w:r w:rsidRPr="00225ACD">
              <w:t>проєкт</w:t>
            </w:r>
            <w:proofErr w:type="spellEnd"/>
            <w:r w:rsidRPr="00225ACD">
      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</w:t>
            </w:r>
            <w:r w:rsidRPr="00225ACD">
              <w:rPr>
                <w:b/>
                <w:highlight w:val="yellow"/>
              </w:rPr>
              <w:t>центральному органу виконавчої влади, що реалізує державну політику у сфері нагляду (контролю) в галузі електроенергетики</w:t>
            </w:r>
            <w:r w:rsidRPr="00225ACD">
              <w:rPr>
                <w:b/>
              </w:rPr>
              <w:t>,</w:t>
            </w:r>
            <w:r w:rsidRPr="00225ACD">
              <w:t xml:space="preserve"> та іншим заінтересованим сторонам для отримання їх коментарів та пропозицій/зауважень і подати його разом з висновком ОСП на схвалення Регулятору не пізніше 01 червня року, що передує прогнозному п’ятирічному періоду, в електронній формі (у форматі </w:t>
            </w:r>
            <w:proofErr w:type="spellStart"/>
            <w:r w:rsidRPr="00225ACD">
              <w:rPr>
                <w:strike/>
                <w:highlight w:val="yellow"/>
              </w:rPr>
              <w:t>pdf</w:t>
            </w:r>
            <w:proofErr w:type="spellEnd"/>
            <w:r w:rsidRPr="00225ACD">
              <w:t xml:space="preserve"> </w:t>
            </w:r>
            <w:r w:rsidRPr="00225ACD">
              <w:rPr>
                <w:b/>
                <w:highlight w:val="yellow"/>
              </w:rPr>
              <w:t>Word, Excel</w:t>
            </w:r>
            <w:r w:rsidRPr="00225ACD">
              <w:t>).</w:t>
            </w:r>
          </w:p>
        </w:tc>
        <w:tc>
          <w:tcPr>
            <w:tcW w:w="5670" w:type="dxa"/>
          </w:tcPr>
          <w:p w14:paraId="005C9197" w14:textId="225490F6" w:rsidR="00021233" w:rsidRDefault="00021233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lang w:eastAsia="ru-RU"/>
              </w:rPr>
            </w:pPr>
            <w:r w:rsidRPr="00225ACD">
              <w:rPr>
                <w:b/>
                <w:bCs/>
                <w:lang w:eastAsia="ru-RU"/>
              </w:rPr>
              <w:t>АТ «ДТЕК ДНІПРОВСЬКІ ЕЛЕКТРОМЕРЕЖІ»</w:t>
            </w:r>
          </w:p>
          <w:p w14:paraId="2E48A1D8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2149FBAB" w14:textId="77777777" w:rsidR="00225ACD" w:rsidRPr="00225ACD" w:rsidRDefault="00225ACD" w:rsidP="000212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0E948503" w14:textId="0596AC4C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225ACD">
              <w:rPr>
                <w:rFonts w:ascii="Times New Roman" w:hAnsi="Times New Roman" w:cs="Times New Roman"/>
                <w:lang w:val="uk-UA"/>
              </w:rPr>
              <w:t xml:space="preserve">3.4.4. ОСР повинен не пізніше ніж за 2 місяці до подачі </w:t>
            </w:r>
            <w:proofErr w:type="spellStart"/>
            <w:r w:rsidRPr="00225ACD">
              <w:rPr>
                <w:rFonts w:ascii="Times New Roman" w:hAnsi="Times New Roman" w:cs="Times New Roman"/>
                <w:b/>
                <w:lang w:val="uk-UA"/>
              </w:rPr>
              <w:t>проєкту</w:t>
            </w:r>
            <w:proofErr w:type="spellEnd"/>
            <w:r w:rsidRPr="00225ACD">
              <w:rPr>
                <w:rFonts w:ascii="Times New Roman" w:hAnsi="Times New Roman" w:cs="Times New Roman"/>
                <w:b/>
                <w:lang w:val="uk-UA"/>
              </w:rPr>
              <w:t xml:space="preserve"> ПРСР</w:t>
            </w:r>
            <w:r w:rsidRPr="00225ACD">
              <w:rPr>
                <w:rFonts w:ascii="Times New Roman" w:hAnsi="Times New Roman" w:cs="Times New Roman"/>
                <w:lang w:val="uk-UA"/>
              </w:rPr>
              <w:t xml:space="preserve"> на схвалення Регулятору направити </w:t>
            </w:r>
            <w:proofErr w:type="spellStart"/>
            <w:r w:rsidRPr="00225ACD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  <w:r w:rsidRPr="00225ACD">
              <w:rPr>
                <w:rFonts w:ascii="Times New Roman" w:hAnsi="Times New Roman" w:cs="Times New Roman"/>
                <w:lang w:val="uk-UA"/>
              </w:rPr>
              <w:t xml:space="preserve"> ПРСР на розгляд центральному органу виконавчої влади, що забезпечує формування та реалізацію державної політики в електроенергетичному комплексі, </w:t>
            </w:r>
            <w:r w:rsidRPr="00225ACD">
              <w:rPr>
                <w:rFonts w:ascii="Times New Roman" w:hAnsi="Times New Roman" w:cs="Times New Roman"/>
                <w:b/>
                <w:lang w:val="uk-UA"/>
              </w:rPr>
              <w:t>центральному органу виконавчої влади, що реалізує державну політику у сфері нагляду (контролю) в галузі електроенергетики,</w:t>
            </w:r>
            <w:r w:rsidRPr="00225ACD">
              <w:rPr>
                <w:rFonts w:ascii="Times New Roman" w:hAnsi="Times New Roman" w:cs="Times New Roman"/>
                <w:lang w:val="uk-UA"/>
              </w:rPr>
              <w:t xml:space="preserve"> та іншим заінтересованим сторонам для отримання їх коментарів та пропозицій/зауважень і подати його разом з висновком ОСП на схвалення Регулятору не пізніше 01 червня року, що передує прогнозному п’ятирічному періоду, в електронній формі (у форматі </w:t>
            </w:r>
            <w:proofErr w:type="spellStart"/>
            <w:r w:rsidRPr="00225ACD">
              <w:rPr>
                <w:rFonts w:ascii="Times New Roman" w:hAnsi="Times New Roman" w:cs="Times New Roman"/>
                <w:strike/>
                <w:highlight w:val="yellow"/>
                <w:lang w:val="uk-UA"/>
              </w:rPr>
              <w:t>pdf</w:t>
            </w:r>
            <w:proofErr w:type="spellEnd"/>
            <w:r w:rsidRPr="00225AC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25ACD">
              <w:rPr>
                <w:rFonts w:ascii="Times New Roman" w:hAnsi="Times New Roman" w:cs="Times New Roman"/>
                <w:b/>
                <w:lang w:val="uk-UA"/>
              </w:rPr>
              <w:t xml:space="preserve">Word, Excel, </w:t>
            </w:r>
            <w:r w:rsidRPr="00225A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lang w:val="uk-UA"/>
              </w:rPr>
              <w:t>графічні матеріали</w:t>
            </w:r>
            <w:r w:rsidRPr="00225AC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lang w:val="uk-UA"/>
              </w:rPr>
              <w:t xml:space="preserve"> у форматі </w:t>
            </w:r>
            <w:proofErr w:type="spellStart"/>
            <w:r w:rsidRPr="00225AC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  <w:lang w:val="uk-UA"/>
              </w:rPr>
              <w:t>pdf</w:t>
            </w:r>
            <w:proofErr w:type="spellEnd"/>
            <w:r w:rsidRPr="00225ACD">
              <w:rPr>
                <w:rFonts w:ascii="Times New Roman" w:hAnsi="Times New Roman" w:cs="Times New Roman"/>
                <w:lang w:val="uk-UA"/>
              </w:rPr>
              <w:t>).</w:t>
            </w:r>
          </w:p>
          <w:p w14:paraId="37E1B5C3" w14:textId="77777777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2C46A48" w14:textId="26703152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Обґрунтування пропозиції</w:t>
            </w:r>
          </w:p>
          <w:p w14:paraId="542E39C7" w14:textId="77777777" w:rsidR="00021233" w:rsidRPr="00225ACD" w:rsidRDefault="00021233" w:rsidP="00021233">
            <w:pPr>
              <w:shd w:val="clear" w:color="auto" w:fill="FFFFFF"/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Просимо переглянути пункт.</w:t>
            </w:r>
          </w:p>
          <w:p w14:paraId="0838B22D" w14:textId="0C6B572C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lastRenderedPageBreak/>
              <w:t>Графічні матеріали, описані в п. 3.3.4 неможливо надати в форматі Word, Excel.</w:t>
            </w:r>
          </w:p>
        </w:tc>
        <w:tc>
          <w:tcPr>
            <w:tcW w:w="2835" w:type="dxa"/>
          </w:tcPr>
          <w:p w14:paraId="0FF68229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436C8275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018B3144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60AD43A4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5846CD4E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219D0DAC" w14:textId="77777777" w:rsidR="00225ACD" w:rsidRDefault="00225ACD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lang w:val="uk-UA"/>
              </w:rPr>
            </w:pPr>
          </w:p>
          <w:p w14:paraId="02182797" w14:textId="2F3F11DD" w:rsidR="00021233" w:rsidRPr="00225ACD" w:rsidRDefault="00021233" w:rsidP="000212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C39C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Пропонується врахувати</w:t>
            </w:r>
          </w:p>
        </w:tc>
      </w:tr>
      <w:tr w:rsidR="00225ACD" w:rsidRPr="007B42B5" w14:paraId="520417F5" w14:textId="77777777" w:rsidTr="005D52AA">
        <w:tc>
          <w:tcPr>
            <w:tcW w:w="5670" w:type="dxa"/>
          </w:tcPr>
          <w:p w14:paraId="57CCBF25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6F65367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8DE2EC2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289DFEE" w14:textId="72EA7D84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3.4.12. ОСР має забезпечити вільний доступ до інформації щодо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обладнання, матеріалів, робіт та послуг з будівництва, реконструкції та/або технічного переоснащення об'єктів операторів систем розподілу (далі - закупівля). Закупівля має бути здійснена з дотриманням принципів, передбачених </w:t>
            </w:r>
            <w:hyperlink r:id="rId9" w:tgtFrame="_blank" w:history="1">
              <w:r w:rsidRPr="00225A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Законом України</w:t>
              </w:r>
            </w:hyperlink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«Про публічні закупівлі».</w:t>
            </w:r>
          </w:p>
          <w:p w14:paraId="7E605744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47" w:name="n4291"/>
            <w:bookmarkEnd w:id="47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інформації про закупівлю, здійснену в рамках відповідної виробничої програми (інвестиційної програми, ремонтної програми, заходів з приєднання), повинен розмістити на своєму офіційному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інформацію про закупівлю), яка відповідно до етапу закупівлі повинна містити наступну інформацію:</w:t>
            </w:r>
          </w:p>
          <w:p w14:paraId="5100D98B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48" w:name="n4292"/>
            <w:bookmarkEnd w:id="48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 заходу відповідної виробничої програми;</w:t>
            </w:r>
          </w:p>
          <w:p w14:paraId="28A6946C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49" w:name="n4293"/>
            <w:bookmarkEnd w:id="49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найменування предмета закупівлі згідно із відповідною виробничою програмою;</w:t>
            </w:r>
          </w:p>
          <w:p w14:paraId="1998AE6E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0" w:name="n4294"/>
            <w:bookmarkEnd w:id="50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очікувана вартість предмета закупівлі;</w:t>
            </w:r>
          </w:p>
          <w:p w14:paraId="11687879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1" w:name="n4295"/>
            <w:bookmarkEnd w:id="51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вимоги до предмета закупівлі та умов, передбачених тендерною документацією закупівлі;</w:t>
            </w:r>
          </w:p>
          <w:p w14:paraId="6FE26A82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2" w:name="n4296"/>
            <w:bookmarkEnd w:id="52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умови оплати;</w:t>
            </w:r>
          </w:p>
          <w:p w14:paraId="5C1CF20A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3" w:name="n4297"/>
            <w:bookmarkEnd w:id="53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5D7E4A5D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4" w:name="n4298"/>
            <w:bookmarkEnd w:id="54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оприлюднений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договору про закупівлю із обов'язковим визначенням усіх його умов;</w:t>
            </w:r>
          </w:p>
          <w:p w14:paraId="50F7BEBB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5" w:name="n4299"/>
            <w:bookmarkEnd w:id="55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пропозиції учасників закупівлі;</w:t>
            </w:r>
          </w:p>
          <w:p w14:paraId="4B5CE9D2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6" w:name="n4300"/>
            <w:bookmarkEnd w:id="56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закупівлі;</w:t>
            </w:r>
          </w:p>
          <w:p w14:paraId="4682E79E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7" w:name="n4301"/>
            <w:bookmarkEnd w:id="57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26FC796F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8" w:name="n4302"/>
            <w:bookmarkEnd w:id="58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укладення договору про закупівлю з переможцем;</w:t>
            </w:r>
          </w:p>
          <w:p w14:paraId="3ECB536B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59" w:name="n4303"/>
            <w:bookmarkEnd w:id="59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02F2868F" w14:textId="194BFD46" w:rsidR="00A42904" w:rsidRPr="00225ACD" w:rsidRDefault="00A42904" w:rsidP="00A42904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bookmarkStart w:id="60" w:name="n4304"/>
            <w:bookmarkEnd w:id="60"/>
            <w:r w:rsidRPr="00225ACD"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225ACD">
              <w:t>закупівель</w:t>
            </w:r>
            <w:proofErr w:type="spellEnd"/>
            <w:r w:rsidRPr="00225ACD">
              <w:t xml:space="preserve"> оприлюднюється на офіційних </w:t>
            </w:r>
            <w:proofErr w:type="spellStart"/>
            <w:r w:rsidRPr="00225ACD">
              <w:t>вебсайтах</w:t>
            </w:r>
            <w:proofErr w:type="spellEnd"/>
            <w:r w:rsidRPr="00225ACD">
              <w:t xml:space="preserve"> ОСР у розділі «Закупівлі» згідно з формою, наведеною в </w:t>
            </w:r>
            <w:hyperlink r:id="rId10" w:anchor="n4782" w:history="1">
              <w:r w:rsidRPr="00225ACD">
                <w:rPr>
                  <w:u w:val="single"/>
                </w:rPr>
                <w:t>додатку 13</w:t>
              </w:r>
            </w:hyperlink>
            <w:r w:rsidRPr="00225ACD">
              <w:t xml:space="preserve"> до цього Кодексу, та повинна </w:t>
            </w:r>
            <w:r w:rsidRPr="00225ACD">
              <w:lastRenderedPageBreak/>
              <w:t>актуалізуватися щомісячно до 25 числа місяця, наступного за звітним.</w:t>
            </w:r>
          </w:p>
        </w:tc>
        <w:tc>
          <w:tcPr>
            <w:tcW w:w="5670" w:type="dxa"/>
          </w:tcPr>
          <w:p w14:paraId="22A150A7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BB8AC7E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7A53386" w14:textId="77777777" w:rsidR="00225ACD" w:rsidRDefault="00225ACD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3403243" w14:textId="46BE252E" w:rsidR="00A42904" w:rsidRPr="00EC4945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3.4.12. ОСР має забезпечити вільний доступ до інформації щодо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обладнання, матеріалів, робіт та послуг з будівництва, </w:t>
            </w: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реконструкції </w:t>
            </w:r>
            <w:r w:rsidRPr="00EC4945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val="uk-UA" w:eastAsia="uk-UA"/>
              </w:rPr>
              <w:t>та/або</w:t>
            </w:r>
            <w:r w:rsidRPr="00EC4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технічного переоснащення</w:t>
            </w:r>
            <w:r w:rsidRPr="00EC4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/обслуговування</w:t>
            </w: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C4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та/або</w:t>
            </w: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експлуатації/ремонту об'єктів операторів систем розподілу (далі - закупівля). Закупівля має бути здійснена з дотриманням принципів, передбачених </w:t>
            </w:r>
            <w:hyperlink r:id="rId11" w:tgtFrame="_blank" w:history="1">
              <w:r w:rsidRPr="00EC494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Законом України</w:t>
              </w:r>
            </w:hyperlink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«Про публічні закупівлі».</w:t>
            </w:r>
          </w:p>
          <w:p w14:paraId="20D4E0ED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інформації про закупівлю, здійснену в рамках відповідної виробничої програми (інвестиційної програми, ремонтної програми, заходів з приєднання) </w:t>
            </w:r>
            <w:r w:rsidRPr="00EC4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тощо</w:t>
            </w:r>
            <w:r w:rsidRPr="00EC4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повинен розмістити на своєму</w:t>
            </w: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офіційному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інформацію про закупівлю), яка відповідно до етапу закупівлі повинна містити наступну інформацію:</w:t>
            </w:r>
          </w:p>
          <w:p w14:paraId="21C59A7F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назва заходу відповідної виробничої програми;</w:t>
            </w:r>
          </w:p>
          <w:p w14:paraId="34C4CF08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предмета закупівлі згідно із відповідною виробничою програмою;</w:t>
            </w:r>
          </w:p>
          <w:p w14:paraId="7D473806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очікувана вартість предмета закупівлі;</w:t>
            </w:r>
          </w:p>
          <w:p w14:paraId="303D4161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вимоги до предмета закупівлі та умов, передбачених тендерною документацією закупівлі;</w:t>
            </w:r>
          </w:p>
          <w:p w14:paraId="3902022D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умови оплати;</w:t>
            </w:r>
          </w:p>
          <w:p w14:paraId="1D1A4D52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1514F585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оприлюднений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договору про закупівлю із обов'язковим визначенням усіх його умов;</w:t>
            </w:r>
          </w:p>
          <w:p w14:paraId="601BA1AB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пропозиції учасників закупівлі;</w:t>
            </w:r>
          </w:p>
          <w:p w14:paraId="1F15F95C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закупівлі;</w:t>
            </w:r>
          </w:p>
          <w:p w14:paraId="290C08E7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4DBE4E86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укладення договору про закупівлю з переможцем;</w:t>
            </w:r>
          </w:p>
          <w:p w14:paraId="18D744E5" w14:textId="77777777" w:rsidR="00A42904" w:rsidRPr="00225ACD" w:rsidRDefault="00A42904" w:rsidP="00A42904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2D20BD4B" w14:textId="157AD358" w:rsidR="00A42904" w:rsidRPr="00225ACD" w:rsidRDefault="00A42904" w:rsidP="00A42904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225ACD">
              <w:t>закупівель</w:t>
            </w:r>
            <w:proofErr w:type="spellEnd"/>
            <w:r w:rsidRPr="00225ACD">
              <w:t xml:space="preserve"> оприлюднюється на офіційних </w:t>
            </w:r>
            <w:proofErr w:type="spellStart"/>
            <w:r w:rsidRPr="00225ACD">
              <w:t>вебсайтах</w:t>
            </w:r>
            <w:proofErr w:type="spellEnd"/>
            <w:r w:rsidRPr="00225ACD">
              <w:t xml:space="preserve"> </w:t>
            </w:r>
            <w:r w:rsidRPr="00225ACD">
              <w:lastRenderedPageBreak/>
              <w:t>ОСР у розділі «Закупівлі» згідно з формою, наведеною в </w:t>
            </w:r>
            <w:hyperlink r:id="rId12" w:anchor="n4782" w:history="1">
              <w:r w:rsidRPr="00225ACD">
                <w:rPr>
                  <w:u w:val="single"/>
                </w:rPr>
                <w:t>додатку 13</w:t>
              </w:r>
            </w:hyperlink>
            <w:r w:rsidRPr="00225ACD">
              <w:t xml:space="preserve"> до цього Кодексу, </w:t>
            </w:r>
            <w:r w:rsidRPr="00225ACD">
              <w:rPr>
                <w:b/>
                <w:highlight w:val="yellow"/>
              </w:rPr>
              <w:t xml:space="preserve">одним загальним файлом у форматі </w:t>
            </w:r>
            <w:proofErr w:type="spellStart"/>
            <w:r w:rsidRPr="00225ACD">
              <w:rPr>
                <w:b/>
                <w:highlight w:val="yellow"/>
              </w:rPr>
              <w:t>Exel</w:t>
            </w:r>
            <w:proofErr w:type="spellEnd"/>
            <w:r w:rsidRPr="00225ACD">
              <w:rPr>
                <w:b/>
                <w:highlight w:val="yellow"/>
              </w:rPr>
              <w:t xml:space="preserve"> по усіх </w:t>
            </w:r>
            <w:proofErr w:type="spellStart"/>
            <w:r w:rsidRPr="00225ACD">
              <w:rPr>
                <w:b/>
                <w:highlight w:val="yellow"/>
              </w:rPr>
              <w:t>закупівлях</w:t>
            </w:r>
            <w:proofErr w:type="spellEnd"/>
            <w:r w:rsidRPr="00225ACD">
              <w:rPr>
                <w:b/>
                <w:highlight w:val="yellow"/>
              </w:rPr>
              <w:t>, здійснених в рамках відповідної виробничої програми (інвестиційної програми, ремонтної програми, заходів з приєднання) тощо, із зазначенням періоду її дії,</w:t>
            </w:r>
            <w:r w:rsidRPr="00225ACD">
              <w:t xml:space="preserve"> та повинна актуалізуватися щомісячно до 25 числа місяця, наступного за звітним.</w:t>
            </w:r>
          </w:p>
        </w:tc>
        <w:tc>
          <w:tcPr>
            <w:tcW w:w="5670" w:type="dxa"/>
          </w:tcPr>
          <w:p w14:paraId="6FD1B5CF" w14:textId="64F12966" w:rsidR="00A42904" w:rsidRDefault="00A42904" w:rsidP="00A42904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lang w:eastAsia="ru-RU"/>
              </w:rPr>
            </w:pPr>
            <w:r w:rsidRPr="00225ACD">
              <w:rPr>
                <w:b/>
                <w:bCs/>
                <w:lang w:eastAsia="ru-RU"/>
              </w:rPr>
              <w:lastRenderedPageBreak/>
              <w:t>АТ «ДТЕК ДНІПРОВСЬКІ ЕЛЕКТРОМЕРЕЖІ»</w:t>
            </w:r>
          </w:p>
          <w:p w14:paraId="12CE2711" w14:textId="441F9F6C" w:rsid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0C33DD29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</w:p>
          <w:p w14:paraId="716B75D5" w14:textId="7A8F8AEE" w:rsidR="00A42904" w:rsidRPr="00225ACD" w:rsidRDefault="00A42904" w:rsidP="00A42904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3.4.12. ОСР має забезпечити вільний доступ до інформації щодо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обладнання, матеріалів, робіт та послуг з будівництва, реконструкції </w:t>
            </w:r>
            <w:r w:rsidRPr="00225ACD">
              <w:rPr>
                <w:rFonts w:ascii="Times New Roman" w:eastAsia="Times New Roman" w:hAnsi="Times New Roman" w:cs="Times New Roman"/>
                <w:b/>
                <w:strike/>
                <w:lang w:val="uk-UA" w:eastAsia="uk-UA"/>
              </w:rPr>
              <w:t>та/або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,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технічного переоснащення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/обслуговування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та/або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експлуатації/ремонту об'єктів операторів систем розподілу (далі - закупівля). Закупівля має бути здійснена з дотриманням принципів, передбачених </w:t>
            </w:r>
            <w:hyperlink r:id="rId13" w:tgtFrame="_blank" w:history="1">
              <w:r w:rsidRPr="00225ACD">
                <w:rPr>
                  <w:rFonts w:ascii="Times New Roman" w:eastAsia="Times New Roman" w:hAnsi="Times New Roman" w:cs="Times New Roman"/>
                  <w:u w:val="single"/>
                  <w:lang w:val="uk-UA" w:eastAsia="uk-UA"/>
                </w:rPr>
                <w:t>Законом України</w:t>
              </w:r>
            </w:hyperlink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 «Про публічні закупівлі».</w:t>
            </w:r>
          </w:p>
          <w:p w14:paraId="42946563" w14:textId="150BC6B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інформації про закупівлю, здійснену в рамках відповідної виробничої програми (інвестиційної програми, ремонтної програми, заходів з приєднання)</w:t>
            </w:r>
            <w:r w:rsidR="00DC50E7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DC50E7" w:rsidRPr="00225ACD">
              <w:rPr>
                <w:rFonts w:ascii="Times New Roman" w:eastAsia="Times New Roman" w:hAnsi="Times New Roman" w:cs="Times New Roman"/>
                <w:b/>
                <w:strike/>
                <w:highlight w:val="yellow"/>
                <w:lang w:val="uk-UA" w:eastAsia="uk-UA"/>
              </w:rPr>
              <w:t>тощо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повинен розмістити на своєму офіційному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вебсайті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інформацію про закупівлю), яка відповідно до етапу закупівлі повинна містити наступну інформацію:</w:t>
            </w:r>
          </w:p>
          <w:p w14:paraId="52026E4A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назва заходу відповідної виробничої програми;</w:t>
            </w:r>
          </w:p>
          <w:p w14:paraId="424DF93B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найменування предмета закупівлі згідно із відповідною виробничою програмою;</w:t>
            </w:r>
          </w:p>
          <w:p w14:paraId="445F18EF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очікувана вартість предмета закупівлі;</w:t>
            </w:r>
          </w:p>
          <w:p w14:paraId="0F4C7420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вимоги до предмета закупівлі та умов, передбачених тендерною документацією закупівлі;</w:t>
            </w:r>
          </w:p>
          <w:p w14:paraId="030FA74D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умови оплати;</w:t>
            </w:r>
          </w:p>
          <w:p w14:paraId="0A91E6E1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1A52F82C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оприлюднений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проєкт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договору про закупівлю із обов'язковим визначенням усіх його умов;</w:t>
            </w:r>
          </w:p>
          <w:p w14:paraId="7C075D74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пропозиції учасників закупівлі;</w:t>
            </w:r>
          </w:p>
          <w:p w14:paraId="419925E9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результат закупівлі;</w:t>
            </w:r>
          </w:p>
          <w:p w14:paraId="2B503A21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3FD2DFB3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дата укладення договору про закупівлю з переможцем;</w:t>
            </w:r>
          </w:p>
          <w:p w14:paraId="17DCBC75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0A369399" w14:textId="77777777" w:rsidR="00A42904" w:rsidRPr="00225ACD" w:rsidRDefault="00A42904" w:rsidP="00A42904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7623599F" w14:textId="77777777" w:rsidR="00A42904" w:rsidRPr="00225ACD" w:rsidRDefault="00A42904" w:rsidP="00A42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оприлюднюється на офіційних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вебсайтах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ОСР у розділі «Закупівлі» згідно з формою, наведеною в </w:t>
            </w:r>
            <w:hyperlink r:id="rId14" w:anchor="n4782" w:history="1">
              <w:r w:rsidRPr="00225ACD">
                <w:rPr>
                  <w:rFonts w:ascii="Times New Roman" w:eastAsia="Times New Roman" w:hAnsi="Times New Roman" w:cs="Times New Roman"/>
                  <w:u w:val="single"/>
                  <w:lang w:val="uk-UA" w:eastAsia="uk-UA"/>
                </w:rPr>
                <w:t>додатку 13</w:t>
              </w:r>
            </w:hyperlink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 до цього Кодексу, </w:t>
            </w:r>
            <w:r w:rsidRPr="00225ACD">
              <w:rPr>
                <w:rFonts w:ascii="Times New Roman" w:hAnsi="Times New Roman" w:cs="Times New Roman"/>
                <w:b/>
                <w:lang w:val="uk-UA"/>
              </w:rPr>
              <w:t xml:space="preserve">одним загальним файлом у форматі </w:t>
            </w:r>
            <w:proofErr w:type="spellStart"/>
            <w:r w:rsidRPr="00225ACD">
              <w:rPr>
                <w:rFonts w:ascii="Times New Roman" w:hAnsi="Times New Roman" w:cs="Times New Roman"/>
                <w:b/>
                <w:lang w:val="uk-UA"/>
              </w:rPr>
              <w:t>Exel</w:t>
            </w:r>
            <w:proofErr w:type="spellEnd"/>
            <w:r w:rsidRPr="00225ACD">
              <w:rPr>
                <w:rFonts w:ascii="Times New Roman" w:hAnsi="Times New Roman" w:cs="Times New Roman"/>
                <w:b/>
                <w:lang w:val="uk-UA"/>
              </w:rPr>
              <w:t xml:space="preserve"> по усіх </w:t>
            </w:r>
            <w:proofErr w:type="spellStart"/>
            <w:r w:rsidRPr="00225ACD">
              <w:rPr>
                <w:rFonts w:ascii="Times New Roman" w:hAnsi="Times New Roman" w:cs="Times New Roman"/>
                <w:b/>
                <w:lang w:val="uk-UA"/>
              </w:rPr>
              <w:t>закупівлях</w:t>
            </w:r>
            <w:proofErr w:type="spellEnd"/>
            <w:r w:rsidRPr="00225ACD">
              <w:rPr>
                <w:rFonts w:ascii="Times New Roman" w:hAnsi="Times New Roman" w:cs="Times New Roman"/>
                <w:b/>
                <w:lang w:val="uk-UA"/>
              </w:rPr>
              <w:t>, здійснених в рамках відповідної виробничої програми (інвестиційної програми, ремонтної програми, заходів з приєднання) тощо, із зазначенням періоду її дії,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та повинна актуалізуватися щомісячно до 25 числа місяця, наступного за звітним.</w:t>
            </w:r>
          </w:p>
          <w:p w14:paraId="2F5A8910" w14:textId="77777777" w:rsidR="00DC50E7" w:rsidRPr="00225ACD" w:rsidRDefault="00DC50E7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D4067B1" w14:textId="77777777" w:rsidR="00DC50E7" w:rsidRPr="00225ACD" w:rsidRDefault="00DC50E7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Обгрунтування</w:t>
            </w:r>
            <w:proofErr w:type="spellEnd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пропозиції:</w:t>
            </w:r>
          </w:p>
          <w:p w14:paraId="5C0AB991" w14:textId="1AD6CD3E" w:rsidR="00DC50E7" w:rsidRPr="00225ACD" w:rsidRDefault="00DC50E7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Пропонуємо вилучити «тощо», в зв’язку з тим що вже запропонований перелік є вичерпним.</w:t>
            </w:r>
          </w:p>
        </w:tc>
        <w:tc>
          <w:tcPr>
            <w:tcW w:w="2835" w:type="dxa"/>
          </w:tcPr>
          <w:p w14:paraId="5C366094" w14:textId="77777777" w:rsidR="00225ACD" w:rsidRDefault="00225ACD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59E863E5" w14:textId="77777777" w:rsidR="00225ACD" w:rsidRDefault="00225ACD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01D26F8D" w14:textId="77777777" w:rsidR="00225ACD" w:rsidRDefault="00225ACD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140DB29F" w14:textId="77777777" w:rsidR="00225ACD" w:rsidRDefault="00225ACD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  <w:lang w:val="uk-UA"/>
              </w:rPr>
            </w:pPr>
          </w:p>
          <w:p w14:paraId="6C6C7EB3" w14:textId="263F8EE6" w:rsidR="00A42904" w:rsidRPr="00E324B3" w:rsidRDefault="00DC50E7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</w:pPr>
            <w:r w:rsidRPr="00E324B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Пропонується</w:t>
            </w:r>
            <w:r w:rsidR="00691A4B" w:rsidRPr="00E324B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 xml:space="preserve"> врахувати</w:t>
            </w:r>
            <w:r w:rsidR="006C39C2" w:rsidRPr="00E324B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 xml:space="preserve"> </w:t>
            </w:r>
            <w:r w:rsidR="00691A4B" w:rsidRPr="00E324B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в редакції</w:t>
            </w:r>
            <w:r w:rsidR="00E324B3" w:rsidRPr="00E324B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:</w:t>
            </w:r>
          </w:p>
          <w:p w14:paraId="3DA6D499" w14:textId="4CD6BA16" w:rsidR="004B54D0" w:rsidRPr="00225ACD" w:rsidRDefault="00E324B3" w:rsidP="004B54D0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«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3.4.12. ОСР має забезпечити вільний доступ до інформації щодо </w:t>
            </w:r>
            <w:proofErr w:type="spellStart"/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="006B5299" w:rsidRPr="007B42B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,</w:t>
            </w:r>
            <w:r w:rsidR="006B5299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6B5299" w:rsidRPr="007B42B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здійснених в рамках ліцензованої діяльності</w:t>
            </w:r>
            <w:r w:rsidR="00BA60D4" w:rsidRPr="007B42B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, зокрема,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обладнання, матеріалів, робіт та послуг з будівництва, реконструкції</w:t>
            </w:r>
            <w:r w:rsidR="007B42B5" w:rsidRPr="007B42B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7B42B5" w:rsidRPr="007B42B5">
              <w:rPr>
                <w:rFonts w:ascii="Times New Roman" w:eastAsia="Times New Roman" w:hAnsi="Times New Roman" w:cs="Times New Roman"/>
                <w:b/>
                <w:strike/>
                <w:highlight w:val="yellow"/>
                <w:lang w:val="uk-UA" w:eastAsia="uk-UA"/>
              </w:rPr>
              <w:t>та/або</w:t>
            </w:r>
            <w:r w:rsidR="004B54D0" w:rsidRPr="007B42B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,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технічного переоснащення</w:t>
            </w:r>
            <w:r w:rsidR="004B54D0"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/обслуговування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4B54D0" w:rsidRPr="00225ACD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та/або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експлуатації/ремонту об'єктів операторів систем розподілу</w:t>
            </w:r>
            <w:r w:rsidR="000B5553" w:rsidRPr="000B5553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 xml:space="preserve"> </w:t>
            </w:r>
            <w:r w:rsidR="00BA60D4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в межах виконання виробничих програм (</w:t>
            </w:r>
            <w:r w:rsidR="004B54D0" w:rsidRPr="00EC494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інвестиційної</w:t>
            </w:r>
            <w:r w:rsidR="00BA60D4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,</w:t>
            </w:r>
            <w:r w:rsidR="004B54D0" w:rsidRPr="00EC4945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 xml:space="preserve"> ремонтної, заходів з приєднання</w:t>
            </w:r>
            <w:r w:rsidR="00BA60D4">
              <w:rPr>
                <w:rFonts w:ascii="Times New Roman" w:eastAsia="Times New Roman" w:hAnsi="Times New Roman" w:cs="Times New Roman"/>
                <w:b/>
                <w:highlight w:val="yellow"/>
                <w:lang w:val="uk-UA" w:eastAsia="uk-UA"/>
              </w:rPr>
              <w:t>)</w:t>
            </w:r>
            <w:r w:rsidR="004B54D0" w:rsidRPr="00EC4945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(далі - закупівля). Закупівля має бути здійснена з дотриманням </w:t>
            </w:r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принципів, передбачених </w:t>
            </w:r>
            <w:hyperlink r:id="rId15" w:tgtFrame="_blank" w:history="1">
              <w:r w:rsidR="004B54D0" w:rsidRPr="00225ACD">
                <w:rPr>
                  <w:rFonts w:ascii="Times New Roman" w:eastAsia="Times New Roman" w:hAnsi="Times New Roman" w:cs="Times New Roman"/>
                  <w:u w:val="single"/>
                  <w:lang w:val="uk-UA" w:eastAsia="uk-UA"/>
                </w:rPr>
                <w:t>Законом України</w:t>
              </w:r>
            </w:hyperlink>
            <w:r w:rsidR="004B54D0" w:rsidRPr="00225ACD">
              <w:rPr>
                <w:rFonts w:ascii="Times New Roman" w:eastAsia="Times New Roman" w:hAnsi="Times New Roman" w:cs="Times New Roman"/>
                <w:lang w:val="uk-UA" w:eastAsia="uk-UA"/>
              </w:rPr>
              <w:t> «Про публічні закупівлі».</w:t>
            </w:r>
          </w:p>
          <w:p w14:paraId="4436C893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ОСР не пізніше робочого дня, наступного за днем оприлюднення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інформації </w:t>
            </w:r>
            <w:r w:rsidRPr="004F4E03">
              <w:rPr>
                <w:rFonts w:ascii="Times New Roman" w:eastAsia="Times New Roman" w:hAnsi="Times New Roman" w:cs="Times New Roman"/>
                <w:lang w:val="uk-UA" w:eastAsia="uk-UA"/>
              </w:rPr>
              <w:t>про закупівлю</w:t>
            </w:r>
            <w:r w:rsidRPr="007B42B5">
              <w:rPr>
                <w:rFonts w:ascii="Times New Roman" w:eastAsia="Times New Roman" w:hAnsi="Times New Roman" w:cs="Times New Roman"/>
                <w:lang w:val="uk-UA" w:eastAsia="uk-UA"/>
              </w:rPr>
              <w:t>,</w:t>
            </w:r>
            <w:r w:rsidRPr="007B42B5">
              <w:rPr>
                <w:rFonts w:ascii="Times New Roman" w:eastAsia="Times New Roman" w:hAnsi="Times New Roman" w:cs="Times New Roman"/>
                <w:b/>
                <w:strike/>
                <w:highlight w:val="yellow"/>
                <w:lang w:val="uk-UA" w:eastAsia="uk-UA"/>
              </w:rPr>
              <w:t xml:space="preserve"> здійснену в рамках відповідної виробничої програми (інвестиційної програми, ремонтної програми, заходів з приєднання) тощо,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повинен розмістити на своєму офіційному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вебсайті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 розділі «Закупівлі» інформацію (у вигляді гіперпосилання на оприлюднену у електронній системі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інформацію про закупівлю), яка відповідно до етапу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закупівлі повинна містити наступну інформацію:</w:t>
            </w:r>
          </w:p>
          <w:p w14:paraId="04B984D3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назва заходу відповідної виробничої програми;</w:t>
            </w:r>
          </w:p>
          <w:p w14:paraId="5C2948D3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найменування предмета закупівлі згідно із відповідною виробничою програмою;</w:t>
            </w:r>
          </w:p>
          <w:p w14:paraId="36DBAD01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очікувана вартість предмета закупівлі;</w:t>
            </w:r>
          </w:p>
          <w:p w14:paraId="2488DDDA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вимоги до предмета закупівлі та умов, передбачених тендерною документацією закупівлі;</w:t>
            </w:r>
          </w:p>
          <w:p w14:paraId="31B3A98C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умови оплати;</w:t>
            </w:r>
          </w:p>
          <w:p w14:paraId="547C1FEC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дата оприлюднення оголошення про проведення закупівлі та її завершення;</w:t>
            </w:r>
          </w:p>
          <w:p w14:paraId="38E18630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оприлюднений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проєкт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договору про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>закупівлю із обов'язковим визначенням усіх його умов;</w:t>
            </w:r>
          </w:p>
          <w:p w14:paraId="3EE5B707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пропозиції учасників закупівлі;</w:t>
            </w:r>
          </w:p>
          <w:p w14:paraId="0DAB6E59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результат закупівлі;</w:t>
            </w:r>
          </w:p>
          <w:p w14:paraId="04B507E7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причини відміни, відкликання, визнання закупівлі такою, що не відбулась, тощо;</w:t>
            </w:r>
          </w:p>
          <w:p w14:paraId="2FFCEBE8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дата укладення договору про закупівлю з переможцем;</w:t>
            </w:r>
          </w:p>
          <w:p w14:paraId="14F2E599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оприлюднений укладений договір про закупівлю з переможцем.</w:t>
            </w:r>
          </w:p>
          <w:p w14:paraId="455EC88B" w14:textId="77777777" w:rsidR="004B54D0" w:rsidRPr="00225ACD" w:rsidRDefault="004B54D0" w:rsidP="004B54D0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14:paraId="60404B8B" w14:textId="01EAB21B" w:rsidR="004B54D0" w:rsidRPr="00225ACD" w:rsidRDefault="004B54D0" w:rsidP="004B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Інформація про результати здійснених та проведення повторних, по даному заходу,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закупівель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оприлюднюється на 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lastRenderedPageBreak/>
              <w:t xml:space="preserve">офіційних </w:t>
            </w:r>
            <w:proofErr w:type="spellStart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вебсайтах</w:t>
            </w:r>
            <w:proofErr w:type="spellEnd"/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ОСР у розділі «Закупівлі» згідно з формою, наведеною в </w:t>
            </w:r>
            <w:hyperlink r:id="rId16" w:anchor="n4782" w:history="1">
              <w:r w:rsidRPr="00225ACD">
                <w:rPr>
                  <w:rFonts w:ascii="Times New Roman" w:eastAsia="Times New Roman" w:hAnsi="Times New Roman" w:cs="Times New Roman"/>
                  <w:u w:val="single"/>
                  <w:lang w:val="uk-UA" w:eastAsia="uk-UA"/>
                </w:rPr>
                <w:t>додатку 13</w:t>
              </w:r>
            </w:hyperlink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 до цього Кодексу, </w:t>
            </w:r>
            <w:r w:rsidRPr="007B42B5">
              <w:rPr>
                <w:rFonts w:ascii="Times New Roman" w:hAnsi="Times New Roman" w:cs="Times New Roman"/>
                <w:lang w:val="uk-UA"/>
              </w:rPr>
              <w:t xml:space="preserve">одним загальним файлом у форматі </w:t>
            </w:r>
            <w:proofErr w:type="spellStart"/>
            <w:r w:rsidRPr="007B42B5">
              <w:rPr>
                <w:rFonts w:ascii="Times New Roman" w:hAnsi="Times New Roman" w:cs="Times New Roman"/>
                <w:lang w:val="uk-UA"/>
              </w:rPr>
              <w:t>Ex</w:t>
            </w:r>
            <w:r w:rsidR="00B66224" w:rsidRPr="007B42B5">
              <w:rPr>
                <w:rFonts w:ascii="Times New Roman" w:hAnsi="Times New Roman" w:cs="Times New Roman"/>
                <w:b/>
                <w:highlight w:val="yellow"/>
                <w:lang w:val="uk-UA"/>
              </w:rPr>
              <w:t>с</w:t>
            </w:r>
            <w:r w:rsidRPr="007B42B5">
              <w:rPr>
                <w:rFonts w:ascii="Times New Roman" w:hAnsi="Times New Roman" w:cs="Times New Roman"/>
                <w:lang w:val="uk-UA"/>
              </w:rPr>
              <w:t>el</w:t>
            </w:r>
            <w:proofErr w:type="spellEnd"/>
            <w:r w:rsidRPr="007B42B5">
              <w:rPr>
                <w:rFonts w:ascii="Times New Roman" w:hAnsi="Times New Roman" w:cs="Times New Roman"/>
                <w:lang w:val="uk-UA"/>
              </w:rPr>
              <w:t xml:space="preserve"> по усіх </w:t>
            </w:r>
            <w:proofErr w:type="spellStart"/>
            <w:r w:rsidRPr="007B42B5">
              <w:rPr>
                <w:rFonts w:ascii="Times New Roman" w:hAnsi="Times New Roman" w:cs="Times New Roman"/>
                <w:lang w:val="uk-UA"/>
              </w:rPr>
              <w:t>закупівлях</w:t>
            </w:r>
            <w:proofErr w:type="spellEnd"/>
            <w:r w:rsidRPr="007B42B5">
              <w:rPr>
                <w:rFonts w:ascii="Times New Roman" w:hAnsi="Times New Roman" w:cs="Times New Roman"/>
                <w:lang w:val="uk-UA"/>
              </w:rPr>
              <w:t xml:space="preserve">, здійснених </w:t>
            </w:r>
            <w:r w:rsidR="00BA60D4" w:rsidRPr="007B42B5">
              <w:rPr>
                <w:rFonts w:ascii="Times New Roman" w:hAnsi="Times New Roman" w:cs="Times New Roman"/>
                <w:b/>
                <w:highlight w:val="yellow"/>
                <w:lang w:val="uk-UA"/>
              </w:rPr>
              <w:t xml:space="preserve">за напрямками ліцензійної діяльності, зокрема, </w:t>
            </w:r>
            <w:r w:rsidRPr="007B42B5">
              <w:rPr>
                <w:rFonts w:ascii="Times New Roman" w:hAnsi="Times New Roman" w:cs="Times New Roman"/>
                <w:lang w:val="uk-UA"/>
              </w:rPr>
              <w:t>в рамках відповідної виробничої програми (інвестиційної, ремонтної, заходів з приєднання)</w:t>
            </w:r>
            <w:r w:rsidR="007B42B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7B42B5" w:rsidRPr="007B42B5">
              <w:rPr>
                <w:rFonts w:ascii="Times New Roman" w:hAnsi="Times New Roman" w:cs="Times New Roman"/>
                <w:b/>
                <w:strike/>
                <w:highlight w:val="yellow"/>
                <w:lang w:val="uk-UA"/>
              </w:rPr>
              <w:t>тощо,</w:t>
            </w:r>
            <w:r w:rsidRPr="007B42B5">
              <w:rPr>
                <w:rFonts w:ascii="Times New Roman" w:hAnsi="Times New Roman" w:cs="Times New Roman"/>
                <w:lang w:val="uk-UA"/>
              </w:rPr>
              <w:t xml:space="preserve"> із зазначенням періоду її дії,</w:t>
            </w: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та повинна актуалізуватися щомісячно до 25 числа місяця, наступного за звітним.</w:t>
            </w:r>
            <w:r w:rsidR="008D1612">
              <w:rPr>
                <w:rFonts w:ascii="Times New Roman" w:eastAsia="Times New Roman" w:hAnsi="Times New Roman" w:cs="Times New Roman"/>
                <w:lang w:val="uk-UA" w:eastAsia="uk-UA"/>
              </w:rPr>
              <w:t>»</w:t>
            </w:r>
          </w:p>
          <w:p w14:paraId="227DDFEC" w14:textId="15FA47F2" w:rsidR="00DC50E7" w:rsidRPr="00225ACD" w:rsidRDefault="00DC50E7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25ACD" w:rsidRPr="007B42B5" w14:paraId="067E6F18" w14:textId="77777777" w:rsidTr="005D52AA">
        <w:tc>
          <w:tcPr>
            <w:tcW w:w="5670" w:type="dxa"/>
          </w:tcPr>
          <w:p w14:paraId="6419DC9D" w14:textId="4C1F0C91" w:rsidR="00A42904" w:rsidRPr="00225ACD" w:rsidRDefault="00A42904" w:rsidP="00A42904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lastRenderedPageBreak/>
              <w:t>Додаток 13</w:t>
            </w:r>
          </w:p>
        </w:tc>
        <w:tc>
          <w:tcPr>
            <w:tcW w:w="5670" w:type="dxa"/>
          </w:tcPr>
          <w:p w14:paraId="4F3165AD" w14:textId="5E320378" w:rsidR="00A42904" w:rsidRPr="00225ACD" w:rsidRDefault="00A42904" w:rsidP="00A42904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lang w:eastAsia="en-US"/>
              </w:rPr>
            </w:pPr>
            <w:r w:rsidRPr="00225ACD">
              <w:t>Додаток 13 викладено в новій редакції</w:t>
            </w:r>
          </w:p>
        </w:tc>
        <w:tc>
          <w:tcPr>
            <w:tcW w:w="5670" w:type="dxa"/>
          </w:tcPr>
          <w:p w14:paraId="26D36228" w14:textId="67B65F0A" w:rsidR="003A0279" w:rsidRDefault="003A0279" w:rsidP="003A0279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lang w:eastAsia="ru-RU"/>
              </w:rPr>
            </w:pPr>
            <w:r w:rsidRPr="00225ACD">
              <w:rPr>
                <w:b/>
                <w:bCs/>
                <w:lang w:eastAsia="ru-RU"/>
              </w:rPr>
              <w:t>АТ «ДТЕК ДНІПРОВСЬКІ ЕЛЕКТРОМЕРЕЖІ»</w:t>
            </w:r>
          </w:p>
          <w:p w14:paraId="0590EC1B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i/>
              </w:rPr>
            </w:pPr>
            <w:r w:rsidRPr="00225ACD">
              <w:rPr>
                <w:b/>
                <w:i/>
              </w:rPr>
              <w:t>ПрАТ «ДТЕК КИЇВСЬКІ РЕГІОНАЛЬНІ ЕЛЕКТРОМЕРЕЖІ»</w:t>
            </w:r>
          </w:p>
          <w:p w14:paraId="5A68E7C9" w14:textId="77777777" w:rsidR="00225ACD" w:rsidRPr="00225ACD" w:rsidRDefault="00225ACD" w:rsidP="00225ACD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</w:p>
          <w:p w14:paraId="641F31A9" w14:textId="77777777" w:rsidR="00A42904" w:rsidRPr="00225ACD" w:rsidRDefault="003A0279" w:rsidP="00A42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Виключити «тощо» в колонці 5.</w:t>
            </w:r>
          </w:p>
          <w:p w14:paraId="716F8518" w14:textId="77777777" w:rsidR="003A0279" w:rsidRPr="00225ACD" w:rsidRDefault="003A0279" w:rsidP="003A0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E51CE59" w14:textId="77777777" w:rsidR="003A0279" w:rsidRPr="00225ACD" w:rsidRDefault="003A0279" w:rsidP="003A02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Обгрунтування</w:t>
            </w:r>
            <w:proofErr w:type="spellEnd"/>
            <w:r w:rsidRPr="00225ACD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пропозиції:</w:t>
            </w:r>
          </w:p>
          <w:p w14:paraId="3516743E" w14:textId="1BC10001" w:rsidR="003A0279" w:rsidRPr="00225ACD" w:rsidRDefault="003A0279" w:rsidP="00A42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eastAsia="Times New Roman" w:hAnsi="Times New Roman" w:cs="Times New Roman"/>
                <w:lang w:val="uk-UA" w:eastAsia="uk-UA"/>
              </w:rPr>
              <w:t>Пропонуємо вилучити «тощо», в зв’язку з тим що вже запропонований перелік є вичерпним.</w:t>
            </w:r>
          </w:p>
        </w:tc>
        <w:tc>
          <w:tcPr>
            <w:tcW w:w="2835" w:type="dxa"/>
          </w:tcPr>
          <w:p w14:paraId="0CECC3BF" w14:textId="66E3AC5B" w:rsidR="007B42B5" w:rsidRPr="007B42B5" w:rsidRDefault="007B42B5" w:rsidP="007B42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</w:pPr>
            <w:r w:rsidRPr="007B42B5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uk-UA"/>
              </w:rPr>
              <w:t>Пропонується врахувати з урахуванням редакції вище</w:t>
            </w:r>
          </w:p>
          <w:p w14:paraId="3976328F" w14:textId="38E987A3" w:rsidR="00A42904" w:rsidRPr="00225ACD" w:rsidRDefault="005637B0" w:rsidP="005D52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щодо таких </w:t>
            </w:r>
            <w:proofErr w:type="spellStart"/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закупівель</w:t>
            </w:r>
            <w:proofErr w:type="spellEnd"/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має включати також закупівлі, здійснені за рахунок, наприклад, інших (крім тих, що є </w:t>
            </w:r>
            <w:r w:rsidRPr="00225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джерелами фінансування ІП) статей тарифу тощо</w:t>
            </w:r>
          </w:p>
        </w:tc>
      </w:tr>
    </w:tbl>
    <w:p w14:paraId="4BC628AA" w14:textId="77777777" w:rsidR="000C43DD" w:rsidRPr="00225ACD" w:rsidRDefault="000C43DD" w:rsidP="00155F3A">
      <w:pPr>
        <w:spacing w:after="0" w:line="240" w:lineRule="auto"/>
        <w:rPr>
          <w:lang w:val="uk-UA"/>
        </w:rPr>
      </w:pPr>
    </w:p>
    <w:sectPr w:rsidR="000C43DD" w:rsidRPr="00225ACD" w:rsidSect="00DC0B16">
      <w:headerReference w:type="default" r:id="rId17"/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B7EDE" w14:textId="77777777" w:rsidR="00897E7C" w:rsidRDefault="00897E7C" w:rsidP="00166B2C">
      <w:pPr>
        <w:spacing w:after="0" w:line="240" w:lineRule="auto"/>
      </w:pPr>
      <w:r>
        <w:separator/>
      </w:r>
    </w:p>
  </w:endnote>
  <w:endnote w:type="continuationSeparator" w:id="0">
    <w:p w14:paraId="495F0D0D" w14:textId="77777777" w:rsidR="00897E7C" w:rsidRDefault="00897E7C" w:rsidP="0016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F4ED6" w14:textId="77777777" w:rsidR="00897E7C" w:rsidRDefault="00897E7C" w:rsidP="00166B2C">
      <w:pPr>
        <w:spacing w:after="0" w:line="240" w:lineRule="auto"/>
      </w:pPr>
      <w:r>
        <w:separator/>
      </w:r>
    </w:p>
  </w:footnote>
  <w:footnote w:type="continuationSeparator" w:id="0">
    <w:p w14:paraId="19F233B0" w14:textId="77777777" w:rsidR="00897E7C" w:rsidRDefault="00897E7C" w:rsidP="0016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62162"/>
      <w:docPartObj>
        <w:docPartGallery w:val="Page Numbers (Top of Page)"/>
        <w:docPartUnique/>
      </w:docPartObj>
    </w:sdtPr>
    <w:sdtEndPr/>
    <w:sdtContent>
      <w:p w14:paraId="4672FE33" w14:textId="15333BFE" w:rsidR="006A0952" w:rsidRDefault="006A09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A9" w:rsidRPr="00B13CA9">
          <w:rPr>
            <w:noProof/>
            <w:lang w:val="uk-UA"/>
          </w:rPr>
          <w:t>36</w:t>
        </w:r>
        <w:r>
          <w:fldChar w:fldCharType="end"/>
        </w:r>
      </w:p>
    </w:sdtContent>
  </w:sdt>
  <w:p w14:paraId="448ED633" w14:textId="77777777" w:rsidR="006A0952" w:rsidRDefault="006A09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8F1"/>
    <w:rsid w:val="00020FD5"/>
    <w:rsid w:val="00021233"/>
    <w:rsid w:val="000334D4"/>
    <w:rsid w:val="00036D0C"/>
    <w:rsid w:val="000632DD"/>
    <w:rsid w:val="00063877"/>
    <w:rsid w:val="000717C2"/>
    <w:rsid w:val="00084DCB"/>
    <w:rsid w:val="000A1168"/>
    <w:rsid w:val="000A7AE1"/>
    <w:rsid w:val="000B1402"/>
    <w:rsid w:val="000B5553"/>
    <w:rsid w:val="000C43DD"/>
    <w:rsid w:val="000D61E4"/>
    <w:rsid w:val="00102D0E"/>
    <w:rsid w:val="00102F17"/>
    <w:rsid w:val="001135C8"/>
    <w:rsid w:val="001179B8"/>
    <w:rsid w:val="00121AE9"/>
    <w:rsid w:val="00121B1D"/>
    <w:rsid w:val="00121E3C"/>
    <w:rsid w:val="00124744"/>
    <w:rsid w:val="00133E86"/>
    <w:rsid w:val="00135F1C"/>
    <w:rsid w:val="00154A92"/>
    <w:rsid w:val="00155F3A"/>
    <w:rsid w:val="00165B1E"/>
    <w:rsid w:val="00166B2C"/>
    <w:rsid w:val="00170097"/>
    <w:rsid w:val="0017025E"/>
    <w:rsid w:val="00181F88"/>
    <w:rsid w:val="001832EE"/>
    <w:rsid w:val="00187067"/>
    <w:rsid w:val="001902C0"/>
    <w:rsid w:val="001B1FF5"/>
    <w:rsid w:val="001B41E8"/>
    <w:rsid w:val="001B543C"/>
    <w:rsid w:val="001B56AB"/>
    <w:rsid w:val="001F3053"/>
    <w:rsid w:val="002258B5"/>
    <w:rsid w:val="00225A6B"/>
    <w:rsid w:val="00225ACD"/>
    <w:rsid w:val="002342CA"/>
    <w:rsid w:val="0023433B"/>
    <w:rsid w:val="00234F42"/>
    <w:rsid w:val="00255836"/>
    <w:rsid w:val="00283F06"/>
    <w:rsid w:val="002B1091"/>
    <w:rsid w:val="002B4287"/>
    <w:rsid w:val="002B7432"/>
    <w:rsid w:val="002C5477"/>
    <w:rsid w:val="002D08AE"/>
    <w:rsid w:val="002D7C7F"/>
    <w:rsid w:val="00303FAD"/>
    <w:rsid w:val="00305F1A"/>
    <w:rsid w:val="0032464F"/>
    <w:rsid w:val="00325381"/>
    <w:rsid w:val="003323ED"/>
    <w:rsid w:val="00335D06"/>
    <w:rsid w:val="0033651D"/>
    <w:rsid w:val="00347BBD"/>
    <w:rsid w:val="00357AF6"/>
    <w:rsid w:val="00366AE1"/>
    <w:rsid w:val="00381A47"/>
    <w:rsid w:val="0039043C"/>
    <w:rsid w:val="003A0279"/>
    <w:rsid w:val="003B02C2"/>
    <w:rsid w:val="003B7D6C"/>
    <w:rsid w:val="003E3289"/>
    <w:rsid w:val="003E4459"/>
    <w:rsid w:val="003E6059"/>
    <w:rsid w:val="003F65A5"/>
    <w:rsid w:val="00410BA8"/>
    <w:rsid w:val="00445E52"/>
    <w:rsid w:val="0045342B"/>
    <w:rsid w:val="004574D7"/>
    <w:rsid w:val="00462662"/>
    <w:rsid w:val="00465AE2"/>
    <w:rsid w:val="0047465C"/>
    <w:rsid w:val="00477BF2"/>
    <w:rsid w:val="00484A97"/>
    <w:rsid w:val="00492EEA"/>
    <w:rsid w:val="004A1D2F"/>
    <w:rsid w:val="004A4695"/>
    <w:rsid w:val="004B2AFB"/>
    <w:rsid w:val="004B54D0"/>
    <w:rsid w:val="004B7725"/>
    <w:rsid w:val="004F0EF8"/>
    <w:rsid w:val="004F4E03"/>
    <w:rsid w:val="005114F6"/>
    <w:rsid w:val="00511CF6"/>
    <w:rsid w:val="005412AE"/>
    <w:rsid w:val="00557910"/>
    <w:rsid w:val="00557C78"/>
    <w:rsid w:val="005637B0"/>
    <w:rsid w:val="005650A2"/>
    <w:rsid w:val="005676C9"/>
    <w:rsid w:val="005963DA"/>
    <w:rsid w:val="005A1914"/>
    <w:rsid w:val="005B02B0"/>
    <w:rsid w:val="005B20CC"/>
    <w:rsid w:val="005C00A6"/>
    <w:rsid w:val="005C3A80"/>
    <w:rsid w:val="005C5692"/>
    <w:rsid w:val="005D52AA"/>
    <w:rsid w:val="005E1E77"/>
    <w:rsid w:val="005E61B4"/>
    <w:rsid w:val="005F3E6D"/>
    <w:rsid w:val="006107C6"/>
    <w:rsid w:val="006124C1"/>
    <w:rsid w:val="0067059E"/>
    <w:rsid w:val="00682AEB"/>
    <w:rsid w:val="0069076B"/>
    <w:rsid w:val="00691A4B"/>
    <w:rsid w:val="00696F30"/>
    <w:rsid w:val="006A0952"/>
    <w:rsid w:val="006A7F4F"/>
    <w:rsid w:val="006B1FDC"/>
    <w:rsid w:val="006B5299"/>
    <w:rsid w:val="006B5315"/>
    <w:rsid w:val="006C39C2"/>
    <w:rsid w:val="006D3A50"/>
    <w:rsid w:val="006D50C3"/>
    <w:rsid w:val="006D6534"/>
    <w:rsid w:val="006E21A5"/>
    <w:rsid w:val="006E482D"/>
    <w:rsid w:val="006F094F"/>
    <w:rsid w:val="006F72E2"/>
    <w:rsid w:val="00704DD8"/>
    <w:rsid w:val="00704DDB"/>
    <w:rsid w:val="007101FF"/>
    <w:rsid w:val="0071707F"/>
    <w:rsid w:val="00722FB9"/>
    <w:rsid w:val="007300B4"/>
    <w:rsid w:val="00735D5E"/>
    <w:rsid w:val="00744DDB"/>
    <w:rsid w:val="00747CE3"/>
    <w:rsid w:val="007576F5"/>
    <w:rsid w:val="007578C7"/>
    <w:rsid w:val="00771C5B"/>
    <w:rsid w:val="0077582D"/>
    <w:rsid w:val="00777FA7"/>
    <w:rsid w:val="00782362"/>
    <w:rsid w:val="007931EA"/>
    <w:rsid w:val="007A4377"/>
    <w:rsid w:val="007A6290"/>
    <w:rsid w:val="007B42B5"/>
    <w:rsid w:val="007D136A"/>
    <w:rsid w:val="007E1754"/>
    <w:rsid w:val="007F584C"/>
    <w:rsid w:val="0080091D"/>
    <w:rsid w:val="008023B8"/>
    <w:rsid w:val="00804914"/>
    <w:rsid w:val="00814C13"/>
    <w:rsid w:val="00814E7A"/>
    <w:rsid w:val="00830D06"/>
    <w:rsid w:val="00831001"/>
    <w:rsid w:val="00835E45"/>
    <w:rsid w:val="00843231"/>
    <w:rsid w:val="00856E42"/>
    <w:rsid w:val="0088699F"/>
    <w:rsid w:val="00890E81"/>
    <w:rsid w:val="00891AC7"/>
    <w:rsid w:val="00897E7C"/>
    <w:rsid w:val="008A5688"/>
    <w:rsid w:val="008B01A9"/>
    <w:rsid w:val="008B6F55"/>
    <w:rsid w:val="008C603C"/>
    <w:rsid w:val="008D1612"/>
    <w:rsid w:val="008D3B21"/>
    <w:rsid w:val="008D43C5"/>
    <w:rsid w:val="008D6D01"/>
    <w:rsid w:val="008F1767"/>
    <w:rsid w:val="008F45DC"/>
    <w:rsid w:val="009013D9"/>
    <w:rsid w:val="0091146D"/>
    <w:rsid w:val="00912411"/>
    <w:rsid w:val="0093303B"/>
    <w:rsid w:val="0095592C"/>
    <w:rsid w:val="00964535"/>
    <w:rsid w:val="00965550"/>
    <w:rsid w:val="009848B9"/>
    <w:rsid w:val="0099006C"/>
    <w:rsid w:val="009A64B7"/>
    <w:rsid w:val="009B7EB8"/>
    <w:rsid w:val="009C4786"/>
    <w:rsid w:val="009C4FC9"/>
    <w:rsid w:val="009D1704"/>
    <w:rsid w:val="009E2340"/>
    <w:rsid w:val="009F660E"/>
    <w:rsid w:val="00A00082"/>
    <w:rsid w:val="00A10681"/>
    <w:rsid w:val="00A11021"/>
    <w:rsid w:val="00A13030"/>
    <w:rsid w:val="00A21A82"/>
    <w:rsid w:val="00A25E8D"/>
    <w:rsid w:val="00A2680A"/>
    <w:rsid w:val="00A27DB2"/>
    <w:rsid w:val="00A328C9"/>
    <w:rsid w:val="00A42904"/>
    <w:rsid w:val="00A4698A"/>
    <w:rsid w:val="00A605C5"/>
    <w:rsid w:val="00A878F7"/>
    <w:rsid w:val="00AB6E9F"/>
    <w:rsid w:val="00AF7757"/>
    <w:rsid w:val="00AF7EBB"/>
    <w:rsid w:val="00B018E9"/>
    <w:rsid w:val="00B11AD7"/>
    <w:rsid w:val="00B13CA9"/>
    <w:rsid w:val="00B161FF"/>
    <w:rsid w:val="00B27614"/>
    <w:rsid w:val="00B27F16"/>
    <w:rsid w:val="00B30EAB"/>
    <w:rsid w:val="00B343CC"/>
    <w:rsid w:val="00B364AB"/>
    <w:rsid w:val="00B400ED"/>
    <w:rsid w:val="00B5104F"/>
    <w:rsid w:val="00B51C85"/>
    <w:rsid w:val="00B55B2B"/>
    <w:rsid w:val="00B6220F"/>
    <w:rsid w:val="00B66224"/>
    <w:rsid w:val="00B82208"/>
    <w:rsid w:val="00B840D2"/>
    <w:rsid w:val="00B913FE"/>
    <w:rsid w:val="00BA1093"/>
    <w:rsid w:val="00BA2DE5"/>
    <w:rsid w:val="00BA3EE0"/>
    <w:rsid w:val="00BA60D4"/>
    <w:rsid w:val="00BA684D"/>
    <w:rsid w:val="00BC1D20"/>
    <w:rsid w:val="00BD6DC0"/>
    <w:rsid w:val="00BE5401"/>
    <w:rsid w:val="00C47D7E"/>
    <w:rsid w:val="00C549C4"/>
    <w:rsid w:val="00C61D13"/>
    <w:rsid w:val="00C862A3"/>
    <w:rsid w:val="00C874D2"/>
    <w:rsid w:val="00C914EE"/>
    <w:rsid w:val="00CA094A"/>
    <w:rsid w:val="00CA4EF5"/>
    <w:rsid w:val="00CC456D"/>
    <w:rsid w:val="00CD067D"/>
    <w:rsid w:val="00CD2244"/>
    <w:rsid w:val="00CD68F1"/>
    <w:rsid w:val="00CE700E"/>
    <w:rsid w:val="00CF246F"/>
    <w:rsid w:val="00CF63EA"/>
    <w:rsid w:val="00CF6A3E"/>
    <w:rsid w:val="00D01D35"/>
    <w:rsid w:val="00D34373"/>
    <w:rsid w:val="00D73B6D"/>
    <w:rsid w:val="00D764D9"/>
    <w:rsid w:val="00D872CA"/>
    <w:rsid w:val="00D9063C"/>
    <w:rsid w:val="00DB4FE4"/>
    <w:rsid w:val="00DC0B16"/>
    <w:rsid w:val="00DC50E7"/>
    <w:rsid w:val="00DD57E1"/>
    <w:rsid w:val="00DE0B85"/>
    <w:rsid w:val="00DE185B"/>
    <w:rsid w:val="00DE6157"/>
    <w:rsid w:val="00DF599A"/>
    <w:rsid w:val="00E02EB6"/>
    <w:rsid w:val="00E1247C"/>
    <w:rsid w:val="00E26FD6"/>
    <w:rsid w:val="00E324B3"/>
    <w:rsid w:val="00E422FF"/>
    <w:rsid w:val="00E45730"/>
    <w:rsid w:val="00E55FAE"/>
    <w:rsid w:val="00E9706E"/>
    <w:rsid w:val="00EA2388"/>
    <w:rsid w:val="00EA3FE7"/>
    <w:rsid w:val="00EA53FC"/>
    <w:rsid w:val="00EC4945"/>
    <w:rsid w:val="00ED4746"/>
    <w:rsid w:val="00EE29FC"/>
    <w:rsid w:val="00F4031D"/>
    <w:rsid w:val="00F41829"/>
    <w:rsid w:val="00F41DED"/>
    <w:rsid w:val="00F84D55"/>
    <w:rsid w:val="00FC0AF9"/>
    <w:rsid w:val="00FD0DDF"/>
    <w:rsid w:val="00FF6D1B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B69"/>
  <w15:chartTrackingRefBased/>
  <w15:docId w15:val="{FBDBCAA3-0A5F-4B2C-A914-A97ED7F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465C"/>
    <w:pPr>
      <w:spacing w:after="200" w:line="276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7D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F77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F7757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47D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rvps2">
    <w:name w:val="rvps2"/>
    <w:basedOn w:val="a"/>
    <w:rsid w:val="00704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704DD8"/>
  </w:style>
  <w:style w:type="character" w:customStyle="1" w:styleId="rvts46">
    <w:name w:val="rvts46"/>
    <w:basedOn w:val="a0"/>
    <w:rsid w:val="00BA3EE0"/>
  </w:style>
  <w:style w:type="character" w:styleId="a4">
    <w:name w:val="Hyperlink"/>
    <w:basedOn w:val="a0"/>
    <w:uiPriority w:val="99"/>
    <w:semiHidden/>
    <w:unhideWhenUsed/>
    <w:rsid w:val="00BA3E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2662"/>
    <w:rPr>
      <w:rFonts w:ascii="Segoe UI" w:hAnsi="Segoe UI" w:cs="Segoe UI"/>
      <w:sz w:val="18"/>
      <w:szCs w:val="18"/>
      <w:lang w:val="en-US"/>
    </w:rPr>
  </w:style>
  <w:style w:type="character" w:customStyle="1" w:styleId="rvts11">
    <w:name w:val="rvts11"/>
    <w:basedOn w:val="a0"/>
    <w:rsid w:val="002342CA"/>
  </w:style>
  <w:style w:type="paragraph" w:styleId="a7">
    <w:name w:val="header"/>
    <w:basedOn w:val="a"/>
    <w:link w:val="a8"/>
    <w:uiPriority w:val="99"/>
    <w:unhideWhenUsed/>
    <w:rsid w:val="00166B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66B2C"/>
    <w:rPr>
      <w:lang w:val="en-US"/>
    </w:rPr>
  </w:style>
  <w:style w:type="paragraph" w:styleId="a9">
    <w:name w:val="footer"/>
    <w:basedOn w:val="a"/>
    <w:link w:val="aa"/>
    <w:uiPriority w:val="99"/>
    <w:unhideWhenUsed/>
    <w:rsid w:val="00166B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66B2C"/>
    <w:rPr>
      <w:lang w:val="en-US"/>
    </w:rPr>
  </w:style>
  <w:style w:type="character" w:styleId="ab">
    <w:name w:val="annotation reference"/>
    <w:basedOn w:val="a0"/>
    <w:uiPriority w:val="99"/>
    <w:semiHidden/>
    <w:unhideWhenUsed/>
    <w:rsid w:val="00B62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6220F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B6220F"/>
    <w:rPr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6220F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B6220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309874-18" TargetMode="External"/><Relationship Id="rId13" Type="http://schemas.openxmlformats.org/officeDocument/2006/relationships/hyperlink" Target="https://zakon.rada.gov.ua/laws/show/922-1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0309874-18" TargetMode="External"/><Relationship Id="rId12" Type="http://schemas.openxmlformats.org/officeDocument/2006/relationships/hyperlink" Target="https://zakon.rada.gov.ua/laws/show/v0310874-1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v0310874-1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922-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922-19" TargetMode="External"/><Relationship Id="rId10" Type="http://schemas.openxmlformats.org/officeDocument/2006/relationships/hyperlink" Target="https://zakon.rada.gov.ua/laws/show/v0310874-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922-19" TargetMode="External"/><Relationship Id="rId14" Type="http://schemas.openxmlformats.org/officeDocument/2006/relationships/hyperlink" Target="https://zakon.rada.gov.ua/laws/show/v0310874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BA093-F159-44D4-8EA5-C0B5161E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16</Pages>
  <Words>22154</Words>
  <Characters>12629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34714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Пустовойтова</dc:creator>
  <cp:keywords/>
  <dc:description/>
  <cp:lastModifiedBy>Надія Пустовойтова</cp:lastModifiedBy>
  <cp:revision>11</cp:revision>
  <cp:lastPrinted>2025-03-27T07:32:00Z</cp:lastPrinted>
  <dcterms:created xsi:type="dcterms:W3CDTF">2025-03-27T13:35:00Z</dcterms:created>
  <dcterms:modified xsi:type="dcterms:W3CDTF">2025-04-03T14:24:00Z</dcterms:modified>
</cp:coreProperties>
</file>