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8B3B3" w14:textId="06EFB51F" w:rsidR="00720C9D" w:rsidRPr="0063738E" w:rsidRDefault="00720C9D" w:rsidP="00720C9D">
      <w:pPr>
        <w:shd w:val="clear" w:color="auto" w:fill="FFFFFF"/>
        <w:tabs>
          <w:tab w:val="left" w:pos="14459"/>
        </w:tabs>
        <w:spacing w:after="0" w:line="240" w:lineRule="auto"/>
        <w:ind w:right="-30"/>
        <w:jc w:val="center"/>
        <w:rPr>
          <w:rFonts w:ascii="Times New Roman" w:hAnsi="Times New Roman" w:cs="Times New Roman"/>
          <w:b/>
          <w:color w:val="000000" w:themeColor="text1"/>
        </w:rPr>
      </w:pPr>
      <w:bookmarkStart w:id="0" w:name="n281"/>
      <w:bookmarkEnd w:id="0"/>
      <w:r w:rsidRPr="0063738E">
        <w:rPr>
          <w:rFonts w:ascii="Times New Roman" w:eastAsia="Times New Roman" w:hAnsi="Times New Roman" w:cs="Times New Roman"/>
          <w:b/>
          <w:bCs/>
          <w:color w:val="000000" w:themeColor="text1"/>
          <w:lang w:eastAsia="uk-UA"/>
        </w:rPr>
        <w:t xml:space="preserve">Таблиця узгоджених позицій до проєкту </w:t>
      </w:r>
      <w:r w:rsidRPr="0063738E">
        <w:rPr>
          <w:rFonts w:ascii="Times New Roman" w:hAnsi="Times New Roman" w:cs="Times New Roman"/>
          <w:b/>
          <w:color w:val="000000" w:themeColor="text1"/>
        </w:rPr>
        <w:t xml:space="preserve">постанови НКРЕКП «Про </w:t>
      </w:r>
      <w:r w:rsidR="003C32F6">
        <w:rPr>
          <w:rFonts w:ascii="Times New Roman" w:hAnsi="Times New Roman" w:cs="Times New Roman"/>
          <w:b/>
          <w:color w:val="000000" w:themeColor="text1"/>
        </w:rPr>
        <w:t xml:space="preserve">затвердження Плану розвитку газосховищ на </w:t>
      </w:r>
      <w:r w:rsidR="003C32F6" w:rsidRPr="0063738E">
        <w:rPr>
          <w:rFonts w:ascii="Times New Roman" w:hAnsi="Times New Roman" w:cs="Times New Roman"/>
          <w:b/>
          <w:color w:val="000000" w:themeColor="text1"/>
        </w:rPr>
        <w:t>2025 – 20</w:t>
      </w:r>
      <w:r w:rsidR="00C323E5">
        <w:rPr>
          <w:rFonts w:ascii="Times New Roman" w:hAnsi="Times New Roman" w:cs="Times New Roman"/>
          <w:b/>
          <w:color w:val="000000" w:themeColor="text1"/>
        </w:rPr>
        <w:t>34</w:t>
      </w:r>
      <w:r w:rsidR="003C32F6" w:rsidRPr="0063738E">
        <w:rPr>
          <w:rFonts w:ascii="Times New Roman" w:hAnsi="Times New Roman" w:cs="Times New Roman"/>
          <w:b/>
          <w:color w:val="000000" w:themeColor="text1"/>
        </w:rPr>
        <w:t xml:space="preserve"> рок</w:t>
      </w:r>
      <w:r w:rsidR="003C32F6">
        <w:rPr>
          <w:rFonts w:ascii="Times New Roman" w:hAnsi="Times New Roman" w:cs="Times New Roman"/>
          <w:b/>
          <w:color w:val="000000" w:themeColor="text1"/>
        </w:rPr>
        <w:t>и Оператора газосховищ АТ «УКРТРАНСГАЗ»</w:t>
      </w:r>
      <w:r w:rsidRPr="0063738E">
        <w:rPr>
          <w:rFonts w:ascii="Times New Roman" w:hAnsi="Times New Roman" w:cs="Times New Roman"/>
          <w:b/>
          <w:color w:val="000000" w:themeColor="text1"/>
        </w:rPr>
        <w:t xml:space="preserve"> (далі – Проєкт постанови)</w:t>
      </w:r>
    </w:p>
    <w:p w14:paraId="4EC2CC11" w14:textId="77777777" w:rsidR="00720C9D" w:rsidRPr="0063738E" w:rsidRDefault="00720C9D" w:rsidP="00720C9D">
      <w:pPr>
        <w:shd w:val="clear" w:color="auto" w:fill="FFFFFF"/>
        <w:tabs>
          <w:tab w:val="left" w:pos="14459"/>
        </w:tabs>
        <w:spacing w:after="0" w:line="240" w:lineRule="auto"/>
        <w:ind w:right="-30"/>
        <w:jc w:val="center"/>
        <w:rPr>
          <w:rFonts w:ascii="Times New Roman" w:hAnsi="Times New Roman" w:cs="Times New Roman"/>
          <w:b/>
          <w:color w:val="000000" w:themeColor="text1"/>
          <w:sz w:val="2"/>
          <w:szCs w:val="2"/>
        </w:rPr>
      </w:pPr>
    </w:p>
    <w:tbl>
      <w:tblPr>
        <w:tblStyle w:val="ae"/>
        <w:tblW w:w="15648" w:type="dxa"/>
        <w:tblLayout w:type="fixed"/>
        <w:tblLook w:val="04A0" w:firstRow="1" w:lastRow="0" w:firstColumn="1" w:lastColumn="0" w:noHBand="0" w:noVBand="1"/>
      </w:tblPr>
      <w:tblGrid>
        <w:gridCol w:w="5216"/>
        <w:gridCol w:w="5216"/>
        <w:gridCol w:w="5216"/>
      </w:tblGrid>
      <w:tr w:rsidR="00720C9D" w:rsidRPr="0063738E" w14:paraId="5B573520" w14:textId="77777777" w:rsidTr="00C973F7">
        <w:trPr>
          <w:trHeight w:val="275"/>
        </w:trPr>
        <w:tc>
          <w:tcPr>
            <w:tcW w:w="5216" w:type="dxa"/>
          </w:tcPr>
          <w:p w14:paraId="221B938D" w14:textId="77777777" w:rsidR="00720C9D" w:rsidRPr="0063738E" w:rsidRDefault="00720C9D" w:rsidP="00720C9D">
            <w:pPr>
              <w:jc w:val="center"/>
            </w:pPr>
            <w:r w:rsidRPr="0063738E">
              <w:rPr>
                <w:rFonts w:ascii="Times New Roman" w:hAnsi="Times New Roman" w:cs="Times New Roman"/>
                <w:b/>
                <w:bCs/>
                <w:iCs/>
                <w:color w:val="000000" w:themeColor="text1"/>
                <w:shd w:val="clear" w:color="auto" w:fill="FFFFFF"/>
              </w:rPr>
              <w:t>Редакція спірної частини проекту рішення/частини проекту рішення</w:t>
            </w:r>
          </w:p>
        </w:tc>
        <w:tc>
          <w:tcPr>
            <w:tcW w:w="5216" w:type="dxa"/>
          </w:tcPr>
          <w:p w14:paraId="16F846DE" w14:textId="77777777" w:rsidR="00720C9D" w:rsidRPr="0063738E" w:rsidRDefault="00720C9D" w:rsidP="00720C9D">
            <w:pPr>
              <w:jc w:val="center"/>
            </w:pPr>
            <w:r w:rsidRPr="0063738E">
              <w:rPr>
                <w:rFonts w:ascii="Times New Roman" w:hAnsi="Times New Roman" w:cs="Times New Roman"/>
                <w:b/>
                <w:bCs/>
                <w:iCs/>
                <w:color w:val="000000" w:themeColor="text1"/>
                <w:shd w:val="clear" w:color="auto" w:fill="FFFFFF"/>
              </w:rPr>
              <w:t>Зауваження та пропозиції</w:t>
            </w:r>
          </w:p>
        </w:tc>
        <w:tc>
          <w:tcPr>
            <w:tcW w:w="5216" w:type="dxa"/>
          </w:tcPr>
          <w:p w14:paraId="4DC3606E" w14:textId="77777777" w:rsidR="00720C9D" w:rsidRPr="0063738E" w:rsidRDefault="00720C9D" w:rsidP="00720C9D">
            <w:pPr>
              <w:jc w:val="center"/>
            </w:pPr>
            <w:r w:rsidRPr="0063738E">
              <w:rPr>
                <w:rFonts w:ascii="Times New Roman" w:eastAsia="Times New Roman" w:hAnsi="Times New Roman" w:cs="Times New Roman"/>
                <w:b/>
                <w:color w:val="000000" w:themeColor="text1"/>
                <w:lang w:eastAsia="uk-UA"/>
              </w:rPr>
              <w:t>Спосіб врахування або мотиви відхилення зауважень (пропозицій)</w:t>
            </w:r>
          </w:p>
        </w:tc>
      </w:tr>
      <w:tr w:rsidR="00994519" w:rsidRPr="0063738E" w14:paraId="44CE8999" w14:textId="77777777" w:rsidTr="00C973F7">
        <w:trPr>
          <w:trHeight w:val="275"/>
        </w:trPr>
        <w:tc>
          <w:tcPr>
            <w:tcW w:w="5216" w:type="dxa"/>
          </w:tcPr>
          <w:p w14:paraId="3B9DEC4F" w14:textId="77777777" w:rsidR="00994519" w:rsidRPr="0063738E" w:rsidRDefault="00994519" w:rsidP="00720C9D">
            <w:pPr>
              <w:spacing w:line="228" w:lineRule="auto"/>
              <w:jc w:val="center"/>
              <w:rPr>
                <w:rFonts w:ascii="Times New Roman" w:eastAsia="Times New Roman" w:hAnsi="Times New Roman" w:cs="Times New Roman"/>
                <w:lang w:eastAsia="ru-RU"/>
              </w:rPr>
            </w:pPr>
            <w:r w:rsidRPr="0063738E">
              <w:rPr>
                <w:rFonts w:ascii="Times New Roman" w:eastAsia="Times New Roman" w:hAnsi="Times New Roman" w:cs="Times New Roman"/>
                <w:noProof/>
                <w:lang w:val="ru-RU" w:eastAsia="ru-RU"/>
              </w:rPr>
              <w:drawing>
                <wp:inline distT="0" distB="0" distL="0" distR="0" wp14:anchorId="745F74D0" wp14:editId="0D115311">
                  <wp:extent cx="504825" cy="704850"/>
                  <wp:effectExtent l="0" t="0" r="9525" b="0"/>
                  <wp:docPr id="1508185204" name="Рисунок 1508185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14:paraId="347F6AD1" w14:textId="77777777" w:rsidR="00994519" w:rsidRPr="0063738E" w:rsidRDefault="00994519" w:rsidP="00720C9D">
            <w:pPr>
              <w:spacing w:line="228" w:lineRule="auto"/>
              <w:jc w:val="center"/>
              <w:rPr>
                <w:rFonts w:ascii="Times New Roman" w:eastAsia="Times New Roman" w:hAnsi="Times New Roman" w:cs="Times New Roman"/>
                <w:lang w:eastAsia="ru-RU"/>
              </w:rPr>
            </w:pPr>
          </w:p>
          <w:p w14:paraId="17319EC8" w14:textId="77777777" w:rsidR="00994519" w:rsidRPr="0063738E" w:rsidRDefault="00994519" w:rsidP="00720C9D">
            <w:pPr>
              <w:spacing w:line="228" w:lineRule="auto"/>
              <w:jc w:val="center"/>
              <w:rPr>
                <w:rFonts w:ascii="Times New Roman" w:eastAsia="Times New Roman" w:hAnsi="Times New Roman" w:cs="Times New Roman"/>
                <w:b/>
                <w:lang w:eastAsia="ru-RU"/>
              </w:rPr>
            </w:pPr>
            <w:r w:rsidRPr="0063738E">
              <w:rPr>
                <w:rFonts w:ascii="Times New Roman" w:eastAsia="Times New Roman" w:hAnsi="Times New Roman" w:cs="Times New Roman"/>
                <w:b/>
                <w:lang w:eastAsia="ru-RU"/>
              </w:rPr>
              <w:t xml:space="preserve">НАЦІОНАЛЬНА КОМІСІЯ, ЩО ЗДІЙСНЮЄ ДЕРЖАВНЕ </w:t>
            </w:r>
          </w:p>
          <w:p w14:paraId="65A523BD" w14:textId="77777777" w:rsidR="00994519" w:rsidRPr="0063738E" w:rsidRDefault="00994519" w:rsidP="00720C9D">
            <w:pPr>
              <w:spacing w:line="228" w:lineRule="auto"/>
              <w:jc w:val="center"/>
              <w:rPr>
                <w:rFonts w:ascii="Times New Roman" w:eastAsia="Times New Roman" w:hAnsi="Times New Roman" w:cs="Times New Roman"/>
                <w:b/>
                <w:lang w:eastAsia="ru-RU"/>
              </w:rPr>
            </w:pPr>
            <w:r w:rsidRPr="0063738E">
              <w:rPr>
                <w:rFonts w:ascii="Times New Roman" w:eastAsia="Times New Roman" w:hAnsi="Times New Roman" w:cs="Times New Roman"/>
                <w:b/>
                <w:lang w:eastAsia="ru-RU"/>
              </w:rPr>
              <w:t xml:space="preserve">РЕГУЛЮВАННЯ У СФЕРАХ ЕНЕРГЕТИКИ </w:t>
            </w:r>
          </w:p>
          <w:p w14:paraId="0B58F5A3" w14:textId="77777777" w:rsidR="00994519" w:rsidRPr="0063738E" w:rsidRDefault="00994519" w:rsidP="00720C9D">
            <w:pPr>
              <w:spacing w:line="228" w:lineRule="auto"/>
              <w:jc w:val="center"/>
              <w:rPr>
                <w:rFonts w:ascii="Times New Roman" w:eastAsia="Times New Roman" w:hAnsi="Times New Roman" w:cs="Times New Roman"/>
                <w:b/>
                <w:lang w:eastAsia="ru-RU"/>
              </w:rPr>
            </w:pPr>
            <w:r w:rsidRPr="0063738E">
              <w:rPr>
                <w:rFonts w:ascii="Times New Roman" w:eastAsia="Times New Roman" w:hAnsi="Times New Roman" w:cs="Times New Roman"/>
                <w:b/>
                <w:lang w:eastAsia="ru-RU"/>
              </w:rPr>
              <w:t>ТА КОМУНАЛЬНИХ ПОСЛУГ</w:t>
            </w:r>
          </w:p>
          <w:p w14:paraId="6ED417DF" w14:textId="77777777" w:rsidR="00994519" w:rsidRPr="0063738E" w:rsidRDefault="00994519" w:rsidP="00720C9D">
            <w:pPr>
              <w:spacing w:line="228" w:lineRule="auto"/>
              <w:jc w:val="center"/>
              <w:rPr>
                <w:rFonts w:ascii="Times New Roman" w:eastAsia="Times New Roman" w:hAnsi="Times New Roman" w:cs="Times New Roman"/>
                <w:b/>
                <w:u w:val="single"/>
                <w:lang w:eastAsia="ru-RU"/>
              </w:rPr>
            </w:pPr>
            <w:r w:rsidRPr="0063738E">
              <w:rPr>
                <w:rFonts w:ascii="Times New Roman" w:eastAsia="Times New Roman" w:hAnsi="Times New Roman" w:cs="Times New Roman"/>
                <w:b/>
                <w:lang w:eastAsia="ru-RU"/>
              </w:rPr>
              <w:t>(НКРЕКП)</w:t>
            </w:r>
          </w:p>
          <w:p w14:paraId="59A4C5EA" w14:textId="77777777" w:rsidR="00994519" w:rsidRPr="0063738E" w:rsidRDefault="00994519" w:rsidP="00720C9D">
            <w:pPr>
              <w:spacing w:line="228" w:lineRule="auto"/>
              <w:jc w:val="center"/>
              <w:rPr>
                <w:rFonts w:ascii="Times New Roman" w:eastAsia="Times New Roman" w:hAnsi="Times New Roman" w:cs="Times New Roman"/>
                <w:spacing w:val="40"/>
                <w:lang w:eastAsia="ru-RU"/>
              </w:rPr>
            </w:pPr>
          </w:p>
          <w:p w14:paraId="21497E3F" w14:textId="77777777" w:rsidR="00994519" w:rsidRPr="0063738E" w:rsidRDefault="00994519" w:rsidP="00720C9D">
            <w:pPr>
              <w:spacing w:line="228" w:lineRule="auto"/>
              <w:jc w:val="center"/>
              <w:rPr>
                <w:rFonts w:ascii="Times New Roman" w:eastAsia="Times New Roman" w:hAnsi="Times New Roman" w:cs="Times New Roman"/>
                <w:b/>
                <w:spacing w:val="32"/>
                <w:lang w:eastAsia="ru-RU"/>
              </w:rPr>
            </w:pPr>
            <w:r w:rsidRPr="0063738E">
              <w:rPr>
                <w:rFonts w:ascii="Times New Roman" w:eastAsia="Times New Roman" w:hAnsi="Times New Roman" w:cs="Times New Roman"/>
                <w:b/>
                <w:spacing w:val="32"/>
                <w:lang w:eastAsia="ru-RU"/>
              </w:rPr>
              <w:t>ПОСТАНОВА</w:t>
            </w:r>
          </w:p>
          <w:p w14:paraId="1B7D015E" w14:textId="77777777" w:rsidR="00994519" w:rsidRPr="0063738E" w:rsidRDefault="00994519" w:rsidP="00720C9D">
            <w:pPr>
              <w:spacing w:line="228" w:lineRule="auto"/>
              <w:rPr>
                <w:rFonts w:ascii="Times New Roman" w:eastAsia="Times New Roman" w:hAnsi="Times New Roman" w:cs="Times New Roman"/>
                <w:lang w:eastAsia="ru-RU"/>
              </w:rPr>
            </w:pPr>
            <w:r w:rsidRPr="0063738E">
              <w:rPr>
                <w:rFonts w:ascii="Times New Roman" w:eastAsia="Times New Roman" w:hAnsi="Times New Roman" w:cs="Times New Roman"/>
                <w:lang w:eastAsia="ru-RU"/>
              </w:rPr>
              <w:tab/>
            </w:r>
            <w:r w:rsidRPr="0063738E">
              <w:rPr>
                <w:rFonts w:ascii="Times New Roman" w:eastAsia="Times New Roman" w:hAnsi="Times New Roman" w:cs="Times New Roman"/>
                <w:lang w:eastAsia="ru-RU"/>
              </w:rPr>
              <w:tab/>
            </w:r>
            <w:r w:rsidRPr="0063738E">
              <w:rPr>
                <w:rFonts w:ascii="Times New Roman" w:eastAsia="Times New Roman" w:hAnsi="Times New Roman" w:cs="Times New Roman"/>
                <w:lang w:eastAsia="ru-RU"/>
              </w:rPr>
              <w:tab/>
            </w:r>
            <w:r w:rsidRPr="0063738E">
              <w:rPr>
                <w:rFonts w:ascii="Times New Roman" w:eastAsia="Times New Roman" w:hAnsi="Times New Roman" w:cs="Times New Roman"/>
                <w:lang w:eastAsia="ru-RU"/>
              </w:rPr>
              <w:tab/>
            </w:r>
            <w:r w:rsidRPr="0063738E">
              <w:rPr>
                <w:rFonts w:ascii="Times New Roman" w:eastAsia="Times New Roman" w:hAnsi="Times New Roman" w:cs="Times New Roman"/>
                <w:lang w:eastAsia="ru-RU"/>
              </w:rPr>
              <w:tab/>
            </w:r>
          </w:p>
          <w:p w14:paraId="25AA3BC2" w14:textId="189E3973" w:rsidR="00994519" w:rsidRPr="0063738E" w:rsidRDefault="00994519" w:rsidP="009E71BC">
            <w:pPr>
              <w:spacing w:line="228" w:lineRule="auto"/>
              <w:rPr>
                <w:rFonts w:ascii="Times New Roman" w:eastAsia="Times New Roman" w:hAnsi="Times New Roman" w:cs="Times New Roman"/>
                <w:lang w:eastAsia="ru-RU"/>
              </w:rPr>
            </w:pPr>
            <w:r w:rsidRPr="0063738E">
              <w:rPr>
                <w:rFonts w:ascii="Times New Roman" w:eastAsia="Times New Roman" w:hAnsi="Times New Roman" w:cs="Times New Roman"/>
                <w:lang w:eastAsia="ru-RU"/>
              </w:rPr>
              <w:t>____________               Київ                 № ___________</w:t>
            </w:r>
          </w:p>
          <w:p w14:paraId="0EC33555" w14:textId="77777777" w:rsidR="00994519" w:rsidRPr="0063738E" w:rsidRDefault="00994519" w:rsidP="00720C9D">
            <w:pPr>
              <w:spacing w:line="228" w:lineRule="auto"/>
              <w:rPr>
                <w:rFonts w:ascii="Times New Roman" w:eastAsia="Times New Roman" w:hAnsi="Times New Roman" w:cs="Times New Roman"/>
                <w:lang w:eastAsia="ru-RU"/>
              </w:rPr>
            </w:pPr>
            <w:r w:rsidRPr="0063738E">
              <w:rPr>
                <w:rFonts w:ascii="Times New Roman" w:eastAsia="Times New Roman" w:hAnsi="Times New Roman" w:cs="Times New Roman"/>
                <w:lang w:eastAsia="ru-RU"/>
              </w:rPr>
              <w:t xml:space="preserve">                                                                  </w:t>
            </w:r>
          </w:p>
          <w:p w14:paraId="71E1A5AA" w14:textId="77777777" w:rsidR="00994519" w:rsidRPr="0063738E" w:rsidRDefault="00994519" w:rsidP="00720C9D">
            <w:pPr>
              <w:spacing w:line="228" w:lineRule="auto"/>
              <w:jc w:val="center"/>
              <w:rPr>
                <w:rFonts w:ascii="Times New Roman" w:eastAsia="Times New Roman" w:hAnsi="Times New Roman" w:cs="Times New Roman"/>
                <w:spacing w:val="40"/>
                <w:lang w:eastAsia="ru-RU"/>
              </w:rPr>
            </w:pPr>
          </w:p>
          <w:p w14:paraId="789D55E7" w14:textId="77777777" w:rsidR="00994519" w:rsidRPr="0063738E" w:rsidRDefault="00994519" w:rsidP="00720C9D">
            <w:pPr>
              <w:spacing w:line="228" w:lineRule="auto"/>
              <w:ind w:right="5670"/>
              <w:jc w:val="both"/>
              <w:rPr>
                <w:rFonts w:ascii="Times New Roman" w:eastAsia="Times New Roman" w:hAnsi="Times New Roman" w:cs="Times New Roman"/>
                <w:lang w:eastAsia="ru-RU"/>
              </w:rPr>
            </w:pPr>
          </w:p>
          <w:p w14:paraId="46F57588" w14:textId="77777777" w:rsidR="00994519" w:rsidRPr="0063738E" w:rsidRDefault="00994519" w:rsidP="00720C9D">
            <w:pPr>
              <w:spacing w:line="228" w:lineRule="auto"/>
              <w:ind w:right="5670"/>
              <w:jc w:val="both"/>
              <w:rPr>
                <w:rFonts w:ascii="Times New Roman" w:eastAsia="Times New Roman" w:hAnsi="Times New Roman" w:cs="Times New Roman"/>
                <w:lang w:eastAsia="ru-RU"/>
              </w:rPr>
            </w:pPr>
          </w:p>
          <w:p w14:paraId="68B1015C"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r w:rsidRPr="003C32F6">
              <w:rPr>
                <w:rFonts w:ascii="Times New Roman" w:eastAsia="Times New Roman" w:hAnsi="Times New Roman" w:cs="Times New Roman"/>
                <w:bCs/>
                <w:color w:val="000000" w:themeColor="text1"/>
                <w:lang w:eastAsia="uk-UA"/>
              </w:rPr>
              <w:t xml:space="preserve">Про затвердження Плану розвитку </w:t>
            </w:r>
          </w:p>
          <w:p w14:paraId="698E26D9"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r w:rsidRPr="003C32F6">
              <w:rPr>
                <w:rFonts w:ascii="Times New Roman" w:eastAsia="Times New Roman" w:hAnsi="Times New Roman" w:cs="Times New Roman"/>
                <w:bCs/>
                <w:color w:val="000000" w:themeColor="text1"/>
                <w:lang w:eastAsia="uk-UA"/>
              </w:rPr>
              <w:t>газосховищ на 2025 – 2034 роки</w:t>
            </w:r>
          </w:p>
          <w:p w14:paraId="0D75396A"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r w:rsidRPr="003C32F6">
              <w:rPr>
                <w:rFonts w:ascii="Times New Roman" w:eastAsia="Times New Roman" w:hAnsi="Times New Roman" w:cs="Times New Roman"/>
                <w:bCs/>
                <w:color w:val="000000" w:themeColor="text1"/>
                <w:lang w:eastAsia="uk-UA"/>
              </w:rPr>
              <w:t xml:space="preserve">Оператора газосховищ </w:t>
            </w:r>
          </w:p>
          <w:p w14:paraId="65283E2B"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r w:rsidRPr="003C32F6">
              <w:rPr>
                <w:rFonts w:ascii="Times New Roman" w:eastAsia="Times New Roman" w:hAnsi="Times New Roman" w:cs="Times New Roman"/>
                <w:bCs/>
                <w:color w:val="000000" w:themeColor="text1"/>
                <w:lang w:eastAsia="uk-UA"/>
              </w:rPr>
              <w:t xml:space="preserve">АТ «УКРТРАНСГАЗ» </w:t>
            </w:r>
          </w:p>
          <w:p w14:paraId="53E5ED55"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p>
          <w:p w14:paraId="36CEBD6E"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p>
          <w:p w14:paraId="3445FFDA"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r w:rsidRPr="003C32F6">
              <w:rPr>
                <w:rFonts w:ascii="Times New Roman" w:eastAsia="Times New Roman" w:hAnsi="Times New Roman" w:cs="Times New Roman"/>
                <w:bCs/>
                <w:color w:val="000000" w:themeColor="text1"/>
                <w:lang w:eastAsia="uk-UA"/>
              </w:rPr>
              <w:t xml:space="preserve">Відповідно до законів України «Про Національну комісію, що здійснює державне регулювання у сферах енергетики та комунальних послуг» та «Про ринок природного газу», Кодексу газосховищ, затвердженого постановою Національної комісії, що здійснює державне регулювання у сферах енергетики та комунальних послуг, від 30 вересня 2015 року № 2495, зареєстрованого в Міністерстві юстиції України 06 </w:t>
            </w:r>
            <w:r w:rsidRPr="003C32F6">
              <w:rPr>
                <w:rFonts w:ascii="Times New Roman" w:eastAsia="Times New Roman" w:hAnsi="Times New Roman" w:cs="Times New Roman"/>
                <w:bCs/>
                <w:color w:val="000000" w:themeColor="text1"/>
                <w:lang w:eastAsia="uk-UA"/>
              </w:rPr>
              <w:lastRenderedPageBreak/>
              <w:t>листопада 2015 року за № 1380/27825, Національна комісія, що здійснює державне регулювання у сферах енергетики та комунальних послуг,</w:t>
            </w:r>
          </w:p>
          <w:p w14:paraId="7C750E55"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p>
          <w:p w14:paraId="31B3BF4D"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p>
          <w:p w14:paraId="57BEC084"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r w:rsidRPr="003C32F6">
              <w:rPr>
                <w:rFonts w:ascii="Times New Roman" w:eastAsia="Times New Roman" w:hAnsi="Times New Roman" w:cs="Times New Roman"/>
                <w:bCs/>
                <w:color w:val="000000" w:themeColor="text1"/>
                <w:lang w:eastAsia="uk-UA"/>
              </w:rPr>
              <w:t>ПОСТАНОВЛЯЄ:</w:t>
            </w:r>
          </w:p>
          <w:p w14:paraId="4BEC7619"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p>
          <w:p w14:paraId="497B775F"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p>
          <w:p w14:paraId="209F4CA2" w14:textId="51EDBBFD"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r w:rsidRPr="003C32F6">
              <w:rPr>
                <w:rFonts w:ascii="Times New Roman" w:eastAsia="Times New Roman" w:hAnsi="Times New Roman" w:cs="Times New Roman"/>
                <w:bCs/>
                <w:color w:val="000000" w:themeColor="text1"/>
                <w:lang w:eastAsia="uk-UA"/>
              </w:rPr>
              <w:t xml:space="preserve">       Затвердити План розвитку газосховищ на 2025 – 2034 роки Оператора газосховищ АКЦІОНЕРНОГО</w:t>
            </w:r>
            <w:r>
              <w:rPr>
                <w:rFonts w:ascii="Times New Roman" w:eastAsia="Times New Roman" w:hAnsi="Times New Roman" w:cs="Times New Roman"/>
                <w:bCs/>
                <w:color w:val="000000" w:themeColor="text1"/>
                <w:lang w:eastAsia="uk-UA"/>
              </w:rPr>
              <w:t xml:space="preserve"> </w:t>
            </w:r>
            <w:r w:rsidRPr="003C32F6">
              <w:rPr>
                <w:rFonts w:ascii="Times New Roman" w:eastAsia="Times New Roman" w:hAnsi="Times New Roman" w:cs="Times New Roman"/>
                <w:bCs/>
                <w:color w:val="000000" w:themeColor="text1"/>
                <w:lang w:eastAsia="uk-UA"/>
              </w:rPr>
              <w:t xml:space="preserve">ТОВАРИСТВА «УКРТРАНСГАЗ» та джерела його фінансування за розділами згідно з додатком до цієї постанови. </w:t>
            </w:r>
          </w:p>
          <w:p w14:paraId="1A4BA384"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p>
          <w:p w14:paraId="62CCCF6D"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p>
          <w:p w14:paraId="663E6595"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p>
          <w:p w14:paraId="02CBEEEF" w14:textId="77777777"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p>
          <w:p w14:paraId="6499E638" w14:textId="7D4BCB0E" w:rsidR="003C32F6" w:rsidRPr="003C32F6" w:rsidRDefault="003C32F6" w:rsidP="003C32F6">
            <w:pPr>
              <w:ind w:left="27" w:right="85" w:firstLine="567"/>
              <w:contextualSpacing/>
              <w:jc w:val="both"/>
              <w:rPr>
                <w:rFonts w:ascii="Times New Roman" w:eastAsia="Times New Roman" w:hAnsi="Times New Roman" w:cs="Times New Roman"/>
                <w:bCs/>
                <w:color w:val="000000" w:themeColor="text1"/>
                <w:lang w:eastAsia="uk-UA"/>
              </w:rPr>
            </w:pPr>
            <w:r w:rsidRPr="003C32F6">
              <w:rPr>
                <w:rFonts w:ascii="Times New Roman" w:eastAsia="Times New Roman" w:hAnsi="Times New Roman" w:cs="Times New Roman"/>
                <w:bCs/>
                <w:color w:val="000000" w:themeColor="text1"/>
                <w:lang w:eastAsia="uk-UA"/>
              </w:rPr>
              <w:t>Голова НКРЕКП</w:t>
            </w:r>
            <w:r w:rsidRPr="003C32F6">
              <w:rPr>
                <w:rFonts w:ascii="Times New Roman" w:eastAsia="Times New Roman" w:hAnsi="Times New Roman" w:cs="Times New Roman"/>
                <w:bCs/>
                <w:color w:val="000000" w:themeColor="text1"/>
                <w:lang w:eastAsia="uk-UA"/>
              </w:rPr>
              <w:tab/>
              <w:t>Юрій ВЛАСЕНКО</w:t>
            </w:r>
          </w:p>
          <w:p w14:paraId="1B4A82F5" w14:textId="77777777" w:rsidR="00617558" w:rsidRPr="003C32F6" w:rsidRDefault="00617558" w:rsidP="003C32F6">
            <w:pPr>
              <w:ind w:left="27" w:right="85" w:firstLine="567"/>
              <w:contextualSpacing/>
              <w:jc w:val="both"/>
              <w:rPr>
                <w:rFonts w:ascii="Times New Roman" w:eastAsia="Times New Roman" w:hAnsi="Times New Roman" w:cs="Times New Roman"/>
                <w:bCs/>
                <w:color w:val="000000" w:themeColor="text1"/>
                <w:lang w:eastAsia="uk-UA"/>
              </w:rPr>
            </w:pPr>
          </w:p>
          <w:p w14:paraId="148EA010" w14:textId="2851B825" w:rsidR="00617558" w:rsidRDefault="00617558" w:rsidP="00720C9D">
            <w:pPr>
              <w:rPr>
                <w:noProof/>
              </w:rPr>
            </w:pPr>
          </w:p>
          <w:p w14:paraId="3E9F3BFC" w14:textId="441B2F38" w:rsidR="00F0629B" w:rsidRPr="00F0629B" w:rsidRDefault="003C32F6" w:rsidP="00F0629B">
            <w:r w:rsidRPr="003C32F6">
              <w:rPr>
                <w:noProof/>
              </w:rPr>
              <w:lastRenderedPageBreak/>
              <w:drawing>
                <wp:inline distT="0" distB="0" distL="0" distR="0" wp14:anchorId="68D745C8" wp14:editId="1F970A19">
                  <wp:extent cx="3171825" cy="3905250"/>
                  <wp:effectExtent l="0" t="0" r="9525" b="0"/>
                  <wp:docPr id="3430261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71825" cy="3905250"/>
                          </a:xfrm>
                          <a:prstGeom prst="rect">
                            <a:avLst/>
                          </a:prstGeom>
                          <a:noFill/>
                          <a:ln>
                            <a:noFill/>
                          </a:ln>
                        </pic:spPr>
                      </pic:pic>
                    </a:graphicData>
                  </a:graphic>
                </wp:inline>
              </w:drawing>
            </w:r>
          </w:p>
          <w:p w14:paraId="7DCD18E5" w14:textId="77777777" w:rsidR="00F0629B" w:rsidRDefault="00F0629B" w:rsidP="00F0629B">
            <w:pPr>
              <w:rPr>
                <w:noProof/>
              </w:rPr>
            </w:pPr>
          </w:p>
          <w:p w14:paraId="40410E0A" w14:textId="77777777" w:rsidR="00F0629B" w:rsidRDefault="00F0629B" w:rsidP="00F0629B">
            <w:pPr>
              <w:rPr>
                <w:noProof/>
              </w:rPr>
            </w:pPr>
          </w:p>
          <w:p w14:paraId="1AC4716C" w14:textId="64395FE1" w:rsidR="00F0629B" w:rsidRDefault="00F0629B" w:rsidP="00F0629B">
            <w:pPr>
              <w:rPr>
                <w:noProof/>
              </w:rPr>
            </w:pPr>
          </w:p>
          <w:p w14:paraId="08201CE6" w14:textId="53015515" w:rsidR="00882AE3" w:rsidRDefault="00882AE3" w:rsidP="00F0629B">
            <w:pPr>
              <w:rPr>
                <w:noProof/>
              </w:rPr>
            </w:pPr>
          </w:p>
          <w:p w14:paraId="7529E2F0" w14:textId="62F408FF" w:rsidR="00882AE3" w:rsidRDefault="00882AE3" w:rsidP="00F0629B">
            <w:pPr>
              <w:rPr>
                <w:noProof/>
              </w:rPr>
            </w:pPr>
          </w:p>
          <w:p w14:paraId="470A098F" w14:textId="671D9481" w:rsidR="00882AE3" w:rsidRDefault="00882AE3" w:rsidP="00F0629B">
            <w:pPr>
              <w:rPr>
                <w:noProof/>
              </w:rPr>
            </w:pPr>
          </w:p>
          <w:p w14:paraId="74D705BB" w14:textId="7803D436" w:rsidR="00882AE3" w:rsidRDefault="00882AE3" w:rsidP="00F0629B">
            <w:pPr>
              <w:rPr>
                <w:noProof/>
              </w:rPr>
            </w:pPr>
          </w:p>
          <w:p w14:paraId="45F1106E" w14:textId="4C102CB1" w:rsidR="00882AE3" w:rsidRDefault="00882AE3" w:rsidP="00F0629B">
            <w:pPr>
              <w:rPr>
                <w:noProof/>
              </w:rPr>
            </w:pPr>
          </w:p>
          <w:p w14:paraId="238F6F40" w14:textId="07D3DA4C" w:rsidR="00882AE3" w:rsidRDefault="00882AE3" w:rsidP="00F0629B">
            <w:pPr>
              <w:rPr>
                <w:noProof/>
              </w:rPr>
            </w:pPr>
          </w:p>
          <w:p w14:paraId="656A3C6C" w14:textId="379CD885" w:rsidR="00882AE3" w:rsidRDefault="00882AE3" w:rsidP="00F0629B">
            <w:pPr>
              <w:rPr>
                <w:noProof/>
              </w:rPr>
            </w:pPr>
          </w:p>
          <w:p w14:paraId="0D13A64D" w14:textId="77777777" w:rsidR="00882AE3" w:rsidRDefault="00882AE3" w:rsidP="00F0629B">
            <w:pPr>
              <w:rPr>
                <w:noProof/>
              </w:rPr>
            </w:pPr>
          </w:p>
          <w:p w14:paraId="7D400343" w14:textId="77777777" w:rsidR="00F0629B" w:rsidRPr="00F0629B" w:rsidRDefault="00F0629B" w:rsidP="00F0629B">
            <w:pPr>
              <w:tabs>
                <w:tab w:val="left" w:pos="1425"/>
              </w:tabs>
            </w:pPr>
            <w:r>
              <w:tab/>
            </w:r>
          </w:p>
        </w:tc>
        <w:tc>
          <w:tcPr>
            <w:tcW w:w="5216" w:type="dxa"/>
          </w:tcPr>
          <w:p w14:paraId="056AC9AE" w14:textId="77777777" w:rsidR="001A5F5D" w:rsidRPr="00C323E5" w:rsidRDefault="001A5F5D" w:rsidP="001A5F5D">
            <w:pPr>
              <w:ind w:left="27" w:right="85" w:firstLine="567"/>
              <w:contextualSpacing/>
              <w:jc w:val="both"/>
              <w:rPr>
                <w:rFonts w:ascii="Times New Roman" w:eastAsia="Times New Roman" w:hAnsi="Times New Roman" w:cs="Times New Roman"/>
                <w:b/>
                <w:i/>
                <w:iCs/>
                <w:color w:val="000000" w:themeColor="text1"/>
                <w:lang w:eastAsia="uk-UA"/>
              </w:rPr>
            </w:pPr>
            <w:r w:rsidRPr="00C323E5">
              <w:rPr>
                <w:rFonts w:ascii="Times New Roman" w:eastAsia="Times New Roman" w:hAnsi="Times New Roman" w:cs="Times New Roman"/>
                <w:b/>
                <w:i/>
                <w:iCs/>
                <w:color w:val="000000" w:themeColor="text1"/>
                <w:lang w:eastAsia="uk-UA"/>
              </w:rPr>
              <w:lastRenderedPageBreak/>
              <w:t xml:space="preserve">Олег </w:t>
            </w:r>
            <w:proofErr w:type="spellStart"/>
            <w:r w:rsidRPr="00C323E5">
              <w:rPr>
                <w:rFonts w:ascii="Times New Roman" w:eastAsia="Times New Roman" w:hAnsi="Times New Roman" w:cs="Times New Roman"/>
                <w:b/>
                <w:i/>
                <w:iCs/>
                <w:color w:val="000000" w:themeColor="text1"/>
                <w:lang w:eastAsia="uk-UA"/>
              </w:rPr>
              <w:t>Бакулін</w:t>
            </w:r>
            <w:proofErr w:type="spellEnd"/>
          </w:p>
          <w:p w14:paraId="6303EE60" w14:textId="77777777" w:rsidR="001A5F5D" w:rsidRPr="00C323E5" w:rsidRDefault="001A5F5D" w:rsidP="001A5F5D">
            <w:pPr>
              <w:spacing w:before="100" w:beforeAutospacing="1" w:line="240" w:lineRule="auto"/>
              <w:ind w:right="85" w:firstLine="488"/>
              <w:contextualSpacing/>
              <w:jc w:val="both"/>
              <w:rPr>
                <w:rFonts w:ascii="Times New Roman" w:eastAsia="Times New Roman" w:hAnsi="Times New Roman" w:cs="Times New Roman"/>
                <w:bCs/>
                <w:i/>
                <w:iCs/>
                <w:color w:val="000000" w:themeColor="text1"/>
                <w:lang w:eastAsia="uk-UA"/>
              </w:rPr>
            </w:pPr>
            <w:r w:rsidRPr="00C323E5">
              <w:rPr>
                <w:rFonts w:ascii="Times New Roman" w:eastAsia="Times New Roman" w:hAnsi="Times New Roman" w:cs="Times New Roman"/>
                <w:bCs/>
                <w:i/>
                <w:iCs/>
                <w:color w:val="000000" w:themeColor="text1"/>
                <w:lang w:eastAsia="uk-UA"/>
              </w:rPr>
              <w:t>ПРОПОЗИЦІЇ</w:t>
            </w:r>
          </w:p>
          <w:p w14:paraId="3A78F3B4" w14:textId="77777777" w:rsidR="001A5F5D" w:rsidRDefault="001A5F5D" w:rsidP="001A5F5D">
            <w:pPr>
              <w:spacing w:before="100" w:beforeAutospacing="1" w:line="240" w:lineRule="auto"/>
              <w:ind w:right="85" w:firstLine="488"/>
              <w:contextualSpacing/>
              <w:jc w:val="both"/>
              <w:rPr>
                <w:rFonts w:ascii="Times New Roman" w:hAnsi="Times New Roman" w:cs="Times New Roman"/>
              </w:rPr>
            </w:pPr>
            <w:r w:rsidRPr="001A5F5D">
              <w:rPr>
                <w:rFonts w:ascii="Times New Roman" w:hAnsi="Times New Roman" w:cs="Times New Roman"/>
              </w:rPr>
              <w:t>26 лютого 2025 року Національна комісія, що здійснює державне регулювання у сферах</w:t>
            </w:r>
            <w:r w:rsidRPr="001A5F5D">
              <w:rPr>
                <w:rFonts w:ascii="Times New Roman" w:hAnsi="Times New Roman" w:cs="Times New Roman"/>
              </w:rPr>
              <w:br/>
              <w:t>енергетики та комунальних послуг, оприлюднила проєкт постанови НКРЕКП «Про затвердження</w:t>
            </w:r>
            <w:r w:rsidRPr="001A5F5D">
              <w:rPr>
                <w:rFonts w:ascii="Times New Roman" w:hAnsi="Times New Roman" w:cs="Times New Roman"/>
              </w:rPr>
              <w:br/>
              <w:t>Плану розвитку газосховищ на 2025 – 2034 роки        Оператора газосховищ АТ «УКРТРАНСГАЗ».</w:t>
            </w:r>
          </w:p>
          <w:p w14:paraId="792B99FD" w14:textId="77777777" w:rsidR="001A5F5D" w:rsidRDefault="001A5F5D" w:rsidP="001A5F5D">
            <w:pPr>
              <w:spacing w:before="100" w:beforeAutospacing="1" w:line="240" w:lineRule="auto"/>
              <w:ind w:right="85" w:firstLine="488"/>
              <w:contextualSpacing/>
              <w:jc w:val="both"/>
              <w:rPr>
                <w:rFonts w:ascii="Times New Roman" w:hAnsi="Times New Roman" w:cs="Times New Roman"/>
              </w:rPr>
            </w:pPr>
            <w:r w:rsidRPr="001A5F5D">
              <w:rPr>
                <w:rFonts w:ascii="Times New Roman" w:hAnsi="Times New Roman" w:cs="Times New Roman"/>
              </w:rPr>
              <w:t>Основними напрямками Плану розвитку газосховищ на перший рік (інвестиційної</w:t>
            </w:r>
            <w:r>
              <w:rPr>
                <w:rFonts w:ascii="Times New Roman" w:hAnsi="Times New Roman" w:cs="Times New Roman"/>
              </w:rPr>
              <w:t xml:space="preserve"> </w:t>
            </w:r>
            <w:r w:rsidRPr="001A5F5D">
              <w:rPr>
                <w:rFonts w:ascii="Times New Roman" w:hAnsi="Times New Roman" w:cs="Times New Roman"/>
              </w:rPr>
              <w:t>програми на 2025 рік) десятирічного плану розвитку, є фінансування на: підземні сховища газу;</w:t>
            </w:r>
            <w:r>
              <w:rPr>
                <w:rFonts w:ascii="Times New Roman" w:hAnsi="Times New Roman" w:cs="Times New Roman"/>
              </w:rPr>
              <w:t xml:space="preserve"> </w:t>
            </w:r>
            <w:r w:rsidRPr="001A5F5D">
              <w:rPr>
                <w:rFonts w:ascii="Times New Roman" w:hAnsi="Times New Roman" w:cs="Times New Roman"/>
              </w:rPr>
              <w:t>експлуатацію газосховищ; модернізацію та закупівлю транспортних засобів, спеціальних машин</w:t>
            </w:r>
            <w:r>
              <w:rPr>
                <w:rFonts w:ascii="Times New Roman" w:hAnsi="Times New Roman" w:cs="Times New Roman"/>
              </w:rPr>
              <w:t xml:space="preserve"> </w:t>
            </w:r>
            <w:r w:rsidRPr="001A5F5D">
              <w:rPr>
                <w:rFonts w:ascii="Times New Roman" w:hAnsi="Times New Roman" w:cs="Times New Roman"/>
              </w:rPr>
              <w:t>та механізмів; придбання приладів діагностики і обстеження та інших приладів; будівлі</w:t>
            </w:r>
            <w:r>
              <w:rPr>
                <w:rFonts w:ascii="Times New Roman" w:hAnsi="Times New Roman" w:cs="Times New Roman"/>
              </w:rPr>
              <w:t xml:space="preserve"> </w:t>
            </w:r>
            <w:r w:rsidRPr="001A5F5D">
              <w:rPr>
                <w:rFonts w:ascii="Times New Roman" w:hAnsi="Times New Roman" w:cs="Times New Roman"/>
              </w:rPr>
              <w:t>виробничого та адміністративного призначення.</w:t>
            </w:r>
          </w:p>
          <w:p w14:paraId="574C4321" w14:textId="77777777" w:rsidR="001A5F5D" w:rsidRDefault="001A5F5D" w:rsidP="001A5F5D">
            <w:pPr>
              <w:spacing w:before="100" w:beforeAutospacing="1" w:line="240" w:lineRule="auto"/>
              <w:ind w:right="85" w:firstLine="488"/>
              <w:contextualSpacing/>
              <w:jc w:val="both"/>
              <w:rPr>
                <w:rFonts w:ascii="Times New Roman" w:hAnsi="Times New Roman" w:cs="Times New Roman"/>
              </w:rPr>
            </w:pPr>
            <w:r w:rsidRPr="001A5F5D">
              <w:rPr>
                <w:rFonts w:ascii="Times New Roman" w:hAnsi="Times New Roman" w:cs="Times New Roman"/>
              </w:rPr>
              <w:t>Загальний розмір фінансування встановлюється у розмірі 31 040 547 000 грн.</w:t>
            </w:r>
          </w:p>
          <w:p w14:paraId="6C841502" w14:textId="77777777" w:rsidR="001A5F5D" w:rsidRDefault="001A5F5D" w:rsidP="001A5F5D">
            <w:pPr>
              <w:spacing w:before="100" w:beforeAutospacing="1" w:line="240" w:lineRule="auto"/>
              <w:ind w:right="85" w:firstLine="488"/>
              <w:contextualSpacing/>
              <w:jc w:val="both"/>
              <w:rPr>
                <w:rFonts w:ascii="Times New Roman" w:hAnsi="Times New Roman" w:cs="Times New Roman"/>
              </w:rPr>
            </w:pPr>
          </w:p>
          <w:p w14:paraId="2FFDE765" w14:textId="77777777" w:rsidR="001A5F5D" w:rsidRDefault="001A5F5D" w:rsidP="001A5F5D">
            <w:pPr>
              <w:spacing w:before="100" w:beforeAutospacing="1" w:line="240" w:lineRule="auto"/>
              <w:ind w:right="85" w:firstLine="488"/>
              <w:contextualSpacing/>
              <w:jc w:val="both"/>
              <w:rPr>
                <w:rFonts w:ascii="Times New Roman" w:hAnsi="Times New Roman" w:cs="Times New Roman"/>
                <w:b/>
                <w:bCs/>
              </w:rPr>
            </w:pPr>
            <w:r w:rsidRPr="001A5F5D">
              <w:rPr>
                <w:rFonts w:ascii="Times New Roman" w:hAnsi="Times New Roman" w:cs="Times New Roman"/>
                <w:b/>
                <w:bCs/>
              </w:rPr>
              <w:t>Вважаю, що проєкт постанови не відповідає положенням статті 50 Закону України</w:t>
            </w:r>
            <w:r>
              <w:rPr>
                <w:rFonts w:ascii="Times New Roman" w:hAnsi="Times New Roman" w:cs="Times New Roman"/>
                <w:b/>
                <w:bCs/>
              </w:rPr>
              <w:t xml:space="preserve"> </w:t>
            </w:r>
            <w:r w:rsidRPr="001A5F5D">
              <w:rPr>
                <w:rFonts w:ascii="Times New Roman" w:hAnsi="Times New Roman" w:cs="Times New Roman"/>
                <w:b/>
                <w:bCs/>
              </w:rPr>
              <w:t>«Про ринок природного газу», з огляду на таке.</w:t>
            </w:r>
          </w:p>
          <w:p w14:paraId="006775C4" w14:textId="77777777" w:rsidR="00ED002A" w:rsidRDefault="001A5F5D" w:rsidP="001A5F5D">
            <w:pPr>
              <w:spacing w:before="100" w:beforeAutospacing="1" w:line="240" w:lineRule="auto"/>
              <w:ind w:right="85" w:firstLine="488"/>
              <w:contextualSpacing/>
              <w:jc w:val="both"/>
              <w:rPr>
                <w:rFonts w:ascii="Times New Roman" w:eastAsia="Times New Roman" w:hAnsi="Times New Roman" w:cs="Times New Roman"/>
                <w:bCs/>
                <w:color w:val="000000" w:themeColor="text1"/>
                <w:lang w:eastAsia="uk-UA"/>
              </w:rPr>
            </w:pPr>
            <w:r w:rsidRPr="001A5F5D">
              <w:rPr>
                <w:rFonts w:ascii="Times New Roman" w:hAnsi="Times New Roman" w:cs="Times New Roman"/>
              </w:rPr>
              <w:t>Відповідно до стаття 50 Закону України «Про ринок природного газу» оператор</w:t>
            </w:r>
            <w:r>
              <w:rPr>
                <w:rFonts w:ascii="Times New Roman" w:hAnsi="Times New Roman" w:cs="Times New Roman"/>
              </w:rPr>
              <w:t xml:space="preserve"> </w:t>
            </w:r>
            <w:r w:rsidRPr="001A5F5D">
              <w:rPr>
                <w:rFonts w:ascii="Times New Roman" w:hAnsi="Times New Roman" w:cs="Times New Roman"/>
              </w:rPr>
              <w:t>газосховища розробляє та щорічно до 31 жовтня подає на затвердження Регулятору план</w:t>
            </w:r>
            <w:r>
              <w:rPr>
                <w:rFonts w:ascii="Times New Roman" w:hAnsi="Times New Roman" w:cs="Times New Roman"/>
              </w:rPr>
              <w:t xml:space="preserve"> </w:t>
            </w:r>
            <w:r w:rsidRPr="001A5F5D">
              <w:rPr>
                <w:rFonts w:ascii="Times New Roman" w:hAnsi="Times New Roman" w:cs="Times New Roman"/>
              </w:rPr>
              <w:t>розвитку газосховища на наступні 10 років, складений на підставі даних про фактичні та</w:t>
            </w:r>
            <w:r>
              <w:rPr>
                <w:rFonts w:ascii="Times New Roman" w:hAnsi="Times New Roman" w:cs="Times New Roman"/>
              </w:rPr>
              <w:t xml:space="preserve"> </w:t>
            </w:r>
            <w:r w:rsidRPr="001A5F5D">
              <w:rPr>
                <w:rFonts w:ascii="Times New Roman" w:hAnsi="Times New Roman" w:cs="Times New Roman"/>
              </w:rPr>
              <w:t>прогнозні показники попиту і пропозиції на послуги зберігання (закачування, відбору)</w:t>
            </w:r>
            <w:r>
              <w:rPr>
                <w:rFonts w:ascii="Times New Roman" w:hAnsi="Times New Roman" w:cs="Times New Roman"/>
              </w:rPr>
              <w:t xml:space="preserve"> </w:t>
            </w:r>
            <w:r w:rsidRPr="001A5F5D">
              <w:rPr>
                <w:rFonts w:ascii="Times New Roman" w:hAnsi="Times New Roman" w:cs="Times New Roman"/>
              </w:rPr>
              <w:t>природного газу.</w:t>
            </w:r>
            <w:r>
              <w:rPr>
                <w:rFonts w:ascii="Times New Roman" w:hAnsi="Times New Roman" w:cs="Times New Roman"/>
              </w:rPr>
              <w:t xml:space="preserve"> </w:t>
            </w:r>
            <w:r w:rsidRPr="001A5F5D">
              <w:rPr>
                <w:rFonts w:ascii="Times New Roman" w:hAnsi="Times New Roman" w:cs="Times New Roman"/>
              </w:rPr>
              <w:t>План розвитку газосховища на наступні 10 років має</w:t>
            </w:r>
            <w:r w:rsidRPr="001A5F5D">
              <w:rPr>
                <w:rFonts w:ascii="Times New Roman" w:eastAsia="Times New Roman" w:hAnsi="Times New Roman" w:cs="Times New Roman"/>
                <w:bCs/>
                <w:color w:val="000000" w:themeColor="text1"/>
                <w:lang w:eastAsia="uk-UA"/>
              </w:rPr>
              <w:t xml:space="preserve"> забезпечувати</w:t>
            </w:r>
            <w:r>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 xml:space="preserve">відповідність газосховища потребам </w:t>
            </w:r>
            <w:r w:rsidRPr="001A5F5D">
              <w:rPr>
                <w:rFonts w:ascii="Times New Roman" w:eastAsia="Times New Roman" w:hAnsi="Times New Roman" w:cs="Times New Roman"/>
                <w:bCs/>
                <w:color w:val="000000" w:themeColor="text1"/>
                <w:lang w:eastAsia="uk-UA"/>
              </w:rPr>
              <w:lastRenderedPageBreak/>
              <w:t>ринку та інтересам безпеки постачання природного газу.</w:t>
            </w:r>
          </w:p>
          <w:p w14:paraId="5889C8FE" w14:textId="77777777" w:rsidR="00ED002A" w:rsidRDefault="001A5F5D" w:rsidP="001A5F5D">
            <w:pPr>
              <w:spacing w:before="100" w:beforeAutospacing="1" w:line="240" w:lineRule="auto"/>
              <w:ind w:right="85" w:firstLine="488"/>
              <w:contextualSpacing/>
              <w:jc w:val="both"/>
              <w:rPr>
                <w:rFonts w:ascii="Times New Roman" w:eastAsia="Times New Roman" w:hAnsi="Times New Roman" w:cs="Times New Roman"/>
                <w:bCs/>
                <w:color w:val="000000" w:themeColor="text1"/>
                <w:lang w:eastAsia="uk-UA"/>
              </w:rPr>
            </w:pPr>
            <w:r w:rsidRPr="001A5F5D">
              <w:rPr>
                <w:rFonts w:ascii="Times New Roman" w:eastAsia="Times New Roman" w:hAnsi="Times New Roman" w:cs="Times New Roman"/>
                <w:bCs/>
                <w:color w:val="000000" w:themeColor="text1"/>
                <w:lang w:eastAsia="uk-UA"/>
              </w:rPr>
              <w:t>План розвитку газосховища на наступні 10 років повинен визначати:</w:t>
            </w:r>
            <w:r w:rsidR="00ED002A">
              <w:rPr>
                <w:rFonts w:ascii="Times New Roman" w:eastAsia="Times New Roman" w:hAnsi="Times New Roman" w:cs="Times New Roman"/>
                <w:bCs/>
                <w:color w:val="000000" w:themeColor="text1"/>
                <w:lang w:eastAsia="uk-UA"/>
              </w:rPr>
              <w:t xml:space="preserve"> </w:t>
            </w:r>
          </w:p>
          <w:p w14:paraId="630BC048" w14:textId="77777777" w:rsidR="00ED002A" w:rsidRDefault="001A5F5D" w:rsidP="001A5F5D">
            <w:pPr>
              <w:spacing w:before="100" w:beforeAutospacing="1" w:line="240" w:lineRule="auto"/>
              <w:ind w:right="85" w:firstLine="488"/>
              <w:contextualSpacing/>
              <w:jc w:val="both"/>
              <w:rPr>
                <w:rFonts w:ascii="Times New Roman" w:eastAsia="Times New Roman" w:hAnsi="Times New Roman" w:cs="Times New Roman"/>
                <w:bCs/>
                <w:color w:val="000000" w:themeColor="text1"/>
                <w:lang w:eastAsia="uk-UA"/>
              </w:rPr>
            </w:pPr>
            <w:r w:rsidRPr="001A5F5D">
              <w:rPr>
                <w:rFonts w:ascii="Times New Roman" w:eastAsia="Times New Roman" w:hAnsi="Times New Roman" w:cs="Times New Roman"/>
                <w:bCs/>
                <w:color w:val="000000" w:themeColor="text1"/>
                <w:lang w:eastAsia="uk-UA"/>
              </w:rPr>
              <w:t>1) перелік основних об’єктів, пов’язаних з наданням послуг зберігання (закачування,</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відбору) природного газу, будівництво або реконструкцію яких доцільно здійснити протягом</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наступних 10 років;</w:t>
            </w:r>
            <w:r w:rsidR="00ED002A">
              <w:rPr>
                <w:rFonts w:ascii="Times New Roman" w:eastAsia="Times New Roman" w:hAnsi="Times New Roman" w:cs="Times New Roman"/>
                <w:bCs/>
                <w:color w:val="000000" w:themeColor="text1"/>
                <w:lang w:eastAsia="uk-UA"/>
              </w:rPr>
              <w:t xml:space="preserve"> </w:t>
            </w:r>
          </w:p>
          <w:p w14:paraId="3E49E997" w14:textId="77777777" w:rsidR="00ED002A" w:rsidRDefault="001A5F5D" w:rsidP="001A5F5D">
            <w:pPr>
              <w:spacing w:before="100" w:beforeAutospacing="1" w:line="240" w:lineRule="auto"/>
              <w:ind w:right="85" w:firstLine="488"/>
              <w:contextualSpacing/>
              <w:jc w:val="both"/>
              <w:rPr>
                <w:rFonts w:ascii="Times New Roman" w:eastAsia="Times New Roman" w:hAnsi="Times New Roman" w:cs="Times New Roman"/>
                <w:bCs/>
                <w:color w:val="000000" w:themeColor="text1"/>
                <w:lang w:eastAsia="uk-UA"/>
              </w:rPr>
            </w:pPr>
            <w:r w:rsidRPr="001A5F5D">
              <w:rPr>
                <w:rFonts w:ascii="Times New Roman" w:eastAsia="Times New Roman" w:hAnsi="Times New Roman" w:cs="Times New Roman"/>
                <w:bCs/>
                <w:color w:val="000000" w:themeColor="text1"/>
                <w:lang w:eastAsia="uk-UA"/>
              </w:rPr>
              <w:t>2) перелік підтверджених інвестиційних проектів незалежно від джерел фінансування, а</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також перелік інвестицій, що доцільно здійснити протягом наступних трьох років;</w:t>
            </w:r>
          </w:p>
          <w:p w14:paraId="38A4CBCA" w14:textId="77777777" w:rsidR="00ED002A" w:rsidRDefault="001A5F5D" w:rsidP="001A5F5D">
            <w:pPr>
              <w:spacing w:before="100" w:beforeAutospacing="1" w:line="240" w:lineRule="auto"/>
              <w:ind w:right="85" w:firstLine="488"/>
              <w:contextualSpacing/>
              <w:jc w:val="both"/>
              <w:rPr>
                <w:rFonts w:ascii="Times New Roman" w:eastAsia="Times New Roman" w:hAnsi="Times New Roman" w:cs="Times New Roman"/>
                <w:bCs/>
                <w:color w:val="000000" w:themeColor="text1"/>
                <w:lang w:eastAsia="uk-UA"/>
              </w:rPr>
            </w:pPr>
            <w:r w:rsidRPr="001A5F5D">
              <w:rPr>
                <w:rFonts w:ascii="Times New Roman" w:eastAsia="Times New Roman" w:hAnsi="Times New Roman" w:cs="Times New Roman"/>
                <w:bCs/>
                <w:color w:val="000000" w:themeColor="text1"/>
                <w:lang w:eastAsia="uk-UA"/>
              </w:rPr>
              <w:t>3) передбачені строки реалізації інвестиційних проектів.</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Регулятор здійснює оцінку відповідності заходів, передбачених планом розвитку</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газосховища на наступні 10 років, вимогам цього Закону.</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Регулятор здійснює моніторинг і оцінку стану виконання плану розвитку газосховища на</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наступні 10 років.</w:t>
            </w:r>
          </w:p>
          <w:p w14:paraId="0C60814A" w14:textId="77777777" w:rsidR="00ED002A" w:rsidRDefault="001A5F5D" w:rsidP="001A5F5D">
            <w:pPr>
              <w:spacing w:before="100" w:beforeAutospacing="1" w:line="240" w:lineRule="auto"/>
              <w:ind w:right="85" w:firstLine="488"/>
              <w:contextualSpacing/>
              <w:jc w:val="both"/>
              <w:rPr>
                <w:rFonts w:ascii="Times New Roman" w:eastAsia="Times New Roman" w:hAnsi="Times New Roman" w:cs="Times New Roman"/>
                <w:bCs/>
                <w:color w:val="000000" w:themeColor="text1"/>
                <w:lang w:eastAsia="uk-UA"/>
              </w:rPr>
            </w:pPr>
            <w:r w:rsidRPr="001A5F5D">
              <w:rPr>
                <w:rFonts w:ascii="Times New Roman" w:eastAsia="Times New Roman" w:hAnsi="Times New Roman" w:cs="Times New Roman"/>
                <w:bCs/>
                <w:color w:val="000000" w:themeColor="text1"/>
                <w:lang w:eastAsia="uk-UA"/>
              </w:rPr>
              <w:t>Постановою НКРЕКП від 16.01.2024 року №</w:t>
            </w:r>
            <w:r w:rsidR="00ED002A">
              <w:rPr>
                <w:rFonts w:ascii="Times New Roman" w:eastAsia="Times New Roman" w:hAnsi="Times New Roman" w:cs="Times New Roman"/>
                <w:bCs/>
                <w:color w:val="000000" w:themeColor="text1"/>
                <w:lang w:eastAsia="uk-UA"/>
              </w:rPr>
              <w:t> </w:t>
            </w:r>
            <w:r w:rsidRPr="001A5F5D">
              <w:rPr>
                <w:rFonts w:ascii="Times New Roman" w:eastAsia="Times New Roman" w:hAnsi="Times New Roman" w:cs="Times New Roman"/>
                <w:bCs/>
                <w:color w:val="000000" w:themeColor="text1"/>
                <w:lang w:eastAsia="uk-UA"/>
              </w:rPr>
              <w:t>116 затверджений Плану розвитку</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газосховищ на 2024-2033 роки Оператора газосховищ АТ</w:t>
            </w:r>
            <w:r w:rsidR="00ED002A">
              <w:rPr>
                <w:rFonts w:ascii="Times New Roman" w:eastAsia="Times New Roman" w:hAnsi="Times New Roman" w:cs="Times New Roman"/>
                <w:bCs/>
                <w:color w:val="000000" w:themeColor="text1"/>
                <w:lang w:eastAsia="uk-UA"/>
              </w:rPr>
              <w:t> </w:t>
            </w:r>
            <w:r w:rsidRPr="001A5F5D">
              <w:rPr>
                <w:rFonts w:ascii="Times New Roman" w:eastAsia="Times New Roman" w:hAnsi="Times New Roman" w:cs="Times New Roman"/>
                <w:bCs/>
                <w:color w:val="000000" w:themeColor="text1"/>
                <w:lang w:eastAsia="uk-UA"/>
              </w:rPr>
              <w:t>«УКРТРАНСГАЗ».</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Основними напрямками Плану розвитку газосховищ на перший рік (інвестиційної</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програми на 2024 рік) десятирічного плану розвитку, є фінансування на: підземні сховища газу;</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експлуатацію газосховищ; модернізацію та закупівлю транспортних засобів, спеціальних машин</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та механізмів; придбання приладів діагностики і обстеження та інших приладів; будівлі</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виробничого та адміністративного призначення.</w:t>
            </w:r>
            <w:r w:rsidR="00ED002A">
              <w:rPr>
                <w:rFonts w:ascii="Times New Roman" w:eastAsia="Times New Roman" w:hAnsi="Times New Roman" w:cs="Times New Roman"/>
                <w:bCs/>
                <w:color w:val="000000" w:themeColor="text1"/>
                <w:lang w:eastAsia="uk-UA"/>
              </w:rPr>
              <w:t xml:space="preserve"> </w:t>
            </w:r>
          </w:p>
          <w:p w14:paraId="7A2EB081" w14:textId="77777777" w:rsidR="00ED002A" w:rsidRDefault="001A5F5D" w:rsidP="001A5F5D">
            <w:pPr>
              <w:spacing w:before="100" w:beforeAutospacing="1" w:line="240" w:lineRule="auto"/>
              <w:ind w:right="85" w:firstLine="488"/>
              <w:contextualSpacing/>
              <w:jc w:val="both"/>
              <w:rPr>
                <w:rFonts w:ascii="Times New Roman" w:eastAsia="Times New Roman" w:hAnsi="Times New Roman" w:cs="Times New Roman"/>
                <w:bCs/>
                <w:color w:val="000000" w:themeColor="text1"/>
                <w:lang w:eastAsia="uk-UA"/>
              </w:rPr>
            </w:pPr>
            <w:r w:rsidRPr="001A5F5D">
              <w:rPr>
                <w:rFonts w:ascii="Times New Roman" w:eastAsia="Times New Roman" w:hAnsi="Times New Roman" w:cs="Times New Roman"/>
                <w:bCs/>
                <w:color w:val="000000" w:themeColor="text1"/>
                <w:lang w:eastAsia="uk-UA"/>
              </w:rPr>
              <w:t>Загальний розмір фінансування встановлений у розмірі 14534 148 000 грн.</w:t>
            </w:r>
          </w:p>
          <w:p w14:paraId="7F5D4153" w14:textId="68238859" w:rsidR="001A5F5D" w:rsidRPr="001A5F5D" w:rsidRDefault="001A5F5D" w:rsidP="001A5F5D">
            <w:pPr>
              <w:spacing w:before="100" w:beforeAutospacing="1" w:line="240" w:lineRule="auto"/>
              <w:ind w:right="85" w:firstLine="488"/>
              <w:contextualSpacing/>
              <w:jc w:val="both"/>
              <w:rPr>
                <w:rFonts w:ascii="Times New Roman" w:hAnsi="Times New Roman" w:cs="Times New Roman"/>
              </w:rPr>
            </w:pPr>
            <w:r w:rsidRPr="001A5F5D">
              <w:rPr>
                <w:rFonts w:ascii="Times New Roman" w:eastAsia="Times New Roman" w:hAnsi="Times New Roman" w:cs="Times New Roman"/>
                <w:bCs/>
                <w:color w:val="000000" w:themeColor="text1"/>
                <w:lang w:eastAsia="uk-UA"/>
              </w:rPr>
              <w:t>Всупереч приписам статті 50 Закону України «Про ринок природного газу» відсутні</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 xml:space="preserve">відомості про результату моніторингу НКРЕКП виконання плану </w:t>
            </w:r>
            <w:r w:rsidRPr="001A5F5D">
              <w:rPr>
                <w:rFonts w:ascii="Times New Roman" w:eastAsia="Times New Roman" w:hAnsi="Times New Roman" w:cs="Times New Roman"/>
                <w:bCs/>
                <w:color w:val="000000" w:themeColor="text1"/>
                <w:lang w:eastAsia="uk-UA"/>
              </w:rPr>
              <w:lastRenderedPageBreak/>
              <w:t>розвитку газосховища</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газосховищ на 2024-2033 роки, відсутні дані про фактичні та прогнозні показники попиту і</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пропозиції на послуги зберігання (закачування, відбору) природного газу, відсутній аналіз</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потреб ринку та інтересів безпеки постачання природного газу.</w:t>
            </w:r>
          </w:p>
          <w:p w14:paraId="57931F6C" w14:textId="69FF8D34" w:rsidR="00994519" w:rsidRPr="001A5F5D" w:rsidRDefault="001A5F5D" w:rsidP="001A5F5D">
            <w:pPr>
              <w:ind w:left="27" w:right="85" w:firstLine="567"/>
              <w:contextualSpacing/>
              <w:jc w:val="both"/>
              <w:rPr>
                <w:rFonts w:ascii="Times New Roman" w:eastAsia="Times New Roman" w:hAnsi="Times New Roman" w:cs="Times New Roman"/>
                <w:bCs/>
                <w:color w:val="000000" w:themeColor="text1"/>
                <w:lang w:eastAsia="uk-UA"/>
              </w:rPr>
            </w:pPr>
            <w:r w:rsidRPr="001A5F5D">
              <w:rPr>
                <w:rFonts w:ascii="Times New Roman" w:eastAsia="Times New Roman" w:hAnsi="Times New Roman" w:cs="Times New Roman"/>
                <w:bCs/>
                <w:color w:val="000000" w:themeColor="text1"/>
                <w:lang w:eastAsia="uk-UA"/>
              </w:rPr>
              <w:t>Також відсутні належні обґрунтування збільшення розміру Плану розвитку газосховищ на</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2025 – 2034 роки до 14 534 148 000 грн.</w:t>
            </w:r>
            <w:r w:rsidR="00ED002A">
              <w:rPr>
                <w:rFonts w:ascii="Times New Roman" w:eastAsia="Times New Roman" w:hAnsi="Times New Roman" w:cs="Times New Roman"/>
                <w:bCs/>
                <w:color w:val="000000" w:themeColor="text1"/>
                <w:lang w:eastAsia="uk-UA"/>
              </w:rPr>
              <w:t xml:space="preserve"> </w:t>
            </w:r>
            <w:r w:rsidRPr="001A5F5D">
              <w:rPr>
                <w:rFonts w:ascii="Times New Roman" w:eastAsia="Times New Roman" w:hAnsi="Times New Roman" w:cs="Times New Roman"/>
                <w:bCs/>
                <w:color w:val="000000" w:themeColor="text1"/>
                <w:lang w:eastAsia="uk-UA"/>
              </w:rPr>
              <w:t>З урахуванням викладеного, пропоную не приймати проєкт в запропонованій редакції.</w:t>
            </w:r>
            <w:r w:rsidR="00ED002A">
              <w:rPr>
                <w:rFonts w:ascii="Times New Roman" w:eastAsia="Times New Roman" w:hAnsi="Times New Roman" w:cs="Times New Roman"/>
                <w:bCs/>
                <w:color w:val="000000" w:themeColor="text1"/>
                <w:lang w:eastAsia="uk-UA"/>
              </w:rPr>
              <w:t xml:space="preserve"> </w:t>
            </w:r>
          </w:p>
        </w:tc>
        <w:tc>
          <w:tcPr>
            <w:tcW w:w="5216" w:type="dxa"/>
          </w:tcPr>
          <w:p w14:paraId="4229554A" w14:textId="77777777" w:rsidR="00994519" w:rsidRPr="0063738E" w:rsidRDefault="00994519" w:rsidP="00A04A20">
            <w:pPr>
              <w:ind w:firstLine="368"/>
              <w:contextualSpacing/>
              <w:jc w:val="both"/>
              <w:rPr>
                <w:rFonts w:ascii="Times New Roman" w:eastAsia="Times New Roman" w:hAnsi="Times New Roman" w:cs="Times New Roman"/>
                <w:b/>
                <w:color w:val="000000" w:themeColor="text1"/>
                <w:lang w:eastAsia="uk-UA"/>
              </w:rPr>
            </w:pPr>
            <w:r w:rsidRPr="0063738E">
              <w:rPr>
                <w:rFonts w:ascii="Times New Roman" w:eastAsia="Times New Roman" w:hAnsi="Times New Roman" w:cs="Times New Roman"/>
                <w:b/>
                <w:color w:val="000000" w:themeColor="text1"/>
                <w:lang w:eastAsia="uk-UA"/>
              </w:rPr>
              <w:lastRenderedPageBreak/>
              <w:t>Відхилено</w:t>
            </w:r>
          </w:p>
          <w:p w14:paraId="6770267E" w14:textId="1DD74BD6" w:rsidR="00DE75E7" w:rsidRPr="00DE75E7" w:rsidRDefault="00DE75E7" w:rsidP="00DE75E7">
            <w:pPr>
              <w:ind w:firstLine="425"/>
              <w:jc w:val="both"/>
              <w:rPr>
                <w:rFonts w:ascii="Times New Roman" w:hAnsi="Times New Roman" w:cs="Times New Roman"/>
              </w:rPr>
            </w:pPr>
            <w:r w:rsidRPr="00DE75E7">
              <w:rPr>
                <w:rFonts w:ascii="Times New Roman" w:hAnsi="Times New Roman" w:cs="Times New Roman"/>
              </w:rPr>
              <w:t>АТ «Укртрансгаз» листами від 30.10.2024 №</w:t>
            </w:r>
            <w:r w:rsidR="00590086">
              <w:rPr>
                <w:rFonts w:ascii="Times New Roman" w:hAnsi="Times New Roman" w:cs="Times New Roman"/>
              </w:rPr>
              <w:t> </w:t>
            </w:r>
            <w:r w:rsidRPr="00DE75E7">
              <w:rPr>
                <w:rFonts w:ascii="Times New Roman" w:hAnsi="Times New Roman" w:cs="Times New Roman"/>
              </w:rPr>
              <w:t xml:space="preserve">1001ВИХ-24-6638, від 26.12.2024 № 1001ВИХ-24-7917 та від 23.01.2025 № 1001ВИХ-25-491 з урахуванням  вимог законодавства, зокрема статті 50 Закону України «Про ринок природного газу», було надано до НКРЕКП документи та матеріали щодо Плану розвитку газосховищ на 2025 ‒ 2034 роки. </w:t>
            </w:r>
          </w:p>
          <w:p w14:paraId="5481A110" w14:textId="262C246E" w:rsidR="00DE75E7" w:rsidRPr="00DE75E7" w:rsidRDefault="00DE75E7" w:rsidP="00DE75E7">
            <w:pPr>
              <w:ind w:firstLine="425"/>
              <w:jc w:val="both"/>
              <w:rPr>
                <w:rFonts w:ascii="Times New Roman" w:hAnsi="Times New Roman" w:cs="Times New Roman"/>
              </w:rPr>
            </w:pPr>
            <w:r w:rsidRPr="00DE75E7">
              <w:rPr>
                <w:rFonts w:ascii="Times New Roman" w:hAnsi="Times New Roman" w:cs="Times New Roman"/>
              </w:rPr>
              <w:t>Інформація про заходи, направлені на розвиток газосховищ, визначена з урахуванням потреб ринку природного газу та інтересів безпеки постачання природного газу, проведеної оцінки попиту на послуги зберігання природного газу та оцінки ринку газу, та була надана до Плану розвитку газосховищ на 2025</w:t>
            </w:r>
            <w:r w:rsidR="00590086">
              <w:rPr>
                <w:rFonts w:ascii="Times New Roman" w:hAnsi="Times New Roman" w:cs="Times New Roman"/>
              </w:rPr>
              <w:t xml:space="preserve"> </w:t>
            </w:r>
            <w:r w:rsidR="00590086" w:rsidRPr="00DE75E7">
              <w:rPr>
                <w:rFonts w:ascii="Times New Roman" w:hAnsi="Times New Roman" w:cs="Times New Roman"/>
              </w:rPr>
              <w:t>‒</w:t>
            </w:r>
            <w:r w:rsidR="00590086">
              <w:rPr>
                <w:rFonts w:ascii="Times New Roman" w:hAnsi="Times New Roman" w:cs="Times New Roman"/>
              </w:rPr>
              <w:t xml:space="preserve"> </w:t>
            </w:r>
            <w:r w:rsidRPr="00DE75E7">
              <w:rPr>
                <w:rFonts w:ascii="Times New Roman" w:hAnsi="Times New Roman" w:cs="Times New Roman"/>
              </w:rPr>
              <w:t>2034 роки.</w:t>
            </w:r>
          </w:p>
          <w:p w14:paraId="0C0CD53B" w14:textId="6617E07E" w:rsidR="00DE75E7" w:rsidRPr="00DE75E7" w:rsidRDefault="00DE75E7" w:rsidP="00DE75E7">
            <w:pPr>
              <w:ind w:firstLine="425"/>
              <w:jc w:val="both"/>
              <w:rPr>
                <w:rFonts w:ascii="Times New Roman" w:hAnsi="Times New Roman" w:cs="Times New Roman"/>
              </w:rPr>
            </w:pPr>
            <w:r w:rsidRPr="00DE75E7">
              <w:rPr>
                <w:rFonts w:ascii="Times New Roman" w:hAnsi="Times New Roman" w:cs="Times New Roman"/>
              </w:rPr>
              <w:t>Збільшення фінансування заходів Плану розвитку газосховищ на 2025</w:t>
            </w:r>
            <w:r w:rsidR="00590086">
              <w:rPr>
                <w:rFonts w:ascii="Times New Roman" w:hAnsi="Times New Roman" w:cs="Times New Roman"/>
              </w:rPr>
              <w:t xml:space="preserve"> </w:t>
            </w:r>
            <w:r w:rsidR="00590086" w:rsidRPr="00DE75E7">
              <w:rPr>
                <w:rFonts w:ascii="Times New Roman" w:hAnsi="Times New Roman" w:cs="Times New Roman"/>
              </w:rPr>
              <w:t>‒</w:t>
            </w:r>
            <w:r w:rsidR="00590086">
              <w:rPr>
                <w:rFonts w:ascii="Times New Roman" w:hAnsi="Times New Roman" w:cs="Times New Roman"/>
              </w:rPr>
              <w:t xml:space="preserve"> </w:t>
            </w:r>
            <w:r w:rsidRPr="00DE75E7">
              <w:rPr>
                <w:rFonts w:ascii="Times New Roman" w:hAnsi="Times New Roman" w:cs="Times New Roman"/>
              </w:rPr>
              <w:t>2034 роки в порівняння з Планом розвитку газосховищ на 2024</w:t>
            </w:r>
            <w:r w:rsidR="00590086">
              <w:rPr>
                <w:rFonts w:ascii="Times New Roman" w:hAnsi="Times New Roman" w:cs="Times New Roman"/>
              </w:rPr>
              <w:t xml:space="preserve"> </w:t>
            </w:r>
            <w:r w:rsidR="00590086" w:rsidRPr="00DE75E7">
              <w:rPr>
                <w:rFonts w:ascii="Times New Roman" w:hAnsi="Times New Roman" w:cs="Times New Roman"/>
              </w:rPr>
              <w:t>‒</w:t>
            </w:r>
            <w:r w:rsidRPr="00DE75E7">
              <w:rPr>
                <w:rFonts w:ascii="Times New Roman" w:hAnsi="Times New Roman" w:cs="Times New Roman"/>
              </w:rPr>
              <w:t>2033 роки обумовлено необхідністю реалізації заходів направлених на розвиток газосховищ з урахуванням вимог їх безпечної експлуатації, фактичного технічного стану об’єктів та складових газосховищ, а також на забезпечення безперервності надання послуг зберігання (закачування, відбору) природного газу.</w:t>
            </w:r>
          </w:p>
          <w:p w14:paraId="635CF9EB" w14:textId="77777777" w:rsidR="00DE75E7" w:rsidRPr="00DE75E7" w:rsidRDefault="00DE75E7" w:rsidP="00DE75E7">
            <w:pPr>
              <w:ind w:firstLine="425"/>
              <w:jc w:val="both"/>
              <w:rPr>
                <w:rFonts w:ascii="Times New Roman" w:hAnsi="Times New Roman" w:cs="Times New Roman"/>
              </w:rPr>
            </w:pPr>
            <w:r w:rsidRPr="00DE75E7">
              <w:rPr>
                <w:rFonts w:ascii="Times New Roman" w:hAnsi="Times New Roman" w:cs="Times New Roman"/>
              </w:rPr>
              <w:t>НКРЕКП здійснює моніторинг і оцінку стану виконання плану розвитку газосховищ за результатами проведення планової перевірки дотримання суб’єктом господарювання вимог законодавства та ліцензійних умов  із зберігання (закачування, відбору) природного газу.</w:t>
            </w:r>
          </w:p>
          <w:p w14:paraId="00ECA323" w14:textId="3D960A97" w:rsidR="00DE75E7" w:rsidRPr="00DE75E7" w:rsidRDefault="00DE75E7" w:rsidP="00DE75E7">
            <w:pPr>
              <w:ind w:firstLine="425"/>
              <w:jc w:val="both"/>
              <w:rPr>
                <w:rFonts w:ascii="Times New Roman" w:hAnsi="Times New Roman" w:cs="Times New Roman"/>
              </w:rPr>
            </w:pPr>
            <w:r w:rsidRPr="00DE75E7">
              <w:rPr>
                <w:rFonts w:ascii="Times New Roman" w:hAnsi="Times New Roman" w:cs="Times New Roman"/>
              </w:rPr>
              <w:lastRenderedPageBreak/>
              <w:t xml:space="preserve">Таким чином, План розвитку газосховищ на </w:t>
            </w:r>
            <w:r w:rsidR="00590086">
              <w:rPr>
                <w:rFonts w:ascii="Times New Roman" w:hAnsi="Times New Roman" w:cs="Times New Roman"/>
              </w:rPr>
              <w:t xml:space="preserve"> </w:t>
            </w:r>
            <w:r w:rsidRPr="00DE75E7">
              <w:rPr>
                <w:rFonts w:ascii="Times New Roman" w:hAnsi="Times New Roman" w:cs="Times New Roman"/>
              </w:rPr>
              <w:t>2025</w:t>
            </w:r>
            <w:r w:rsidR="00590086">
              <w:rPr>
                <w:rFonts w:ascii="Times New Roman" w:hAnsi="Times New Roman" w:cs="Times New Roman"/>
              </w:rPr>
              <w:t xml:space="preserve"> </w:t>
            </w:r>
            <w:r w:rsidR="00590086" w:rsidRPr="00DE75E7">
              <w:rPr>
                <w:rFonts w:ascii="Times New Roman" w:hAnsi="Times New Roman" w:cs="Times New Roman"/>
              </w:rPr>
              <w:t>‒</w:t>
            </w:r>
            <w:r w:rsidR="00590086">
              <w:rPr>
                <w:rFonts w:ascii="Times New Roman" w:hAnsi="Times New Roman" w:cs="Times New Roman"/>
              </w:rPr>
              <w:t xml:space="preserve"> </w:t>
            </w:r>
            <w:r w:rsidRPr="00DE75E7">
              <w:rPr>
                <w:rFonts w:ascii="Times New Roman" w:hAnsi="Times New Roman" w:cs="Times New Roman"/>
              </w:rPr>
              <w:t>2034 роки Оператора газосховищ АТ</w:t>
            </w:r>
            <w:r w:rsidR="00590086">
              <w:rPr>
                <w:rFonts w:ascii="Times New Roman" w:hAnsi="Times New Roman" w:cs="Times New Roman"/>
              </w:rPr>
              <w:t> </w:t>
            </w:r>
            <w:r w:rsidRPr="00DE75E7">
              <w:rPr>
                <w:rFonts w:ascii="Times New Roman" w:hAnsi="Times New Roman" w:cs="Times New Roman"/>
              </w:rPr>
              <w:t xml:space="preserve">«Укртрансгаз» розроблений і поданий до НКРЕКП відповідно до вимог законодавства, зокрема статті 50 Закону України «Про ринок природного газу». </w:t>
            </w:r>
          </w:p>
          <w:p w14:paraId="113B255F" w14:textId="797EF2F9" w:rsidR="00DE75E7" w:rsidRPr="00DE75E7" w:rsidRDefault="00DE75E7" w:rsidP="00DE75E7">
            <w:pPr>
              <w:ind w:firstLine="425"/>
              <w:jc w:val="both"/>
              <w:rPr>
                <w:rFonts w:ascii="Times New Roman" w:hAnsi="Times New Roman" w:cs="Times New Roman"/>
              </w:rPr>
            </w:pPr>
            <w:r w:rsidRPr="00DE75E7">
              <w:rPr>
                <w:rFonts w:ascii="Times New Roman" w:hAnsi="Times New Roman" w:cs="Times New Roman"/>
              </w:rPr>
              <w:t>При цьому зазначаємо, що з урахуванням положень постанови НКРЕКП від 26.03.2022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відомості та інформація, зокрема, щодо Плану розвитку газосховищ на</w:t>
            </w:r>
            <w:r w:rsidR="00590086">
              <w:rPr>
                <w:rFonts w:ascii="Times New Roman" w:hAnsi="Times New Roman" w:cs="Times New Roman"/>
              </w:rPr>
              <w:t xml:space="preserve">        </w:t>
            </w:r>
            <w:r w:rsidRPr="00DE75E7">
              <w:rPr>
                <w:rFonts w:ascii="Times New Roman" w:hAnsi="Times New Roman" w:cs="Times New Roman"/>
              </w:rPr>
              <w:t xml:space="preserve"> 2025</w:t>
            </w:r>
            <w:r w:rsidR="00590086">
              <w:rPr>
                <w:rFonts w:ascii="Times New Roman" w:hAnsi="Times New Roman" w:cs="Times New Roman"/>
              </w:rPr>
              <w:t xml:space="preserve"> </w:t>
            </w:r>
            <w:r w:rsidR="00590086" w:rsidRPr="00DE75E7">
              <w:rPr>
                <w:rFonts w:ascii="Times New Roman" w:hAnsi="Times New Roman" w:cs="Times New Roman"/>
              </w:rPr>
              <w:t>‒</w:t>
            </w:r>
            <w:r w:rsidR="00590086">
              <w:rPr>
                <w:rFonts w:ascii="Times New Roman" w:hAnsi="Times New Roman" w:cs="Times New Roman"/>
              </w:rPr>
              <w:t xml:space="preserve"> </w:t>
            </w:r>
            <w:r w:rsidRPr="00DE75E7">
              <w:rPr>
                <w:rFonts w:ascii="Times New Roman" w:hAnsi="Times New Roman" w:cs="Times New Roman"/>
              </w:rPr>
              <w:t>2034 роки Оператора газосховищ АТ</w:t>
            </w:r>
            <w:r w:rsidR="00590086">
              <w:rPr>
                <w:rFonts w:ascii="Times New Roman" w:hAnsi="Times New Roman" w:cs="Times New Roman"/>
              </w:rPr>
              <w:t> </w:t>
            </w:r>
            <w:r w:rsidRPr="00DE75E7">
              <w:rPr>
                <w:rFonts w:ascii="Times New Roman" w:hAnsi="Times New Roman" w:cs="Times New Roman"/>
              </w:rPr>
              <w:t>«Укртрансгаз» та щодо виконання Плану розвитку газосховищ на 2024</w:t>
            </w:r>
            <w:r w:rsidR="00590086">
              <w:rPr>
                <w:rFonts w:ascii="Times New Roman" w:hAnsi="Times New Roman" w:cs="Times New Roman"/>
              </w:rPr>
              <w:t xml:space="preserve"> </w:t>
            </w:r>
            <w:r w:rsidR="00590086" w:rsidRPr="00DE75E7">
              <w:rPr>
                <w:rFonts w:ascii="Times New Roman" w:hAnsi="Times New Roman" w:cs="Times New Roman"/>
              </w:rPr>
              <w:t>‒</w:t>
            </w:r>
            <w:r w:rsidR="00590086">
              <w:rPr>
                <w:rFonts w:ascii="Times New Roman" w:hAnsi="Times New Roman" w:cs="Times New Roman"/>
              </w:rPr>
              <w:t xml:space="preserve"> </w:t>
            </w:r>
            <w:r w:rsidRPr="00DE75E7">
              <w:rPr>
                <w:rFonts w:ascii="Times New Roman" w:hAnsi="Times New Roman" w:cs="Times New Roman"/>
              </w:rPr>
              <w:t>2033 роки Оператора газосховищ АТ</w:t>
            </w:r>
            <w:r w:rsidR="00590086">
              <w:rPr>
                <w:rFonts w:ascii="Times New Roman" w:hAnsi="Times New Roman" w:cs="Times New Roman"/>
              </w:rPr>
              <w:t> </w:t>
            </w:r>
            <w:r w:rsidRPr="00DE75E7">
              <w:rPr>
                <w:rFonts w:ascii="Times New Roman" w:hAnsi="Times New Roman" w:cs="Times New Roman"/>
              </w:rPr>
              <w:t xml:space="preserve">«Укртрансгаз»  не оприлюднюються. </w:t>
            </w:r>
          </w:p>
          <w:p w14:paraId="11BE18EA" w14:textId="3656A5DA" w:rsidR="00994519" w:rsidRPr="00D950BF" w:rsidRDefault="00994519" w:rsidP="00DE75E7">
            <w:pPr>
              <w:ind w:firstLine="605"/>
              <w:contextualSpacing/>
              <w:jc w:val="both"/>
              <w:rPr>
                <w:rFonts w:ascii="Times New Roman" w:hAnsi="Times New Roman" w:cs="Times New Roman"/>
              </w:rPr>
            </w:pPr>
          </w:p>
        </w:tc>
      </w:tr>
    </w:tbl>
    <w:p w14:paraId="70793126" w14:textId="77777777" w:rsidR="006B5192" w:rsidRPr="006B5192" w:rsidRDefault="006B5192" w:rsidP="006B5192">
      <w:pPr>
        <w:tabs>
          <w:tab w:val="left" w:pos="5910"/>
        </w:tabs>
        <w:rPr>
          <w:sz w:val="2"/>
          <w:szCs w:val="2"/>
        </w:rPr>
      </w:pPr>
    </w:p>
    <w:sectPr w:rsidR="006B5192" w:rsidRPr="006B5192" w:rsidSect="009B0696">
      <w:footerReference w:type="default" r:id="rId10"/>
      <w:pgSz w:w="16838" w:h="11906" w:orient="landscape"/>
      <w:pgMar w:top="1134" w:right="567"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DB089" w14:textId="77777777" w:rsidR="00DF13DA" w:rsidRDefault="00DF13DA" w:rsidP="009B0696">
      <w:pPr>
        <w:spacing w:after="0" w:line="240" w:lineRule="auto"/>
      </w:pPr>
      <w:r>
        <w:separator/>
      </w:r>
    </w:p>
  </w:endnote>
  <w:endnote w:type="continuationSeparator" w:id="0">
    <w:p w14:paraId="60ADD10E" w14:textId="77777777" w:rsidR="00DF13DA" w:rsidRDefault="00DF13DA" w:rsidP="009B0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0239002"/>
      <w:docPartObj>
        <w:docPartGallery w:val="Page Numbers (Bottom of Page)"/>
        <w:docPartUnique/>
      </w:docPartObj>
    </w:sdtPr>
    <w:sdtEndPr/>
    <w:sdtContent>
      <w:p w14:paraId="1F8089C6" w14:textId="536E8992" w:rsidR="00DF13DA" w:rsidRDefault="00DF13DA" w:rsidP="00910141">
        <w:pPr>
          <w:pStyle w:val="af"/>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AE166" w14:textId="77777777" w:rsidR="00DF13DA" w:rsidRDefault="00DF13DA" w:rsidP="009B0696">
      <w:pPr>
        <w:spacing w:after="0" w:line="240" w:lineRule="auto"/>
      </w:pPr>
      <w:r>
        <w:separator/>
      </w:r>
    </w:p>
  </w:footnote>
  <w:footnote w:type="continuationSeparator" w:id="0">
    <w:p w14:paraId="408CBE4D" w14:textId="77777777" w:rsidR="00DF13DA" w:rsidRDefault="00DF13DA" w:rsidP="009B06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160F5"/>
    <w:multiLevelType w:val="hybridMultilevel"/>
    <w:tmpl w:val="A95240C0"/>
    <w:lvl w:ilvl="0" w:tplc="0422000F">
      <w:start w:val="1"/>
      <w:numFmt w:val="decimal"/>
      <w:lvlText w:val="%1."/>
      <w:lvlJc w:val="left"/>
      <w:pPr>
        <w:tabs>
          <w:tab w:val="num" w:pos="540"/>
        </w:tabs>
        <w:ind w:left="540" w:hanging="360"/>
      </w:pPr>
    </w:lvl>
    <w:lvl w:ilvl="1" w:tplc="04220019">
      <w:start w:val="1"/>
      <w:numFmt w:val="lowerLetter"/>
      <w:lvlText w:val="%2."/>
      <w:lvlJc w:val="left"/>
      <w:pPr>
        <w:tabs>
          <w:tab w:val="num" w:pos="1260"/>
        </w:tabs>
        <w:ind w:left="1260" w:hanging="360"/>
      </w:pPr>
    </w:lvl>
    <w:lvl w:ilvl="2" w:tplc="0422001B" w:tentative="1">
      <w:start w:val="1"/>
      <w:numFmt w:val="lowerRoman"/>
      <w:lvlText w:val="%3."/>
      <w:lvlJc w:val="right"/>
      <w:pPr>
        <w:tabs>
          <w:tab w:val="num" w:pos="1980"/>
        </w:tabs>
        <w:ind w:left="1980" w:hanging="180"/>
      </w:pPr>
    </w:lvl>
    <w:lvl w:ilvl="3" w:tplc="0422000F" w:tentative="1">
      <w:start w:val="1"/>
      <w:numFmt w:val="decimal"/>
      <w:lvlText w:val="%4."/>
      <w:lvlJc w:val="left"/>
      <w:pPr>
        <w:tabs>
          <w:tab w:val="num" w:pos="2700"/>
        </w:tabs>
        <w:ind w:left="2700" w:hanging="360"/>
      </w:pPr>
    </w:lvl>
    <w:lvl w:ilvl="4" w:tplc="04220019" w:tentative="1">
      <w:start w:val="1"/>
      <w:numFmt w:val="lowerLetter"/>
      <w:lvlText w:val="%5."/>
      <w:lvlJc w:val="left"/>
      <w:pPr>
        <w:tabs>
          <w:tab w:val="num" w:pos="3420"/>
        </w:tabs>
        <w:ind w:left="3420" w:hanging="360"/>
      </w:pPr>
    </w:lvl>
    <w:lvl w:ilvl="5" w:tplc="0422001B" w:tentative="1">
      <w:start w:val="1"/>
      <w:numFmt w:val="lowerRoman"/>
      <w:lvlText w:val="%6."/>
      <w:lvlJc w:val="right"/>
      <w:pPr>
        <w:tabs>
          <w:tab w:val="num" w:pos="4140"/>
        </w:tabs>
        <w:ind w:left="4140" w:hanging="180"/>
      </w:pPr>
    </w:lvl>
    <w:lvl w:ilvl="6" w:tplc="0422000F" w:tentative="1">
      <w:start w:val="1"/>
      <w:numFmt w:val="decimal"/>
      <w:lvlText w:val="%7."/>
      <w:lvlJc w:val="left"/>
      <w:pPr>
        <w:tabs>
          <w:tab w:val="num" w:pos="4860"/>
        </w:tabs>
        <w:ind w:left="4860" w:hanging="360"/>
      </w:pPr>
    </w:lvl>
    <w:lvl w:ilvl="7" w:tplc="04220019" w:tentative="1">
      <w:start w:val="1"/>
      <w:numFmt w:val="lowerLetter"/>
      <w:lvlText w:val="%8."/>
      <w:lvlJc w:val="left"/>
      <w:pPr>
        <w:tabs>
          <w:tab w:val="num" w:pos="5580"/>
        </w:tabs>
        <w:ind w:left="5580" w:hanging="360"/>
      </w:pPr>
    </w:lvl>
    <w:lvl w:ilvl="8" w:tplc="0422001B" w:tentative="1">
      <w:start w:val="1"/>
      <w:numFmt w:val="lowerRoman"/>
      <w:lvlText w:val="%9."/>
      <w:lvlJc w:val="right"/>
      <w:pPr>
        <w:tabs>
          <w:tab w:val="num" w:pos="6300"/>
        </w:tabs>
        <w:ind w:left="6300" w:hanging="180"/>
      </w:pPr>
    </w:lvl>
  </w:abstractNum>
  <w:abstractNum w:abstractNumId="1" w15:restartNumberingAfterBreak="0">
    <w:nsid w:val="49643D6A"/>
    <w:multiLevelType w:val="hybridMultilevel"/>
    <w:tmpl w:val="650C0A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FC15883"/>
    <w:multiLevelType w:val="hybridMultilevel"/>
    <w:tmpl w:val="D856DCAC"/>
    <w:lvl w:ilvl="0" w:tplc="81342300">
      <w:start w:val="3"/>
      <w:numFmt w:val="bullet"/>
      <w:lvlText w:val="-"/>
      <w:lvlJc w:val="left"/>
      <w:pPr>
        <w:ind w:left="360" w:hanging="360"/>
      </w:pPr>
      <w:rPr>
        <w:rFonts w:ascii="Calibri" w:eastAsiaTheme="minorHAnsi" w:hAnsi="Calibri" w:cs="Calibri"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52055107"/>
    <w:multiLevelType w:val="multilevel"/>
    <w:tmpl w:val="9F6ED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7982862"/>
    <w:multiLevelType w:val="hybridMultilevel"/>
    <w:tmpl w:val="C310B114"/>
    <w:lvl w:ilvl="0" w:tplc="F01E3982">
      <w:start w:val="1"/>
      <w:numFmt w:val="decimal"/>
      <w:lvlText w:val="%1."/>
      <w:lvlJc w:val="left"/>
      <w:pPr>
        <w:ind w:left="954" w:hanging="360"/>
      </w:pPr>
      <w:rPr>
        <w:rFonts w:hint="default"/>
      </w:rPr>
    </w:lvl>
    <w:lvl w:ilvl="1" w:tplc="04220019" w:tentative="1">
      <w:start w:val="1"/>
      <w:numFmt w:val="lowerLetter"/>
      <w:lvlText w:val="%2."/>
      <w:lvlJc w:val="left"/>
      <w:pPr>
        <w:ind w:left="1674" w:hanging="360"/>
      </w:pPr>
    </w:lvl>
    <w:lvl w:ilvl="2" w:tplc="0422001B" w:tentative="1">
      <w:start w:val="1"/>
      <w:numFmt w:val="lowerRoman"/>
      <w:lvlText w:val="%3."/>
      <w:lvlJc w:val="right"/>
      <w:pPr>
        <w:ind w:left="2394" w:hanging="180"/>
      </w:pPr>
    </w:lvl>
    <w:lvl w:ilvl="3" w:tplc="0422000F" w:tentative="1">
      <w:start w:val="1"/>
      <w:numFmt w:val="decimal"/>
      <w:lvlText w:val="%4."/>
      <w:lvlJc w:val="left"/>
      <w:pPr>
        <w:ind w:left="3114" w:hanging="360"/>
      </w:pPr>
    </w:lvl>
    <w:lvl w:ilvl="4" w:tplc="04220019" w:tentative="1">
      <w:start w:val="1"/>
      <w:numFmt w:val="lowerLetter"/>
      <w:lvlText w:val="%5."/>
      <w:lvlJc w:val="left"/>
      <w:pPr>
        <w:ind w:left="3834" w:hanging="360"/>
      </w:pPr>
    </w:lvl>
    <w:lvl w:ilvl="5" w:tplc="0422001B" w:tentative="1">
      <w:start w:val="1"/>
      <w:numFmt w:val="lowerRoman"/>
      <w:lvlText w:val="%6."/>
      <w:lvlJc w:val="right"/>
      <w:pPr>
        <w:ind w:left="4554" w:hanging="180"/>
      </w:pPr>
    </w:lvl>
    <w:lvl w:ilvl="6" w:tplc="0422000F" w:tentative="1">
      <w:start w:val="1"/>
      <w:numFmt w:val="decimal"/>
      <w:lvlText w:val="%7."/>
      <w:lvlJc w:val="left"/>
      <w:pPr>
        <w:ind w:left="5274" w:hanging="360"/>
      </w:pPr>
    </w:lvl>
    <w:lvl w:ilvl="7" w:tplc="04220019" w:tentative="1">
      <w:start w:val="1"/>
      <w:numFmt w:val="lowerLetter"/>
      <w:lvlText w:val="%8."/>
      <w:lvlJc w:val="left"/>
      <w:pPr>
        <w:ind w:left="5994" w:hanging="360"/>
      </w:pPr>
    </w:lvl>
    <w:lvl w:ilvl="8" w:tplc="0422001B" w:tentative="1">
      <w:start w:val="1"/>
      <w:numFmt w:val="lowerRoman"/>
      <w:lvlText w:val="%9."/>
      <w:lvlJc w:val="right"/>
      <w:pPr>
        <w:ind w:left="6714" w:hanging="180"/>
      </w:pPr>
    </w:lvl>
  </w:abstractNum>
  <w:abstractNum w:abstractNumId="5" w15:restartNumberingAfterBreak="0">
    <w:nsid w:val="5C3E0047"/>
    <w:multiLevelType w:val="hybridMultilevel"/>
    <w:tmpl w:val="1FB25A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002928752">
    <w:abstractNumId w:val="0"/>
  </w:num>
  <w:num w:numId="2" w16cid:durableId="834106150">
    <w:abstractNumId w:val="4"/>
  </w:num>
  <w:num w:numId="3" w16cid:durableId="19018936">
    <w:abstractNumId w:val="5"/>
  </w:num>
  <w:num w:numId="4" w16cid:durableId="797145971">
    <w:abstractNumId w:val="1"/>
  </w:num>
  <w:num w:numId="5" w16cid:durableId="592323644">
    <w:abstractNumId w:val="2"/>
  </w:num>
  <w:num w:numId="6" w16cid:durableId="11544936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C9D"/>
    <w:rsid w:val="00023883"/>
    <w:rsid w:val="00024DD2"/>
    <w:rsid w:val="00046030"/>
    <w:rsid w:val="0004603E"/>
    <w:rsid w:val="00064322"/>
    <w:rsid w:val="00066D30"/>
    <w:rsid w:val="0006726D"/>
    <w:rsid w:val="00095631"/>
    <w:rsid w:val="000C207B"/>
    <w:rsid w:val="000C51A2"/>
    <w:rsid w:val="000E1C6B"/>
    <w:rsid w:val="001156E9"/>
    <w:rsid w:val="001165D7"/>
    <w:rsid w:val="001654F8"/>
    <w:rsid w:val="00184128"/>
    <w:rsid w:val="001A5F5D"/>
    <w:rsid w:val="001A79D1"/>
    <w:rsid w:val="001B2E2E"/>
    <w:rsid w:val="001B6DAE"/>
    <w:rsid w:val="001C33A4"/>
    <w:rsid w:val="00203E90"/>
    <w:rsid w:val="0029061C"/>
    <w:rsid w:val="00294D9E"/>
    <w:rsid w:val="002B18BC"/>
    <w:rsid w:val="002B385C"/>
    <w:rsid w:val="002D40B7"/>
    <w:rsid w:val="002F334B"/>
    <w:rsid w:val="00307760"/>
    <w:rsid w:val="003104F9"/>
    <w:rsid w:val="00313F3A"/>
    <w:rsid w:val="003141F7"/>
    <w:rsid w:val="00323833"/>
    <w:rsid w:val="00340B18"/>
    <w:rsid w:val="00340E29"/>
    <w:rsid w:val="0034747B"/>
    <w:rsid w:val="00357678"/>
    <w:rsid w:val="003860EB"/>
    <w:rsid w:val="00391908"/>
    <w:rsid w:val="003A5F49"/>
    <w:rsid w:val="003C32F6"/>
    <w:rsid w:val="003D0332"/>
    <w:rsid w:val="003D423A"/>
    <w:rsid w:val="003E32DC"/>
    <w:rsid w:val="003F28B6"/>
    <w:rsid w:val="003F4DE8"/>
    <w:rsid w:val="003F5070"/>
    <w:rsid w:val="004008BD"/>
    <w:rsid w:val="00413ED7"/>
    <w:rsid w:val="00417578"/>
    <w:rsid w:val="00424729"/>
    <w:rsid w:val="0042682C"/>
    <w:rsid w:val="0044192C"/>
    <w:rsid w:val="00446000"/>
    <w:rsid w:val="00447BF1"/>
    <w:rsid w:val="004567D5"/>
    <w:rsid w:val="004608CD"/>
    <w:rsid w:val="004678A2"/>
    <w:rsid w:val="00473957"/>
    <w:rsid w:val="00481236"/>
    <w:rsid w:val="00491640"/>
    <w:rsid w:val="00491E77"/>
    <w:rsid w:val="004A540A"/>
    <w:rsid w:val="004A5AE7"/>
    <w:rsid w:val="004B068C"/>
    <w:rsid w:val="004B1944"/>
    <w:rsid w:val="004B64D8"/>
    <w:rsid w:val="004C03B1"/>
    <w:rsid w:val="004F2E67"/>
    <w:rsid w:val="00507D1C"/>
    <w:rsid w:val="00512363"/>
    <w:rsid w:val="005236DB"/>
    <w:rsid w:val="00553424"/>
    <w:rsid w:val="00554EFD"/>
    <w:rsid w:val="00555433"/>
    <w:rsid w:val="00573B39"/>
    <w:rsid w:val="00587E6A"/>
    <w:rsid w:val="00590086"/>
    <w:rsid w:val="00597CF9"/>
    <w:rsid w:val="005B06FE"/>
    <w:rsid w:val="005B0BE6"/>
    <w:rsid w:val="005D076E"/>
    <w:rsid w:val="005F1D3F"/>
    <w:rsid w:val="005F30F2"/>
    <w:rsid w:val="0060142C"/>
    <w:rsid w:val="00610143"/>
    <w:rsid w:val="00617558"/>
    <w:rsid w:val="0063738E"/>
    <w:rsid w:val="00644EEE"/>
    <w:rsid w:val="00660537"/>
    <w:rsid w:val="0066372F"/>
    <w:rsid w:val="006858A9"/>
    <w:rsid w:val="006942DC"/>
    <w:rsid w:val="006A15C8"/>
    <w:rsid w:val="006B5192"/>
    <w:rsid w:val="006B5245"/>
    <w:rsid w:val="006B676B"/>
    <w:rsid w:val="006D0717"/>
    <w:rsid w:val="006F09EF"/>
    <w:rsid w:val="006F2655"/>
    <w:rsid w:val="006F6FB1"/>
    <w:rsid w:val="006F76CE"/>
    <w:rsid w:val="0071367B"/>
    <w:rsid w:val="00717867"/>
    <w:rsid w:val="00720C9D"/>
    <w:rsid w:val="007233CD"/>
    <w:rsid w:val="00742C46"/>
    <w:rsid w:val="00751CF8"/>
    <w:rsid w:val="007673FB"/>
    <w:rsid w:val="007775F7"/>
    <w:rsid w:val="007824C8"/>
    <w:rsid w:val="007C1EB4"/>
    <w:rsid w:val="007D3D2F"/>
    <w:rsid w:val="007E19E0"/>
    <w:rsid w:val="007E576A"/>
    <w:rsid w:val="007F36E1"/>
    <w:rsid w:val="00800B9B"/>
    <w:rsid w:val="00845B43"/>
    <w:rsid w:val="00846808"/>
    <w:rsid w:val="00851252"/>
    <w:rsid w:val="00882AE3"/>
    <w:rsid w:val="008A06C4"/>
    <w:rsid w:val="008B1592"/>
    <w:rsid w:val="008B248D"/>
    <w:rsid w:val="008C7DEB"/>
    <w:rsid w:val="008F288D"/>
    <w:rsid w:val="00910141"/>
    <w:rsid w:val="00912B3A"/>
    <w:rsid w:val="0092273C"/>
    <w:rsid w:val="0099216A"/>
    <w:rsid w:val="00993021"/>
    <w:rsid w:val="00994519"/>
    <w:rsid w:val="009947F8"/>
    <w:rsid w:val="00995A57"/>
    <w:rsid w:val="009A6442"/>
    <w:rsid w:val="009B0696"/>
    <w:rsid w:val="009C440F"/>
    <w:rsid w:val="009D5048"/>
    <w:rsid w:val="009E71BC"/>
    <w:rsid w:val="00A04A20"/>
    <w:rsid w:val="00A138E3"/>
    <w:rsid w:val="00A13A1D"/>
    <w:rsid w:val="00A3482E"/>
    <w:rsid w:val="00A610D6"/>
    <w:rsid w:val="00AA035C"/>
    <w:rsid w:val="00AA5D47"/>
    <w:rsid w:val="00AC1E34"/>
    <w:rsid w:val="00AD6584"/>
    <w:rsid w:val="00AF2395"/>
    <w:rsid w:val="00AF3954"/>
    <w:rsid w:val="00AF401A"/>
    <w:rsid w:val="00B40D27"/>
    <w:rsid w:val="00B52E59"/>
    <w:rsid w:val="00B5724D"/>
    <w:rsid w:val="00B6151A"/>
    <w:rsid w:val="00B660F3"/>
    <w:rsid w:val="00B66C1B"/>
    <w:rsid w:val="00B85733"/>
    <w:rsid w:val="00BB1B8D"/>
    <w:rsid w:val="00BE13ED"/>
    <w:rsid w:val="00C00F05"/>
    <w:rsid w:val="00C02D41"/>
    <w:rsid w:val="00C16004"/>
    <w:rsid w:val="00C24796"/>
    <w:rsid w:val="00C323E5"/>
    <w:rsid w:val="00C433D4"/>
    <w:rsid w:val="00C5685D"/>
    <w:rsid w:val="00C56D57"/>
    <w:rsid w:val="00C70078"/>
    <w:rsid w:val="00C71368"/>
    <w:rsid w:val="00C973F7"/>
    <w:rsid w:val="00CA7145"/>
    <w:rsid w:val="00CB5DCC"/>
    <w:rsid w:val="00CC2D25"/>
    <w:rsid w:val="00CE1FA9"/>
    <w:rsid w:val="00CE7B61"/>
    <w:rsid w:val="00CF23D0"/>
    <w:rsid w:val="00CF4AD8"/>
    <w:rsid w:val="00CF618F"/>
    <w:rsid w:val="00D13A9B"/>
    <w:rsid w:val="00D1747F"/>
    <w:rsid w:val="00D27153"/>
    <w:rsid w:val="00D40ECF"/>
    <w:rsid w:val="00D6050C"/>
    <w:rsid w:val="00D73EAB"/>
    <w:rsid w:val="00D76361"/>
    <w:rsid w:val="00D81BFC"/>
    <w:rsid w:val="00D950BF"/>
    <w:rsid w:val="00D9642B"/>
    <w:rsid w:val="00DA0656"/>
    <w:rsid w:val="00DA6B9E"/>
    <w:rsid w:val="00DB39C8"/>
    <w:rsid w:val="00DD37BD"/>
    <w:rsid w:val="00DE6094"/>
    <w:rsid w:val="00DE75E7"/>
    <w:rsid w:val="00DF13DA"/>
    <w:rsid w:val="00DF3FD6"/>
    <w:rsid w:val="00E055EB"/>
    <w:rsid w:val="00E22DAD"/>
    <w:rsid w:val="00E86712"/>
    <w:rsid w:val="00EA3393"/>
    <w:rsid w:val="00ED002A"/>
    <w:rsid w:val="00ED16BF"/>
    <w:rsid w:val="00EE3440"/>
    <w:rsid w:val="00EF5CA1"/>
    <w:rsid w:val="00F05C49"/>
    <w:rsid w:val="00F0629B"/>
    <w:rsid w:val="00F11F3B"/>
    <w:rsid w:val="00F23BB8"/>
    <w:rsid w:val="00F65C1C"/>
    <w:rsid w:val="00F75434"/>
    <w:rsid w:val="00F869FF"/>
    <w:rsid w:val="00F95185"/>
    <w:rsid w:val="00FA0BCC"/>
    <w:rsid w:val="00FC4965"/>
    <w:rsid w:val="00FD1E39"/>
    <w:rsid w:val="00FE0501"/>
    <w:rsid w:val="00FF2B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095A8"/>
  <w15:chartTrackingRefBased/>
  <w15:docId w15:val="{3F95FE5F-BA1D-47C1-8EAF-A88B317DD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7B61"/>
    <w:pPr>
      <w:spacing w:line="259" w:lineRule="auto"/>
    </w:pPr>
    <w:rPr>
      <w:kern w:val="0"/>
      <w:sz w:val="22"/>
      <w:szCs w:val="22"/>
      <w14:ligatures w14:val="none"/>
    </w:rPr>
  </w:style>
  <w:style w:type="paragraph" w:styleId="1">
    <w:name w:val="heading 1"/>
    <w:basedOn w:val="a"/>
    <w:next w:val="a"/>
    <w:link w:val="10"/>
    <w:uiPriority w:val="9"/>
    <w:qFormat/>
    <w:rsid w:val="00720C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20C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20C9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20C9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20C9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20C9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20C9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20C9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20C9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0C9D"/>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20C9D"/>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20C9D"/>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20C9D"/>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20C9D"/>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20C9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20C9D"/>
    <w:rPr>
      <w:rFonts w:eastAsiaTheme="majorEastAsia" w:cstheme="majorBidi"/>
      <w:color w:val="595959" w:themeColor="text1" w:themeTint="A6"/>
    </w:rPr>
  </w:style>
  <w:style w:type="character" w:customStyle="1" w:styleId="80">
    <w:name w:val="Заголовок 8 Знак"/>
    <w:basedOn w:val="a0"/>
    <w:link w:val="8"/>
    <w:uiPriority w:val="9"/>
    <w:semiHidden/>
    <w:rsid w:val="00720C9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20C9D"/>
    <w:rPr>
      <w:rFonts w:eastAsiaTheme="majorEastAsia" w:cstheme="majorBidi"/>
      <w:color w:val="272727" w:themeColor="text1" w:themeTint="D8"/>
    </w:rPr>
  </w:style>
  <w:style w:type="paragraph" w:styleId="a3">
    <w:name w:val="Title"/>
    <w:basedOn w:val="a"/>
    <w:next w:val="a"/>
    <w:link w:val="a4"/>
    <w:uiPriority w:val="10"/>
    <w:qFormat/>
    <w:rsid w:val="00720C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720C9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20C9D"/>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720C9D"/>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20C9D"/>
    <w:pPr>
      <w:spacing w:before="160"/>
      <w:jc w:val="center"/>
    </w:pPr>
    <w:rPr>
      <w:i/>
      <w:iCs/>
      <w:color w:val="404040" w:themeColor="text1" w:themeTint="BF"/>
    </w:rPr>
  </w:style>
  <w:style w:type="character" w:customStyle="1" w:styleId="a8">
    <w:name w:val="Цитата Знак"/>
    <w:basedOn w:val="a0"/>
    <w:link w:val="a7"/>
    <w:uiPriority w:val="29"/>
    <w:rsid w:val="00720C9D"/>
    <w:rPr>
      <w:i/>
      <w:iCs/>
      <w:color w:val="404040" w:themeColor="text1" w:themeTint="BF"/>
    </w:rPr>
  </w:style>
  <w:style w:type="paragraph" w:styleId="a9">
    <w:name w:val="List Paragraph"/>
    <w:basedOn w:val="a"/>
    <w:uiPriority w:val="34"/>
    <w:qFormat/>
    <w:rsid w:val="00720C9D"/>
    <w:pPr>
      <w:ind w:left="720"/>
      <w:contextualSpacing/>
    </w:pPr>
  </w:style>
  <w:style w:type="character" w:styleId="aa">
    <w:name w:val="Intense Emphasis"/>
    <w:basedOn w:val="a0"/>
    <w:uiPriority w:val="21"/>
    <w:qFormat/>
    <w:rsid w:val="00720C9D"/>
    <w:rPr>
      <w:i/>
      <w:iCs/>
      <w:color w:val="0F4761" w:themeColor="accent1" w:themeShade="BF"/>
    </w:rPr>
  </w:style>
  <w:style w:type="paragraph" w:styleId="ab">
    <w:name w:val="Intense Quote"/>
    <w:basedOn w:val="a"/>
    <w:next w:val="a"/>
    <w:link w:val="ac"/>
    <w:uiPriority w:val="30"/>
    <w:qFormat/>
    <w:rsid w:val="00720C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720C9D"/>
    <w:rPr>
      <w:i/>
      <w:iCs/>
      <w:color w:val="0F4761" w:themeColor="accent1" w:themeShade="BF"/>
    </w:rPr>
  </w:style>
  <w:style w:type="character" w:styleId="ad">
    <w:name w:val="Intense Reference"/>
    <w:basedOn w:val="a0"/>
    <w:uiPriority w:val="32"/>
    <w:qFormat/>
    <w:rsid w:val="00720C9D"/>
    <w:rPr>
      <w:b/>
      <w:bCs/>
      <w:smallCaps/>
      <w:color w:val="0F4761" w:themeColor="accent1" w:themeShade="BF"/>
      <w:spacing w:val="5"/>
    </w:rPr>
  </w:style>
  <w:style w:type="table" w:styleId="ae">
    <w:name w:val="Table Grid"/>
    <w:basedOn w:val="a1"/>
    <w:uiPriority w:val="39"/>
    <w:rsid w:val="00720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
    <w:link w:val="af0"/>
    <w:uiPriority w:val="99"/>
    <w:rsid w:val="006B519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ій колонтитул Знак"/>
    <w:basedOn w:val="a0"/>
    <w:link w:val="af"/>
    <w:uiPriority w:val="99"/>
    <w:rsid w:val="006B5192"/>
    <w:rPr>
      <w:rFonts w:ascii="Times New Roman" w:eastAsia="Times New Roman" w:hAnsi="Times New Roman" w:cs="Times New Roman"/>
      <w:kern w:val="0"/>
      <w:sz w:val="20"/>
      <w:szCs w:val="20"/>
      <w:lang w:eastAsia="ru-RU"/>
      <w14:ligatures w14:val="none"/>
    </w:rPr>
  </w:style>
  <w:style w:type="character" w:styleId="af1">
    <w:name w:val="Hyperlink"/>
    <w:basedOn w:val="a0"/>
    <w:uiPriority w:val="99"/>
    <w:unhideWhenUsed/>
    <w:rsid w:val="007775F7"/>
    <w:rPr>
      <w:color w:val="467886" w:themeColor="hyperlink"/>
      <w:u w:val="single"/>
    </w:rPr>
  </w:style>
  <w:style w:type="paragraph" w:customStyle="1" w:styleId="rvps2">
    <w:name w:val="rvps2"/>
    <w:basedOn w:val="a"/>
    <w:rsid w:val="007775F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2">
    <w:name w:val="Balloon Text"/>
    <w:basedOn w:val="a"/>
    <w:link w:val="af3"/>
    <w:uiPriority w:val="99"/>
    <w:semiHidden/>
    <w:unhideWhenUsed/>
    <w:rsid w:val="00F05C49"/>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F05C49"/>
    <w:rPr>
      <w:rFonts w:ascii="Segoe UI" w:hAnsi="Segoe UI" w:cs="Segoe UI"/>
      <w:kern w:val="0"/>
      <w:sz w:val="18"/>
      <w:szCs w:val="18"/>
      <w14:ligatures w14:val="none"/>
    </w:rPr>
  </w:style>
  <w:style w:type="character" w:styleId="af4">
    <w:name w:val="annotation reference"/>
    <w:basedOn w:val="a0"/>
    <w:uiPriority w:val="99"/>
    <w:semiHidden/>
    <w:unhideWhenUsed/>
    <w:rsid w:val="00644EEE"/>
    <w:rPr>
      <w:sz w:val="16"/>
      <w:szCs w:val="16"/>
    </w:rPr>
  </w:style>
  <w:style w:type="paragraph" w:styleId="af5">
    <w:name w:val="annotation text"/>
    <w:basedOn w:val="a"/>
    <w:link w:val="af6"/>
    <w:uiPriority w:val="99"/>
    <w:semiHidden/>
    <w:unhideWhenUsed/>
    <w:rsid w:val="00644EEE"/>
    <w:pPr>
      <w:spacing w:line="240" w:lineRule="auto"/>
    </w:pPr>
    <w:rPr>
      <w:sz w:val="20"/>
      <w:szCs w:val="20"/>
    </w:rPr>
  </w:style>
  <w:style w:type="character" w:customStyle="1" w:styleId="af6">
    <w:name w:val="Текст примітки Знак"/>
    <w:basedOn w:val="a0"/>
    <w:link w:val="af5"/>
    <w:uiPriority w:val="99"/>
    <w:semiHidden/>
    <w:rsid w:val="00644EEE"/>
    <w:rPr>
      <w:kern w:val="0"/>
      <w:sz w:val="20"/>
      <w:szCs w:val="20"/>
      <w14:ligatures w14:val="none"/>
    </w:rPr>
  </w:style>
  <w:style w:type="paragraph" w:styleId="af7">
    <w:name w:val="annotation subject"/>
    <w:basedOn w:val="af5"/>
    <w:next w:val="af5"/>
    <w:link w:val="af8"/>
    <w:uiPriority w:val="99"/>
    <w:semiHidden/>
    <w:unhideWhenUsed/>
    <w:rsid w:val="00644EEE"/>
    <w:rPr>
      <w:b/>
      <w:bCs/>
    </w:rPr>
  </w:style>
  <w:style w:type="character" w:customStyle="1" w:styleId="af8">
    <w:name w:val="Тема примітки Знак"/>
    <w:basedOn w:val="af6"/>
    <w:link w:val="af7"/>
    <w:uiPriority w:val="99"/>
    <w:semiHidden/>
    <w:rsid w:val="00644EEE"/>
    <w:rPr>
      <w:b/>
      <w:bCs/>
      <w:kern w:val="0"/>
      <w:sz w:val="20"/>
      <w:szCs w:val="20"/>
      <w14:ligatures w14:val="none"/>
    </w:rPr>
  </w:style>
  <w:style w:type="paragraph" w:styleId="af9">
    <w:name w:val="header"/>
    <w:basedOn w:val="a"/>
    <w:link w:val="afa"/>
    <w:uiPriority w:val="99"/>
    <w:unhideWhenUsed/>
    <w:rsid w:val="009B0696"/>
    <w:pPr>
      <w:tabs>
        <w:tab w:val="center" w:pos="4819"/>
        <w:tab w:val="right" w:pos="9639"/>
      </w:tabs>
      <w:spacing w:after="0" w:line="240" w:lineRule="auto"/>
    </w:pPr>
  </w:style>
  <w:style w:type="character" w:customStyle="1" w:styleId="afa">
    <w:name w:val="Верхній колонтитул Знак"/>
    <w:basedOn w:val="a0"/>
    <w:link w:val="af9"/>
    <w:uiPriority w:val="99"/>
    <w:rsid w:val="009B0696"/>
    <w:rPr>
      <w:kern w:val="0"/>
      <w:sz w:val="22"/>
      <w:szCs w:val="22"/>
      <w14:ligatures w14:val="none"/>
    </w:rPr>
  </w:style>
  <w:style w:type="paragraph" w:styleId="afb">
    <w:name w:val="Revision"/>
    <w:hidden/>
    <w:uiPriority w:val="99"/>
    <w:semiHidden/>
    <w:rsid w:val="00C70078"/>
    <w:pPr>
      <w:spacing w:after="0" w:line="240" w:lineRule="auto"/>
    </w:pPr>
    <w:rPr>
      <w:kern w:val="0"/>
      <w:sz w:val="22"/>
      <w:szCs w:val="22"/>
      <w14:ligatures w14:val="none"/>
    </w:rPr>
  </w:style>
  <w:style w:type="paragraph" w:customStyle="1" w:styleId="11">
    <w:name w:val="1"/>
    <w:basedOn w:val="a"/>
    <w:rsid w:val="003C32F6"/>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307359">
      <w:bodyDiv w:val="1"/>
      <w:marLeft w:val="0"/>
      <w:marRight w:val="0"/>
      <w:marTop w:val="0"/>
      <w:marBottom w:val="0"/>
      <w:divBdr>
        <w:top w:val="none" w:sz="0" w:space="0" w:color="auto"/>
        <w:left w:val="none" w:sz="0" w:space="0" w:color="auto"/>
        <w:bottom w:val="none" w:sz="0" w:space="0" w:color="auto"/>
        <w:right w:val="none" w:sz="0" w:space="0" w:color="auto"/>
      </w:divBdr>
    </w:div>
    <w:div w:id="578294275">
      <w:bodyDiv w:val="1"/>
      <w:marLeft w:val="0"/>
      <w:marRight w:val="0"/>
      <w:marTop w:val="0"/>
      <w:marBottom w:val="0"/>
      <w:divBdr>
        <w:top w:val="none" w:sz="0" w:space="0" w:color="auto"/>
        <w:left w:val="none" w:sz="0" w:space="0" w:color="auto"/>
        <w:bottom w:val="none" w:sz="0" w:space="0" w:color="auto"/>
        <w:right w:val="none" w:sz="0" w:space="0" w:color="auto"/>
      </w:divBdr>
    </w:div>
    <w:div w:id="760446435">
      <w:bodyDiv w:val="1"/>
      <w:marLeft w:val="0"/>
      <w:marRight w:val="0"/>
      <w:marTop w:val="0"/>
      <w:marBottom w:val="0"/>
      <w:divBdr>
        <w:top w:val="none" w:sz="0" w:space="0" w:color="auto"/>
        <w:left w:val="none" w:sz="0" w:space="0" w:color="auto"/>
        <w:bottom w:val="none" w:sz="0" w:space="0" w:color="auto"/>
        <w:right w:val="none" w:sz="0" w:space="0" w:color="auto"/>
      </w:divBdr>
    </w:div>
    <w:div w:id="953947951">
      <w:bodyDiv w:val="1"/>
      <w:marLeft w:val="0"/>
      <w:marRight w:val="0"/>
      <w:marTop w:val="0"/>
      <w:marBottom w:val="0"/>
      <w:divBdr>
        <w:top w:val="none" w:sz="0" w:space="0" w:color="auto"/>
        <w:left w:val="none" w:sz="0" w:space="0" w:color="auto"/>
        <w:bottom w:val="none" w:sz="0" w:space="0" w:color="auto"/>
        <w:right w:val="none" w:sz="0" w:space="0" w:color="auto"/>
      </w:divBdr>
    </w:div>
    <w:div w:id="962274365">
      <w:bodyDiv w:val="1"/>
      <w:marLeft w:val="0"/>
      <w:marRight w:val="0"/>
      <w:marTop w:val="0"/>
      <w:marBottom w:val="0"/>
      <w:divBdr>
        <w:top w:val="none" w:sz="0" w:space="0" w:color="auto"/>
        <w:left w:val="none" w:sz="0" w:space="0" w:color="auto"/>
        <w:bottom w:val="none" w:sz="0" w:space="0" w:color="auto"/>
        <w:right w:val="none" w:sz="0" w:space="0" w:color="auto"/>
      </w:divBdr>
    </w:div>
    <w:div w:id="1198129660">
      <w:bodyDiv w:val="1"/>
      <w:marLeft w:val="0"/>
      <w:marRight w:val="0"/>
      <w:marTop w:val="0"/>
      <w:marBottom w:val="0"/>
      <w:divBdr>
        <w:top w:val="none" w:sz="0" w:space="0" w:color="auto"/>
        <w:left w:val="none" w:sz="0" w:space="0" w:color="auto"/>
        <w:bottom w:val="none" w:sz="0" w:space="0" w:color="auto"/>
        <w:right w:val="none" w:sz="0" w:space="0" w:color="auto"/>
      </w:divBdr>
    </w:div>
    <w:div w:id="1283852085">
      <w:bodyDiv w:val="1"/>
      <w:marLeft w:val="0"/>
      <w:marRight w:val="0"/>
      <w:marTop w:val="0"/>
      <w:marBottom w:val="0"/>
      <w:divBdr>
        <w:top w:val="none" w:sz="0" w:space="0" w:color="auto"/>
        <w:left w:val="none" w:sz="0" w:space="0" w:color="auto"/>
        <w:bottom w:val="none" w:sz="0" w:space="0" w:color="auto"/>
        <w:right w:val="none" w:sz="0" w:space="0" w:color="auto"/>
      </w:divBdr>
      <w:divsChild>
        <w:div w:id="886793825">
          <w:marLeft w:val="0"/>
          <w:marRight w:val="0"/>
          <w:marTop w:val="0"/>
          <w:marBottom w:val="0"/>
          <w:divBdr>
            <w:top w:val="none" w:sz="0" w:space="0" w:color="auto"/>
            <w:left w:val="none" w:sz="0" w:space="0" w:color="auto"/>
            <w:bottom w:val="none" w:sz="0" w:space="0" w:color="auto"/>
            <w:right w:val="none" w:sz="0" w:space="0" w:color="auto"/>
          </w:divBdr>
        </w:div>
      </w:divsChild>
    </w:div>
    <w:div w:id="1550602845">
      <w:bodyDiv w:val="1"/>
      <w:marLeft w:val="0"/>
      <w:marRight w:val="0"/>
      <w:marTop w:val="0"/>
      <w:marBottom w:val="0"/>
      <w:divBdr>
        <w:top w:val="none" w:sz="0" w:space="0" w:color="auto"/>
        <w:left w:val="none" w:sz="0" w:space="0" w:color="auto"/>
        <w:bottom w:val="none" w:sz="0" w:space="0" w:color="auto"/>
        <w:right w:val="none" w:sz="0" w:space="0" w:color="auto"/>
      </w:divBdr>
    </w:div>
    <w:div w:id="1579435663">
      <w:bodyDiv w:val="1"/>
      <w:marLeft w:val="0"/>
      <w:marRight w:val="0"/>
      <w:marTop w:val="0"/>
      <w:marBottom w:val="0"/>
      <w:divBdr>
        <w:top w:val="none" w:sz="0" w:space="0" w:color="auto"/>
        <w:left w:val="none" w:sz="0" w:space="0" w:color="auto"/>
        <w:bottom w:val="none" w:sz="0" w:space="0" w:color="auto"/>
        <w:right w:val="none" w:sz="0" w:space="0" w:color="auto"/>
      </w:divBdr>
    </w:div>
    <w:div w:id="1580141900">
      <w:bodyDiv w:val="1"/>
      <w:marLeft w:val="0"/>
      <w:marRight w:val="0"/>
      <w:marTop w:val="0"/>
      <w:marBottom w:val="0"/>
      <w:divBdr>
        <w:top w:val="none" w:sz="0" w:space="0" w:color="auto"/>
        <w:left w:val="none" w:sz="0" w:space="0" w:color="auto"/>
        <w:bottom w:val="none" w:sz="0" w:space="0" w:color="auto"/>
        <w:right w:val="none" w:sz="0" w:space="0" w:color="auto"/>
      </w:divBdr>
    </w:div>
    <w:div w:id="1606767524">
      <w:bodyDiv w:val="1"/>
      <w:marLeft w:val="0"/>
      <w:marRight w:val="0"/>
      <w:marTop w:val="0"/>
      <w:marBottom w:val="0"/>
      <w:divBdr>
        <w:top w:val="none" w:sz="0" w:space="0" w:color="auto"/>
        <w:left w:val="none" w:sz="0" w:space="0" w:color="auto"/>
        <w:bottom w:val="none" w:sz="0" w:space="0" w:color="auto"/>
        <w:right w:val="none" w:sz="0" w:space="0" w:color="auto"/>
      </w:divBdr>
    </w:div>
    <w:div w:id="1623606924">
      <w:bodyDiv w:val="1"/>
      <w:marLeft w:val="0"/>
      <w:marRight w:val="0"/>
      <w:marTop w:val="0"/>
      <w:marBottom w:val="0"/>
      <w:divBdr>
        <w:top w:val="none" w:sz="0" w:space="0" w:color="auto"/>
        <w:left w:val="none" w:sz="0" w:space="0" w:color="auto"/>
        <w:bottom w:val="none" w:sz="0" w:space="0" w:color="auto"/>
        <w:right w:val="none" w:sz="0" w:space="0" w:color="auto"/>
      </w:divBdr>
    </w:div>
    <w:div w:id="179590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F4FE0-86C0-482E-B549-504A09354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4381</Words>
  <Characters>2498</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c:creator>
  <cp:keywords/>
  <dc:description/>
  <cp:lastModifiedBy>Айнуре  Касіч</cp:lastModifiedBy>
  <cp:revision>5</cp:revision>
  <cp:lastPrinted>2024-12-24T12:31:00Z</cp:lastPrinted>
  <dcterms:created xsi:type="dcterms:W3CDTF">2025-03-10T08:39:00Z</dcterms:created>
  <dcterms:modified xsi:type="dcterms:W3CDTF">2025-03-10T14:05:00Z</dcterms:modified>
</cp:coreProperties>
</file>