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DBB635" w14:textId="77777777" w:rsidR="0018455A" w:rsidRPr="00A71F6C" w:rsidRDefault="0018455A" w:rsidP="0018455A">
      <w:pPr>
        <w:jc w:val="center"/>
        <w:rPr>
          <w:b/>
          <w:bCs/>
          <w:sz w:val="24"/>
          <w:szCs w:val="24"/>
        </w:rPr>
      </w:pPr>
      <w:r w:rsidRPr="00A71F6C">
        <w:rPr>
          <w:b/>
          <w:bCs/>
          <w:sz w:val="24"/>
          <w:szCs w:val="24"/>
        </w:rPr>
        <w:t>УЗАГАЛЬНЕНІ ЗАУВАЖЕННЯ</w:t>
      </w:r>
    </w:p>
    <w:p w14:paraId="28E9D863" w14:textId="77777777" w:rsidR="007B4965" w:rsidRPr="00A71F6C" w:rsidRDefault="0018455A" w:rsidP="0018455A">
      <w:pPr>
        <w:jc w:val="center"/>
        <w:rPr>
          <w:b/>
          <w:bCs/>
          <w:sz w:val="24"/>
          <w:szCs w:val="24"/>
        </w:rPr>
      </w:pPr>
      <w:r w:rsidRPr="00A71F6C">
        <w:rPr>
          <w:b/>
          <w:bCs/>
          <w:sz w:val="24"/>
          <w:szCs w:val="24"/>
        </w:rPr>
        <w:t xml:space="preserve">та пропозиції до </w:t>
      </w:r>
      <w:proofErr w:type="spellStart"/>
      <w:r w:rsidRPr="00A71F6C">
        <w:rPr>
          <w:b/>
          <w:bCs/>
          <w:sz w:val="24"/>
          <w:szCs w:val="24"/>
        </w:rPr>
        <w:t>проєкту</w:t>
      </w:r>
      <w:proofErr w:type="spellEnd"/>
      <w:r w:rsidRPr="00A71F6C">
        <w:rPr>
          <w:b/>
          <w:bCs/>
          <w:sz w:val="24"/>
          <w:szCs w:val="24"/>
        </w:rPr>
        <w:t xml:space="preserve"> рішення НКРЕКП, що має ознаки регуляторного </w:t>
      </w:r>
      <w:proofErr w:type="spellStart"/>
      <w:r w:rsidRPr="00A71F6C">
        <w:rPr>
          <w:b/>
          <w:bCs/>
          <w:sz w:val="24"/>
          <w:szCs w:val="24"/>
        </w:rPr>
        <w:t>акта</w:t>
      </w:r>
      <w:proofErr w:type="spellEnd"/>
      <w:r w:rsidRPr="00A71F6C">
        <w:rPr>
          <w:b/>
          <w:bCs/>
          <w:sz w:val="24"/>
          <w:szCs w:val="24"/>
        </w:rPr>
        <w:t>, – постанови НКРЕКП «</w:t>
      </w:r>
      <w:r w:rsidR="00387AD6" w:rsidRPr="00387AD6">
        <w:rPr>
          <w:b/>
          <w:bCs/>
          <w:sz w:val="24"/>
          <w:szCs w:val="24"/>
        </w:rPr>
        <w:t>Про затвердження Змін до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w:t>
      </w:r>
      <w:r w:rsidRPr="00A71F6C">
        <w:rPr>
          <w:b/>
          <w:bCs/>
          <w:sz w:val="24"/>
          <w:szCs w:val="24"/>
        </w:rPr>
        <w:t>»</w:t>
      </w:r>
    </w:p>
    <w:p w14:paraId="2E1F0C3B" w14:textId="77777777" w:rsidR="004A2B24" w:rsidRPr="00A71F6C" w:rsidRDefault="004A2B24" w:rsidP="0018455A">
      <w:pPr>
        <w:jc w:val="center"/>
        <w:rPr>
          <w:b/>
          <w:bCs/>
          <w:sz w:val="24"/>
          <w:szCs w:val="24"/>
        </w:rPr>
      </w:pPr>
    </w:p>
    <w:tbl>
      <w:tblPr>
        <w:tblW w:w="1519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39"/>
        <w:gridCol w:w="5809"/>
        <w:gridCol w:w="3549"/>
      </w:tblGrid>
      <w:tr w:rsidR="00A71F6C" w:rsidRPr="00D927E4" w14:paraId="7A54F7F4" w14:textId="77777777" w:rsidTr="00894ECB">
        <w:trPr>
          <w:trHeight w:val="595"/>
        </w:trPr>
        <w:tc>
          <w:tcPr>
            <w:tcW w:w="5839" w:type="dxa"/>
            <w:vAlign w:val="center"/>
          </w:tcPr>
          <w:p w14:paraId="78250B19" w14:textId="77777777" w:rsidR="0018455A" w:rsidRPr="00D927E4" w:rsidRDefault="0018455A" w:rsidP="0018455A">
            <w:pPr>
              <w:jc w:val="center"/>
              <w:rPr>
                <w:b/>
                <w:sz w:val="22"/>
                <w:szCs w:val="22"/>
              </w:rPr>
            </w:pPr>
            <w:r w:rsidRPr="00D927E4">
              <w:rPr>
                <w:b/>
                <w:sz w:val="22"/>
                <w:szCs w:val="22"/>
              </w:rPr>
              <w:t xml:space="preserve">Редакція </w:t>
            </w:r>
            <w:proofErr w:type="spellStart"/>
            <w:r w:rsidRPr="00D927E4">
              <w:rPr>
                <w:b/>
                <w:sz w:val="22"/>
                <w:szCs w:val="22"/>
              </w:rPr>
              <w:t>проєкту</w:t>
            </w:r>
            <w:proofErr w:type="spellEnd"/>
            <w:r w:rsidRPr="00D927E4">
              <w:rPr>
                <w:b/>
                <w:sz w:val="22"/>
                <w:szCs w:val="22"/>
              </w:rPr>
              <w:t xml:space="preserve"> рішення НКРЕКП</w:t>
            </w:r>
          </w:p>
        </w:tc>
        <w:tc>
          <w:tcPr>
            <w:tcW w:w="5809" w:type="dxa"/>
            <w:vAlign w:val="center"/>
          </w:tcPr>
          <w:p w14:paraId="4027ABDA" w14:textId="77777777" w:rsidR="0018455A" w:rsidRPr="00D927E4" w:rsidRDefault="0018455A" w:rsidP="0018455A">
            <w:pPr>
              <w:jc w:val="center"/>
              <w:rPr>
                <w:b/>
                <w:sz w:val="22"/>
                <w:szCs w:val="22"/>
              </w:rPr>
            </w:pPr>
            <w:r w:rsidRPr="00D927E4">
              <w:rPr>
                <w:b/>
                <w:sz w:val="22"/>
                <w:szCs w:val="22"/>
              </w:rPr>
              <w:t xml:space="preserve">Зауваження та пропозиції до </w:t>
            </w:r>
            <w:proofErr w:type="spellStart"/>
            <w:r w:rsidRPr="00D927E4">
              <w:rPr>
                <w:b/>
                <w:sz w:val="22"/>
                <w:szCs w:val="22"/>
              </w:rPr>
              <w:t>проєкту</w:t>
            </w:r>
            <w:proofErr w:type="spellEnd"/>
            <w:r w:rsidRPr="00D927E4">
              <w:rPr>
                <w:b/>
                <w:sz w:val="22"/>
                <w:szCs w:val="22"/>
              </w:rPr>
              <w:t xml:space="preserve"> рішення НКРЕКП</w:t>
            </w:r>
          </w:p>
        </w:tc>
        <w:tc>
          <w:tcPr>
            <w:tcW w:w="3549" w:type="dxa"/>
            <w:vAlign w:val="center"/>
          </w:tcPr>
          <w:p w14:paraId="4CF8A814" w14:textId="77777777" w:rsidR="0018455A" w:rsidRPr="00D927E4" w:rsidRDefault="0018455A" w:rsidP="0018455A">
            <w:pPr>
              <w:jc w:val="center"/>
              <w:rPr>
                <w:b/>
                <w:sz w:val="22"/>
                <w:szCs w:val="22"/>
              </w:rPr>
            </w:pPr>
            <w:r w:rsidRPr="00D927E4">
              <w:rPr>
                <w:b/>
                <w:sz w:val="22"/>
                <w:szCs w:val="22"/>
                <w:shd w:val="clear" w:color="auto" w:fill="FFFFFF"/>
              </w:rPr>
              <w:t>Попередня позиція НКРЕКП щодо наданих зауважень та пропозицій з обґрунтуваннями щодо прийняття або відхилення</w:t>
            </w:r>
          </w:p>
        </w:tc>
      </w:tr>
      <w:tr w:rsidR="00894ECB" w:rsidRPr="00D927E4" w14:paraId="68B362CC" w14:textId="77777777" w:rsidTr="00CF133B">
        <w:trPr>
          <w:trHeight w:val="595"/>
        </w:trPr>
        <w:tc>
          <w:tcPr>
            <w:tcW w:w="15197" w:type="dxa"/>
            <w:gridSpan w:val="3"/>
            <w:vAlign w:val="center"/>
          </w:tcPr>
          <w:p w14:paraId="28B9530A" w14:textId="77777777" w:rsidR="00894ECB" w:rsidRPr="00D927E4" w:rsidRDefault="00894ECB" w:rsidP="0018455A">
            <w:pPr>
              <w:jc w:val="center"/>
              <w:rPr>
                <w:b/>
                <w:sz w:val="22"/>
                <w:szCs w:val="22"/>
                <w:shd w:val="clear" w:color="auto" w:fill="FFFFFF"/>
              </w:rPr>
            </w:pPr>
            <w:r w:rsidRPr="00D927E4">
              <w:rPr>
                <w:b/>
                <w:sz w:val="22"/>
                <w:szCs w:val="22"/>
              </w:rPr>
              <w:t>Постанова «Про затвердження Змін до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w:t>
            </w:r>
          </w:p>
        </w:tc>
      </w:tr>
      <w:tr w:rsidR="00894ECB" w:rsidRPr="00D927E4" w14:paraId="7D5A31BA" w14:textId="77777777" w:rsidTr="00713F9D">
        <w:trPr>
          <w:trHeight w:val="595"/>
        </w:trPr>
        <w:tc>
          <w:tcPr>
            <w:tcW w:w="5839" w:type="dxa"/>
          </w:tcPr>
          <w:p w14:paraId="44E226D8" w14:textId="77777777" w:rsidR="00894ECB" w:rsidRPr="00D927E4" w:rsidRDefault="00894ECB" w:rsidP="00894ECB">
            <w:pPr>
              <w:ind w:firstLine="240"/>
              <w:jc w:val="both"/>
              <w:rPr>
                <w:color w:val="000000"/>
                <w:sz w:val="22"/>
                <w:szCs w:val="22"/>
              </w:rPr>
            </w:pPr>
          </w:p>
          <w:p w14:paraId="32F8F42D" w14:textId="77777777" w:rsidR="00894ECB" w:rsidRDefault="00894ECB" w:rsidP="00894ECB">
            <w:pPr>
              <w:ind w:firstLine="240"/>
              <w:jc w:val="both"/>
              <w:rPr>
                <w:color w:val="000000"/>
                <w:sz w:val="22"/>
                <w:szCs w:val="22"/>
              </w:rPr>
            </w:pPr>
          </w:p>
          <w:p w14:paraId="13BC35AC" w14:textId="77777777" w:rsidR="00713F9D" w:rsidRDefault="00713F9D" w:rsidP="00894ECB">
            <w:pPr>
              <w:ind w:firstLine="240"/>
              <w:jc w:val="both"/>
              <w:rPr>
                <w:color w:val="000000"/>
                <w:sz w:val="22"/>
                <w:szCs w:val="22"/>
              </w:rPr>
            </w:pPr>
          </w:p>
          <w:p w14:paraId="3663BA5D" w14:textId="77777777" w:rsidR="00713F9D" w:rsidRDefault="00713F9D" w:rsidP="00894ECB">
            <w:pPr>
              <w:ind w:firstLine="240"/>
              <w:jc w:val="both"/>
              <w:rPr>
                <w:color w:val="000000"/>
                <w:sz w:val="22"/>
                <w:szCs w:val="22"/>
              </w:rPr>
            </w:pPr>
          </w:p>
          <w:p w14:paraId="2AF14213" w14:textId="77777777" w:rsidR="00713F9D" w:rsidRDefault="00713F9D" w:rsidP="00894ECB">
            <w:pPr>
              <w:ind w:firstLine="240"/>
              <w:jc w:val="both"/>
              <w:rPr>
                <w:color w:val="000000"/>
                <w:sz w:val="22"/>
                <w:szCs w:val="22"/>
              </w:rPr>
            </w:pPr>
          </w:p>
          <w:p w14:paraId="0480A6E7" w14:textId="77777777" w:rsidR="00713F9D" w:rsidRDefault="00713F9D" w:rsidP="00894ECB">
            <w:pPr>
              <w:ind w:firstLine="240"/>
              <w:jc w:val="both"/>
              <w:rPr>
                <w:color w:val="000000"/>
                <w:sz w:val="22"/>
                <w:szCs w:val="22"/>
              </w:rPr>
            </w:pPr>
          </w:p>
          <w:p w14:paraId="568F90C8" w14:textId="77777777" w:rsidR="00713F9D" w:rsidRPr="00D927E4" w:rsidRDefault="00713F9D" w:rsidP="00894ECB">
            <w:pPr>
              <w:ind w:firstLine="240"/>
              <w:jc w:val="both"/>
              <w:rPr>
                <w:color w:val="000000"/>
                <w:sz w:val="22"/>
                <w:szCs w:val="22"/>
              </w:rPr>
            </w:pPr>
          </w:p>
          <w:p w14:paraId="5CB23095" w14:textId="77777777" w:rsidR="00894ECB" w:rsidRPr="00D927E4" w:rsidRDefault="00894ECB" w:rsidP="00894ECB">
            <w:pPr>
              <w:ind w:firstLine="240"/>
              <w:jc w:val="both"/>
              <w:rPr>
                <w:color w:val="000000"/>
                <w:sz w:val="22"/>
                <w:szCs w:val="22"/>
              </w:rPr>
            </w:pPr>
            <w:r w:rsidRPr="00D927E4">
              <w:rPr>
                <w:color w:val="000000"/>
                <w:sz w:val="22"/>
                <w:szCs w:val="22"/>
              </w:rPr>
              <w:t xml:space="preserve">2. Ця постанова набирає чинності з дня, наступного за днем її оприлюднення на офіційному </w:t>
            </w:r>
            <w:proofErr w:type="spellStart"/>
            <w:r w:rsidRPr="00D927E4">
              <w:rPr>
                <w:color w:val="000000"/>
                <w:sz w:val="22"/>
                <w:szCs w:val="22"/>
              </w:rPr>
              <w:t>вебсайті</w:t>
            </w:r>
            <w:proofErr w:type="spellEnd"/>
            <w:r w:rsidRPr="00D927E4">
              <w:rPr>
                <w:color w:val="000000"/>
                <w:sz w:val="22"/>
                <w:szCs w:val="22"/>
              </w:rPr>
              <w:t xml:space="preserve"> Національної комісії, що здійснює державне регулювання у сферах енергетики та комунальних послуг.</w:t>
            </w:r>
          </w:p>
        </w:tc>
        <w:tc>
          <w:tcPr>
            <w:tcW w:w="5809" w:type="dxa"/>
          </w:tcPr>
          <w:p w14:paraId="3AFE9B7F" w14:textId="77777777" w:rsidR="00894ECB" w:rsidRPr="00D927E4" w:rsidRDefault="00894ECB" w:rsidP="00894ECB">
            <w:pPr>
              <w:rPr>
                <w:i/>
                <w:sz w:val="22"/>
                <w:szCs w:val="22"/>
              </w:rPr>
            </w:pPr>
            <w:r w:rsidRPr="00D927E4">
              <w:rPr>
                <w:i/>
                <w:sz w:val="22"/>
                <w:szCs w:val="22"/>
              </w:rPr>
              <w:t>АТ «ОПЕРАТОР РИНКУ»</w:t>
            </w:r>
          </w:p>
          <w:p w14:paraId="54A02908" w14:textId="77777777" w:rsidR="00894ECB" w:rsidRPr="00D927E4" w:rsidRDefault="00894ECB" w:rsidP="00894ECB">
            <w:pPr>
              <w:ind w:firstLine="306"/>
              <w:jc w:val="both"/>
              <w:rPr>
                <w:b/>
                <w:color w:val="000000"/>
                <w:sz w:val="22"/>
                <w:szCs w:val="22"/>
              </w:rPr>
            </w:pPr>
          </w:p>
          <w:p w14:paraId="1F530634" w14:textId="77777777" w:rsidR="00894ECB" w:rsidRPr="00D927E4" w:rsidRDefault="00894ECB" w:rsidP="00894ECB">
            <w:pPr>
              <w:ind w:firstLine="306"/>
              <w:jc w:val="both"/>
              <w:rPr>
                <w:b/>
                <w:color w:val="000000"/>
                <w:sz w:val="22"/>
                <w:szCs w:val="22"/>
              </w:rPr>
            </w:pPr>
            <w:r w:rsidRPr="00D927E4">
              <w:rPr>
                <w:b/>
                <w:color w:val="000000"/>
                <w:sz w:val="22"/>
                <w:szCs w:val="22"/>
              </w:rPr>
              <w:t>2. Встановити, що пункт 2 Змін, зазначених у пункті 1 цієї постанови, вводиться в дію з 01 січня 2026 року та відповідні зміни застосовуються при розрахунку розмірів штрафів за порушення, вчинені не раніше 2025 року.</w:t>
            </w:r>
          </w:p>
          <w:p w14:paraId="4F21BAC1" w14:textId="77777777" w:rsidR="00894ECB" w:rsidRDefault="00894ECB" w:rsidP="00894ECB">
            <w:pPr>
              <w:ind w:firstLine="306"/>
              <w:jc w:val="both"/>
              <w:rPr>
                <w:color w:val="000000"/>
                <w:sz w:val="22"/>
                <w:szCs w:val="22"/>
              </w:rPr>
            </w:pPr>
            <w:r w:rsidRPr="00D927E4">
              <w:rPr>
                <w:b/>
                <w:color w:val="000000"/>
                <w:sz w:val="22"/>
                <w:szCs w:val="22"/>
              </w:rPr>
              <w:t>3.</w:t>
            </w:r>
            <w:r w:rsidRPr="00D927E4">
              <w:rPr>
                <w:color w:val="000000"/>
                <w:sz w:val="22"/>
                <w:szCs w:val="22"/>
              </w:rPr>
              <w:t xml:space="preserve"> Ця постанова набирає чинності з дня, наступного за днем її оприлюднення на офіційному </w:t>
            </w:r>
            <w:proofErr w:type="spellStart"/>
            <w:r w:rsidRPr="00D927E4">
              <w:rPr>
                <w:color w:val="000000"/>
                <w:sz w:val="22"/>
                <w:szCs w:val="22"/>
              </w:rPr>
              <w:t>вебсайті</w:t>
            </w:r>
            <w:proofErr w:type="spellEnd"/>
            <w:r w:rsidRPr="00D927E4">
              <w:rPr>
                <w:color w:val="000000"/>
                <w:sz w:val="22"/>
                <w:szCs w:val="22"/>
              </w:rPr>
              <w:t xml:space="preserve"> Національної комісії, що здійснює державне регулювання у сферах енергетики та комунальних послуг.</w:t>
            </w:r>
          </w:p>
          <w:p w14:paraId="5C064AFD" w14:textId="77777777" w:rsidR="00713F9D" w:rsidRDefault="00713F9D" w:rsidP="00894ECB">
            <w:pPr>
              <w:ind w:firstLine="306"/>
              <w:jc w:val="both"/>
              <w:rPr>
                <w:color w:val="000000"/>
                <w:sz w:val="22"/>
                <w:szCs w:val="22"/>
              </w:rPr>
            </w:pPr>
          </w:p>
          <w:p w14:paraId="7877B3AF" w14:textId="77777777" w:rsidR="00713F9D" w:rsidRPr="00D927E4" w:rsidRDefault="00713F9D" w:rsidP="00713F9D">
            <w:pPr>
              <w:rPr>
                <w:i/>
                <w:sz w:val="22"/>
                <w:szCs w:val="22"/>
              </w:rPr>
            </w:pPr>
            <w:r w:rsidRPr="00D927E4">
              <w:rPr>
                <w:i/>
                <w:sz w:val="22"/>
                <w:szCs w:val="22"/>
              </w:rPr>
              <w:t>ОБРГРУНТУВАННЯ:</w:t>
            </w:r>
          </w:p>
          <w:p w14:paraId="2335305F" w14:textId="77777777" w:rsidR="00713F9D" w:rsidRDefault="00713F9D" w:rsidP="00894ECB">
            <w:pPr>
              <w:ind w:firstLine="306"/>
              <w:jc w:val="both"/>
              <w:rPr>
                <w:color w:val="000000"/>
                <w:sz w:val="22"/>
                <w:szCs w:val="22"/>
              </w:rPr>
            </w:pPr>
          </w:p>
          <w:p w14:paraId="4A8D6049" w14:textId="77777777" w:rsidR="00713F9D" w:rsidRPr="00D927E4" w:rsidRDefault="00713F9D" w:rsidP="00713F9D">
            <w:pPr>
              <w:ind w:firstLine="240"/>
              <w:jc w:val="both"/>
              <w:rPr>
                <w:i/>
                <w:color w:val="000000"/>
                <w:sz w:val="22"/>
                <w:szCs w:val="22"/>
              </w:rPr>
            </w:pPr>
            <w:r w:rsidRPr="00D927E4">
              <w:rPr>
                <w:i/>
                <w:color w:val="000000"/>
                <w:sz w:val="22"/>
                <w:szCs w:val="22"/>
              </w:rPr>
              <w:t xml:space="preserve">Метою впровадження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 (далі – Порядку (методики)) є зменшення </w:t>
            </w:r>
            <w:proofErr w:type="spellStart"/>
            <w:r w:rsidRPr="00D927E4">
              <w:rPr>
                <w:i/>
                <w:color w:val="000000"/>
                <w:sz w:val="22"/>
                <w:szCs w:val="22"/>
              </w:rPr>
              <w:t>дискреційності</w:t>
            </w:r>
            <w:proofErr w:type="spellEnd"/>
            <w:r w:rsidRPr="00D927E4">
              <w:rPr>
                <w:i/>
                <w:color w:val="000000"/>
                <w:sz w:val="22"/>
                <w:szCs w:val="22"/>
              </w:rPr>
              <w:t xml:space="preserve"> рішень НКРЕКП при накладенні штрафів, вважаємо, що не повинна допускатися дискримінація ліцензіатів, коли за однакове порушення, вчинене в один той самий період, вони отримуватимуть різні суми штрафу через те, що була змінена методика їх розрахунку. </w:t>
            </w:r>
          </w:p>
          <w:p w14:paraId="2CB3BE11" w14:textId="77777777" w:rsidR="00713F9D" w:rsidRPr="00D927E4" w:rsidRDefault="00713F9D" w:rsidP="00713F9D">
            <w:pPr>
              <w:ind w:firstLine="240"/>
              <w:jc w:val="both"/>
              <w:rPr>
                <w:i/>
                <w:color w:val="000000"/>
                <w:sz w:val="22"/>
                <w:szCs w:val="22"/>
              </w:rPr>
            </w:pPr>
            <w:r w:rsidRPr="00D927E4">
              <w:rPr>
                <w:i/>
                <w:color w:val="000000"/>
                <w:sz w:val="22"/>
                <w:szCs w:val="22"/>
              </w:rPr>
              <w:t xml:space="preserve">Також, з </w:t>
            </w:r>
            <w:proofErr w:type="spellStart"/>
            <w:r w:rsidRPr="00D927E4">
              <w:rPr>
                <w:i/>
                <w:color w:val="000000"/>
                <w:sz w:val="22"/>
                <w:szCs w:val="22"/>
              </w:rPr>
              <w:t>проєкту</w:t>
            </w:r>
            <w:proofErr w:type="spellEnd"/>
            <w:r w:rsidRPr="00D927E4">
              <w:rPr>
                <w:i/>
                <w:color w:val="000000"/>
                <w:sz w:val="22"/>
                <w:szCs w:val="22"/>
              </w:rPr>
              <w:t xml:space="preserve"> рішення не зрозуміло – чи поширюватиметься дія змін до Порядку (методики) на минулі періоди, перевірки яких будуть проведені НКРЕКП після набрання чинності змінами. </w:t>
            </w:r>
          </w:p>
          <w:p w14:paraId="068F5B16" w14:textId="77777777" w:rsidR="00713F9D" w:rsidRPr="00D927E4" w:rsidRDefault="00713F9D" w:rsidP="00713F9D">
            <w:pPr>
              <w:ind w:firstLine="306"/>
              <w:jc w:val="both"/>
              <w:rPr>
                <w:color w:val="000000"/>
                <w:sz w:val="22"/>
                <w:szCs w:val="22"/>
              </w:rPr>
            </w:pPr>
            <w:r w:rsidRPr="00D927E4">
              <w:rPr>
                <w:i/>
                <w:color w:val="000000"/>
                <w:sz w:val="22"/>
                <w:szCs w:val="22"/>
              </w:rPr>
              <w:lastRenderedPageBreak/>
              <w:t>Вважаємо, що зміни ключових положень (ті, що мають вплив на розмір штрафу) цього Порядку (методики) повинні відбуватися з нового періоду діяльності ліцензіатів та застосовуватися до порушень, що були вчиненні під час дії цих змін. У зв’язку з цим пропонуємо, щоб нові зміни до Порядку (методики), які впливають на розрахунок розміру штрафу, вводилися в дію з нового звітного періоду.</w:t>
            </w:r>
          </w:p>
        </w:tc>
        <w:tc>
          <w:tcPr>
            <w:tcW w:w="3549" w:type="dxa"/>
          </w:tcPr>
          <w:p w14:paraId="44A6045A" w14:textId="77777777" w:rsidR="00894ECB" w:rsidRPr="00D927E4" w:rsidRDefault="00894ECB" w:rsidP="00894ECB">
            <w:pPr>
              <w:ind w:firstLine="240"/>
              <w:jc w:val="both"/>
              <w:rPr>
                <w:i/>
                <w:color w:val="000000"/>
                <w:sz w:val="22"/>
                <w:szCs w:val="22"/>
              </w:rPr>
            </w:pPr>
          </w:p>
          <w:p w14:paraId="3001D4BA" w14:textId="77777777" w:rsidR="00894ECB" w:rsidRPr="00D927E4" w:rsidRDefault="00894ECB" w:rsidP="00894ECB">
            <w:pPr>
              <w:ind w:firstLine="240"/>
              <w:jc w:val="both"/>
              <w:rPr>
                <w:i/>
                <w:color w:val="000000"/>
                <w:sz w:val="22"/>
                <w:szCs w:val="22"/>
              </w:rPr>
            </w:pPr>
          </w:p>
          <w:p w14:paraId="47E6D3DA" w14:textId="194A8D5C" w:rsidR="00894ECB" w:rsidRPr="00D927E4" w:rsidRDefault="00702B44" w:rsidP="00702B44">
            <w:pPr>
              <w:jc w:val="both"/>
              <w:rPr>
                <w:i/>
                <w:color w:val="000000"/>
                <w:sz w:val="22"/>
                <w:szCs w:val="22"/>
              </w:rPr>
            </w:pPr>
            <w:r>
              <w:rPr>
                <w:b/>
                <w:sz w:val="22"/>
                <w:szCs w:val="22"/>
                <w:shd w:val="clear" w:color="auto" w:fill="FFFFFF"/>
              </w:rPr>
              <w:t>Для обговорення</w:t>
            </w:r>
            <w:bookmarkStart w:id="0" w:name="_GoBack"/>
            <w:bookmarkEnd w:id="0"/>
          </w:p>
        </w:tc>
      </w:tr>
      <w:tr w:rsidR="00894ECB" w:rsidRPr="00D927E4" w14:paraId="18C234C9" w14:textId="77777777" w:rsidTr="00CF133B">
        <w:trPr>
          <w:trHeight w:val="595"/>
        </w:trPr>
        <w:tc>
          <w:tcPr>
            <w:tcW w:w="15197" w:type="dxa"/>
            <w:gridSpan w:val="3"/>
            <w:vAlign w:val="center"/>
          </w:tcPr>
          <w:p w14:paraId="08329D1E" w14:textId="77777777" w:rsidR="00894ECB" w:rsidRPr="00D927E4" w:rsidRDefault="00894ECB" w:rsidP="00894ECB">
            <w:pPr>
              <w:jc w:val="center"/>
              <w:rPr>
                <w:b/>
                <w:sz w:val="22"/>
                <w:szCs w:val="22"/>
                <w:shd w:val="clear" w:color="auto" w:fill="FFFFFF"/>
              </w:rPr>
            </w:pPr>
            <w:r w:rsidRPr="00D927E4">
              <w:rPr>
                <w:b/>
                <w:sz w:val="22"/>
                <w:szCs w:val="22"/>
                <w:shd w:val="clear" w:color="auto" w:fill="FFFFFF"/>
              </w:rPr>
              <w:t>Порядок (методика) визначення розміру штрафів, які накладаються Національною комісією, що здійснює державне регулювання у сферах енергетики та комунальних послуг</w:t>
            </w:r>
            <w:r w:rsidR="00BA3AA6">
              <w:rPr>
                <w:b/>
                <w:sz w:val="22"/>
                <w:szCs w:val="22"/>
                <w:shd w:val="clear" w:color="auto" w:fill="FFFFFF"/>
              </w:rPr>
              <w:t xml:space="preserve"> (далі – Порядок)</w:t>
            </w:r>
          </w:p>
        </w:tc>
      </w:tr>
      <w:tr w:rsidR="00894ECB" w:rsidRPr="00D927E4" w14:paraId="4A3E6145" w14:textId="77777777" w:rsidTr="00894ECB">
        <w:trPr>
          <w:trHeight w:val="595"/>
        </w:trPr>
        <w:tc>
          <w:tcPr>
            <w:tcW w:w="5839" w:type="dxa"/>
            <w:vAlign w:val="center"/>
          </w:tcPr>
          <w:p w14:paraId="6D6FAEED" w14:textId="77777777" w:rsidR="00894ECB" w:rsidRPr="00D927E4" w:rsidRDefault="00894ECB" w:rsidP="00894ECB">
            <w:pPr>
              <w:spacing w:after="120"/>
              <w:jc w:val="both"/>
              <w:rPr>
                <w:sz w:val="22"/>
                <w:szCs w:val="22"/>
              </w:rPr>
            </w:pPr>
          </w:p>
          <w:p w14:paraId="7096A4DE" w14:textId="77777777" w:rsidR="00894ECB" w:rsidRPr="00D927E4" w:rsidRDefault="00894ECB" w:rsidP="00894ECB">
            <w:pPr>
              <w:spacing w:after="120"/>
              <w:jc w:val="both"/>
              <w:rPr>
                <w:sz w:val="22"/>
                <w:szCs w:val="22"/>
              </w:rPr>
            </w:pPr>
            <w:r w:rsidRPr="00D927E4">
              <w:rPr>
                <w:sz w:val="22"/>
                <w:szCs w:val="22"/>
              </w:rPr>
              <w:t>1.3. У цьому Порядку терміни вживаються в таких значеннях:</w:t>
            </w:r>
          </w:p>
          <w:p w14:paraId="5E3FD2B5" w14:textId="77777777" w:rsidR="00894ECB" w:rsidRPr="00D927E4" w:rsidRDefault="00894ECB" w:rsidP="00894ECB">
            <w:pPr>
              <w:spacing w:after="120"/>
              <w:jc w:val="both"/>
              <w:rPr>
                <w:sz w:val="22"/>
                <w:szCs w:val="22"/>
              </w:rPr>
            </w:pPr>
            <w:r w:rsidRPr="00D927E4">
              <w:rPr>
                <w:sz w:val="22"/>
                <w:szCs w:val="22"/>
              </w:rPr>
              <w:t>додаткова вигода (потенційна вигода) - додатковий та/або потенційний дохід або вигода в іншій формі, які порушник спромігся чи мав намір отримати та/або збитки чи витрати, яких він спромігся чи мав намір уникнути внаслідок вчинення порушення, безпосередньо чи опосередковано;</w:t>
            </w:r>
          </w:p>
          <w:p w14:paraId="51833F8C" w14:textId="77777777" w:rsidR="00894ECB" w:rsidRPr="00D927E4" w:rsidRDefault="00894ECB" w:rsidP="00894ECB">
            <w:pPr>
              <w:spacing w:after="120"/>
              <w:jc w:val="both"/>
              <w:rPr>
                <w:b/>
                <w:sz w:val="22"/>
                <w:szCs w:val="22"/>
              </w:rPr>
            </w:pPr>
            <w:r w:rsidRPr="00D927E4">
              <w:rPr>
                <w:b/>
                <w:sz w:val="22"/>
                <w:szCs w:val="22"/>
              </w:rPr>
              <w:t>звітний рік – період діяльності суб’єктів господарювання, що провадять діяльність у сферах енергетики та комунальних послуг, який дорівнює календарному року (проміжок часу з 01 січня по 31 грудня);</w:t>
            </w:r>
          </w:p>
          <w:p w14:paraId="3329B6E0" w14:textId="77777777" w:rsidR="00894ECB" w:rsidRPr="00D927E4" w:rsidRDefault="00894ECB" w:rsidP="00894ECB">
            <w:pPr>
              <w:spacing w:after="120"/>
              <w:jc w:val="both"/>
              <w:rPr>
                <w:sz w:val="22"/>
                <w:szCs w:val="22"/>
              </w:rPr>
            </w:pPr>
            <w:r w:rsidRPr="00D927E4">
              <w:rPr>
                <w:sz w:val="22"/>
                <w:szCs w:val="22"/>
              </w:rPr>
              <w:t>індивідуальне пом'якшення - зменшення підсумкового розміру штрафу з урахуванням факту усунення порушення після його виявлення НКРЕКП та початку розгляду питання щодо відповідальності за його вчинення;</w:t>
            </w:r>
          </w:p>
          <w:p w14:paraId="6259811F" w14:textId="77777777" w:rsidR="00894ECB" w:rsidRPr="00D927E4" w:rsidRDefault="00894ECB" w:rsidP="00894ECB">
            <w:pPr>
              <w:spacing w:after="120"/>
              <w:jc w:val="both"/>
              <w:rPr>
                <w:sz w:val="22"/>
                <w:szCs w:val="22"/>
              </w:rPr>
            </w:pPr>
            <w:r w:rsidRPr="00D927E4">
              <w:rPr>
                <w:sz w:val="22"/>
                <w:szCs w:val="22"/>
              </w:rPr>
              <w:t>підсумковий розмір штрафу - остаточно визначений розмір штрафу, розрахований у межах граничних розмірів штрафу, передбачених чинним законодавством.</w:t>
            </w:r>
          </w:p>
          <w:p w14:paraId="1EBB629F" w14:textId="77777777" w:rsidR="00894ECB" w:rsidRPr="00D927E4" w:rsidRDefault="00894ECB" w:rsidP="00894ECB">
            <w:pPr>
              <w:spacing w:after="120"/>
              <w:jc w:val="both"/>
              <w:rPr>
                <w:sz w:val="22"/>
                <w:szCs w:val="22"/>
              </w:rPr>
            </w:pPr>
            <w:r w:rsidRPr="00D927E4">
              <w:rPr>
                <w:sz w:val="22"/>
                <w:szCs w:val="22"/>
              </w:rPr>
              <w:t xml:space="preserve">Інші терміни вживаються в цьому Порядку у значеннях, наведених у законах України "Про Національну комісію, що здійснює державне регулювання у сферах енергетики та комунальних послуг", "Про природні монополії", "Про ринок природного газу", "Про ринок електричної енергії", "Про теплопостачання", Порядку контролю за дотриманням ліцензіатами, що провадять діяльність у сферах енергетики </w:t>
            </w:r>
            <w:r w:rsidRPr="00D927E4">
              <w:rPr>
                <w:sz w:val="22"/>
                <w:szCs w:val="22"/>
              </w:rPr>
              <w:lastRenderedPageBreak/>
              <w:t>та комунальних послуг, законодавства у відповідних сферах та ліцензійних умов, затвердженого постановою Національної комісії, що здійснює державне регулювання у сферах енергетики та комунальних послуг, від 14 червня 2018 року N 428.</w:t>
            </w:r>
          </w:p>
          <w:p w14:paraId="15C337DE" w14:textId="77777777" w:rsidR="00894ECB" w:rsidRPr="00D927E4" w:rsidRDefault="00894ECB" w:rsidP="00894ECB">
            <w:pPr>
              <w:spacing w:after="120"/>
              <w:jc w:val="both"/>
              <w:rPr>
                <w:b/>
                <w:sz w:val="22"/>
                <w:szCs w:val="22"/>
              </w:rPr>
            </w:pPr>
          </w:p>
          <w:p w14:paraId="7D430BC6" w14:textId="77777777" w:rsidR="00894ECB" w:rsidRPr="00D927E4" w:rsidRDefault="00894ECB" w:rsidP="00894ECB">
            <w:pPr>
              <w:spacing w:after="120"/>
              <w:jc w:val="both"/>
              <w:rPr>
                <w:b/>
                <w:sz w:val="22"/>
                <w:szCs w:val="22"/>
              </w:rPr>
            </w:pPr>
          </w:p>
          <w:p w14:paraId="102799C0" w14:textId="77777777" w:rsidR="00894ECB" w:rsidRPr="00D927E4" w:rsidRDefault="00894ECB" w:rsidP="00894ECB">
            <w:pPr>
              <w:spacing w:after="120"/>
              <w:jc w:val="both"/>
              <w:rPr>
                <w:b/>
                <w:sz w:val="22"/>
                <w:szCs w:val="22"/>
              </w:rPr>
            </w:pPr>
          </w:p>
          <w:p w14:paraId="5A42271A" w14:textId="77777777" w:rsidR="00894ECB" w:rsidRPr="00D927E4" w:rsidRDefault="00894ECB" w:rsidP="00894ECB">
            <w:pPr>
              <w:spacing w:after="120"/>
              <w:jc w:val="both"/>
              <w:rPr>
                <w:b/>
                <w:sz w:val="22"/>
                <w:szCs w:val="22"/>
              </w:rPr>
            </w:pPr>
          </w:p>
          <w:p w14:paraId="36E2EDCF" w14:textId="77777777" w:rsidR="00894ECB" w:rsidRPr="00D927E4" w:rsidRDefault="00894ECB" w:rsidP="00894ECB">
            <w:pPr>
              <w:spacing w:after="120"/>
              <w:jc w:val="both"/>
              <w:rPr>
                <w:b/>
                <w:sz w:val="22"/>
                <w:szCs w:val="22"/>
              </w:rPr>
            </w:pPr>
          </w:p>
          <w:p w14:paraId="3AC9DE1D" w14:textId="77777777" w:rsidR="00894ECB" w:rsidRPr="00D927E4" w:rsidRDefault="00894ECB" w:rsidP="00894ECB">
            <w:pPr>
              <w:spacing w:after="120"/>
              <w:jc w:val="both"/>
              <w:rPr>
                <w:b/>
                <w:sz w:val="22"/>
                <w:szCs w:val="22"/>
              </w:rPr>
            </w:pPr>
          </w:p>
          <w:p w14:paraId="6D5AD60D" w14:textId="77777777" w:rsidR="00894ECB" w:rsidRPr="00D927E4" w:rsidRDefault="00894ECB" w:rsidP="00894ECB">
            <w:pPr>
              <w:spacing w:after="120"/>
              <w:jc w:val="both"/>
              <w:rPr>
                <w:b/>
                <w:sz w:val="22"/>
                <w:szCs w:val="22"/>
              </w:rPr>
            </w:pPr>
          </w:p>
          <w:p w14:paraId="50D2908E" w14:textId="77777777" w:rsidR="00894ECB" w:rsidRPr="00D927E4" w:rsidRDefault="00894ECB" w:rsidP="00894ECB">
            <w:pPr>
              <w:spacing w:after="120"/>
              <w:jc w:val="both"/>
              <w:rPr>
                <w:b/>
                <w:sz w:val="22"/>
                <w:szCs w:val="22"/>
              </w:rPr>
            </w:pPr>
          </w:p>
          <w:p w14:paraId="39007DB7" w14:textId="77777777" w:rsidR="00894ECB" w:rsidRPr="00D927E4" w:rsidRDefault="00894ECB" w:rsidP="00894ECB">
            <w:pPr>
              <w:spacing w:after="120"/>
              <w:jc w:val="both"/>
              <w:rPr>
                <w:b/>
                <w:sz w:val="22"/>
                <w:szCs w:val="22"/>
              </w:rPr>
            </w:pPr>
          </w:p>
          <w:p w14:paraId="62E39F0F" w14:textId="77777777" w:rsidR="00894ECB" w:rsidRPr="00D927E4" w:rsidRDefault="00894ECB" w:rsidP="00894ECB">
            <w:pPr>
              <w:spacing w:after="120"/>
              <w:jc w:val="both"/>
              <w:rPr>
                <w:b/>
                <w:sz w:val="22"/>
                <w:szCs w:val="22"/>
              </w:rPr>
            </w:pPr>
          </w:p>
          <w:p w14:paraId="5159EA86" w14:textId="77777777" w:rsidR="00894ECB" w:rsidRPr="00D927E4" w:rsidRDefault="00894ECB" w:rsidP="00894ECB">
            <w:pPr>
              <w:spacing w:after="120"/>
              <w:jc w:val="both"/>
              <w:rPr>
                <w:b/>
                <w:sz w:val="22"/>
                <w:szCs w:val="22"/>
              </w:rPr>
            </w:pPr>
          </w:p>
          <w:p w14:paraId="0186FBFD" w14:textId="77777777" w:rsidR="00894ECB" w:rsidRPr="00D927E4" w:rsidRDefault="00894ECB" w:rsidP="00894ECB">
            <w:pPr>
              <w:spacing w:after="120"/>
              <w:jc w:val="both"/>
              <w:rPr>
                <w:b/>
                <w:sz w:val="22"/>
                <w:szCs w:val="22"/>
              </w:rPr>
            </w:pPr>
          </w:p>
          <w:p w14:paraId="327DBC34" w14:textId="77777777" w:rsidR="00894ECB" w:rsidRPr="00D927E4" w:rsidRDefault="00894ECB" w:rsidP="00894ECB">
            <w:pPr>
              <w:spacing w:after="120"/>
              <w:jc w:val="both"/>
              <w:rPr>
                <w:b/>
                <w:sz w:val="22"/>
                <w:szCs w:val="22"/>
              </w:rPr>
            </w:pPr>
          </w:p>
          <w:p w14:paraId="1CA9DF93" w14:textId="77777777" w:rsidR="00894ECB" w:rsidRPr="00D927E4" w:rsidRDefault="00894ECB" w:rsidP="00894ECB">
            <w:pPr>
              <w:spacing w:after="120"/>
              <w:jc w:val="both"/>
              <w:rPr>
                <w:b/>
                <w:sz w:val="22"/>
                <w:szCs w:val="22"/>
              </w:rPr>
            </w:pPr>
          </w:p>
          <w:p w14:paraId="3BF2D0B9" w14:textId="77777777" w:rsidR="00894ECB" w:rsidRPr="00D927E4" w:rsidRDefault="00894ECB" w:rsidP="00894ECB">
            <w:pPr>
              <w:spacing w:after="120"/>
              <w:jc w:val="both"/>
              <w:rPr>
                <w:b/>
                <w:sz w:val="22"/>
                <w:szCs w:val="22"/>
              </w:rPr>
            </w:pPr>
          </w:p>
          <w:p w14:paraId="6D3E21E2" w14:textId="77777777" w:rsidR="00894ECB" w:rsidRPr="00D927E4" w:rsidRDefault="00894ECB" w:rsidP="00894ECB">
            <w:pPr>
              <w:spacing w:after="120"/>
              <w:jc w:val="both"/>
              <w:rPr>
                <w:b/>
                <w:sz w:val="22"/>
                <w:szCs w:val="22"/>
              </w:rPr>
            </w:pPr>
          </w:p>
          <w:p w14:paraId="03A6C701" w14:textId="77777777" w:rsidR="00894ECB" w:rsidRPr="00D927E4" w:rsidRDefault="00894ECB" w:rsidP="00894ECB">
            <w:pPr>
              <w:spacing w:after="120"/>
              <w:jc w:val="both"/>
              <w:rPr>
                <w:b/>
                <w:sz w:val="22"/>
                <w:szCs w:val="22"/>
              </w:rPr>
            </w:pPr>
          </w:p>
          <w:p w14:paraId="302D140E" w14:textId="77777777" w:rsidR="00894ECB" w:rsidRPr="00D927E4" w:rsidRDefault="00894ECB" w:rsidP="00894ECB">
            <w:pPr>
              <w:spacing w:after="120"/>
              <w:jc w:val="both"/>
              <w:rPr>
                <w:b/>
                <w:sz w:val="22"/>
                <w:szCs w:val="22"/>
              </w:rPr>
            </w:pPr>
          </w:p>
          <w:p w14:paraId="4C673ABF" w14:textId="77777777" w:rsidR="00894ECB" w:rsidRPr="00D927E4" w:rsidRDefault="00894ECB" w:rsidP="00894ECB">
            <w:pPr>
              <w:spacing w:after="120"/>
              <w:jc w:val="both"/>
              <w:rPr>
                <w:b/>
                <w:sz w:val="22"/>
                <w:szCs w:val="22"/>
              </w:rPr>
            </w:pPr>
          </w:p>
          <w:p w14:paraId="2F458D2D" w14:textId="77777777" w:rsidR="00894ECB" w:rsidRPr="00D927E4" w:rsidRDefault="00894ECB" w:rsidP="00894ECB">
            <w:pPr>
              <w:spacing w:after="120"/>
              <w:jc w:val="both"/>
              <w:rPr>
                <w:b/>
                <w:sz w:val="22"/>
                <w:szCs w:val="22"/>
              </w:rPr>
            </w:pPr>
          </w:p>
          <w:p w14:paraId="1A45BE62" w14:textId="77777777" w:rsidR="00894ECB" w:rsidRPr="00D927E4" w:rsidRDefault="00894ECB" w:rsidP="00894ECB">
            <w:pPr>
              <w:spacing w:after="120"/>
              <w:jc w:val="both"/>
              <w:rPr>
                <w:b/>
                <w:sz w:val="22"/>
                <w:szCs w:val="22"/>
              </w:rPr>
            </w:pPr>
          </w:p>
          <w:p w14:paraId="00A57093" w14:textId="77777777" w:rsidR="00894ECB" w:rsidRPr="00D927E4" w:rsidRDefault="00894ECB" w:rsidP="00894ECB">
            <w:pPr>
              <w:spacing w:after="120"/>
              <w:jc w:val="both"/>
              <w:rPr>
                <w:b/>
                <w:sz w:val="22"/>
                <w:szCs w:val="22"/>
              </w:rPr>
            </w:pPr>
          </w:p>
          <w:p w14:paraId="65DC6901" w14:textId="77777777" w:rsidR="00894ECB" w:rsidRPr="00D927E4" w:rsidRDefault="00894ECB" w:rsidP="00894ECB">
            <w:pPr>
              <w:spacing w:after="120"/>
              <w:jc w:val="both"/>
              <w:rPr>
                <w:b/>
                <w:sz w:val="22"/>
                <w:szCs w:val="22"/>
              </w:rPr>
            </w:pPr>
          </w:p>
          <w:p w14:paraId="53B52EA5" w14:textId="77777777" w:rsidR="00894ECB" w:rsidRPr="00D927E4" w:rsidRDefault="00894ECB" w:rsidP="00894ECB">
            <w:pPr>
              <w:spacing w:after="120"/>
              <w:jc w:val="both"/>
              <w:rPr>
                <w:b/>
                <w:sz w:val="22"/>
                <w:szCs w:val="22"/>
              </w:rPr>
            </w:pPr>
          </w:p>
          <w:p w14:paraId="68CB48BB" w14:textId="77777777" w:rsidR="00894ECB" w:rsidRPr="00D927E4" w:rsidRDefault="00894ECB" w:rsidP="00894ECB">
            <w:pPr>
              <w:spacing w:after="120"/>
              <w:jc w:val="both"/>
              <w:rPr>
                <w:b/>
                <w:sz w:val="22"/>
                <w:szCs w:val="22"/>
              </w:rPr>
            </w:pPr>
          </w:p>
          <w:p w14:paraId="59B21123" w14:textId="77777777" w:rsidR="00894ECB" w:rsidRPr="00D927E4" w:rsidRDefault="00894ECB" w:rsidP="00894ECB">
            <w:pPr>
              <w:spacing w:after="120"/>
              <w:jc w:val="both"/>
              <w:rPr>
                <w:b/>
                <w:sz w:val="22"/>
                <w:szCs w:val="22"/>
              </w:rPr>
            </w:pPr>
          </w:p>
          <w:p w14:paraId="1F485870" w14:textId="77777777" w:rsidR="00894ECB" w:rsidRPr="00D927E4" w:rsidRDefault="00894ECB" w:rsidP="00894ECB">
            <w:pPr>
              <w:spacing w:after="120"/>
              <w:jc w:val="both"/>
              <w:rPr>
                <w:b/>
                <w:sz w:val="22"/>
                <w:szCs w:val="22"/>
              </w:rPr>
            </w:pPr>
          </w:p>
          <w:p w14:paraId="357589AB" w14:textId="77777777" w:rsidR="00894ECB" w:rsidRPr="00D927E4" w:rsidRDefault="00894ECB" w:rsidP="00894ECB">
            <w:pPr>
              <w:spacing w:after="120"/>
              <w:jc w:val="both"/>
              <w:rPr>
                <w:b/>
                <w:sz w:val="22"/>
                <w:szCs w:val="22"/>
              </w:rPr>
            </w:pPr>
          </w:p>
          <w:p w14:paraId="792F3BCF" w14:textId="77777777" w:rsidR="00894ECB" w:rsidRPr="00D927E4" w:rsidRDefault="00894ECB" w:rsidP="00894ECB">
            <w:pPr>
              <w:spacing w:after="120"/>
              <w:jc w:val="both"/>
              <w:rPr>
                <w:b/>
                <w:sz w:val="22"/>
                <w:szCs w:val="22"/>
              </w:rPr>
            </w:pPr>
          </w:p>
          <w:p w14:paraId="24167A79" w14:textId="77777777" w:rsidR="00894ECB" w:rsidRPr="00D927E4" w:rsidRDefault="00894ECB" w:rsidP="00894ECB">
            <w:pPr>
              <w:spacing w:after="120"/>
              <w:jc w:val="both"/>
              <w:rPr>
                <w:b/>
                <w:sz w:val="22"/>
                <w:szCs w:val="22"/>
              </w:rPr>
            </w:pPr>
          </w:p>
          <w:p w14:paraId="0D653A9E" w14:textId="77777777" w:rsidR="00894ECB" w:rsidRPr="00D927E4" w:rsidRDefault="00894ECB" w:rsidP="00894ECB">
            <w:pPr>
              <w:spacing w:after="120"/>
              <w:jc w:val="both"/>
              <w:rPr>
                <w:b/>
                <w:sz w:val="22"/>
                <w:szCs w:val="22"/>
              </w:rPr>
            </w:pPr>
          </w:p>
          <w:p w14:paraId="7F867DE3" w14:textId="77777777" w:rsidR="00894ECB" w:rsidRPr="00D927E4" w:rsidRDefault="00894ECB" w:rsidP="00894ECB">
            <w:pPr>
              <w:spacing w:after="120"/>
              <w:jc w:val="both"/>
              <w:rPr>
                <w:b/>
                <w:sz w:val="22"/>
                <w:szCs w:val="22"/>
              </w:rPr>
            </w:pPr>
          </w:p>
          <w:p w14:paraId="65985A09" w14:textId="77777777" w:rsidR="00894ECB" w:rsidRPr="00D927E4" w:rsidRDefault="00894ECB" w:rsidP="00894ECB">
            <w:pPr>
              <w:spacing w:after="120"/>
              <w:jc w:val="both"/>
              <w:rPr>
                <w:b/>
                <w:sz w:val="22"/>
                <w:szCs w:val="22"/>
              </w:rPr>
            </w:pPr>
          </w:p>
          <w:p w14:paraId="20C2ECC1" w14:textId="77777777" w:rsidR="00894ECB" w:rsidRPr="00D927E4" w:rsidRDefault="00894ECB" w:rsidP="00894ECB">
            <w:pPr>
              <w:spacing w:after="120"/>
              <w:jc w:val="both"/>
              <w:rPr>
                <w:b/>
                <w:sz w:val="22"/>
                <w:szCs w:val="22"/>
              </w:rPr>
            </w:pPr>
          </w:p>
          <w:p w14:paraId="710167A6" w14:textId="77777777" w:rsidR="00894ECB" w:rsidRPr="00D927E4" w:rsidRDefault="00894ECB" w:rsidP="00894ECB">
            <w:pPr>
              <w:spacing w:after="120"/>
              <w:jc w:val="both"/>
              <w:rPr>
                <w:b/>
                <w:sz w:val="22"/>
                <w:szCs w:val="22"/>
              </w:rPr>
            </w:pPr>
          </w:p>
          <w:p w14:paraId="5DF24CB4" w14:textId="77777777" w:rsidR="00894ECB" w:rsidRPr="00D927E4" w:rsidRDefault="00894ECB" w:rsidP="00894ECB">
            <w:pPr>
              <w:spacing w:after="120"/>
              <w:jc w:val="both"/>
              <w:rPr>
                <w:b/>
                <w:sz w:val="22"/>
                <w:szCs w:val="22"/>
              </w:rPr>
            </w:pPr>
          </w:p>
          <w:p w14:paraId="337589E8" w14:textId="77777777" w:rsidR="00894ECB" w:rsidRPr="00D927E4" w:rsidRDefault="00894ECB" w:rsidP="00894ECB">
            <w:pPr>
              <w:spacing w:after="120"/>
              <w:jc w:val="both"/>
              <w:rPr>
                <w:b/>
                <w:sz w:val="22"/>
                <w:szCs w:val="22"/>
              </w:rPr>
            </w:pPr>
          </w:p>
          <w:p w14:paraId="3F384E11" w14:textId="77777777" w:rsidR="00894ECB" w:rsidRPr="00D927E4" w:rsidRDefault="00894ECB" w:rsidP="00894ECB">
            <w:pPr>
              <w:spacing w:after="120"/>
              <w:jc w:val="both"/>
              <w:rPr>
                <w:b/>
                <w:sz w:val="22"/>
                <w:szCs w:val="22"/>
              </w:rPr>
            </w:pPr>
          </w:p>
          <w:p w14:paraId="6E17B246" w14:textId="77777777" w:rsidR="00894ECB" w:rsidRPr="00D927E4" w:rsidRDefault="00894ECB" w:rsidP="00894ECB">
            <w:pPr>
              <w:spacing w:after="120"/>
              <w:jc w:val="both"/>
              <w:rPr>
                <w:b/>
                <w:sz w:val="22"/>
                <w:szCs w:val="22"/>
              </w:rPr>
            </w:pPr>
          </w:p>
          <w:p w14:paraId="1E1F07F1" w14:textId="77777777" w:rsidR="00894ECB" w:rsidRPr="00D927E4" w:rsidRDefault="00894ECB" w:rsidP="00894ECB">
            <w:pPr>
              <w:spacing w:after="120"/>
              <w:jc w:val="both"/>
              <w:rPr>
                <w:b/>
                <w:sz w:val="22"/>
                <w:szCs w:val="22"/>
              </w:rPr>
            </w:pPr>
          </w:p>
          <w:p w14:paraId="27805A3B" w14:textId="77777777" w:rsidR="00894ECB" w:rsidRPr="00D927E4" w:rsidRDefault="00894ECB" w:rsidP="00894ECB">
            <w:pPr>
              <w:spacing w:after="120"/>
              <w:jc w:val="both"/>
              <w:rPr>
                <w:b/>
                <w:sz w:val="22"/>
                <w:szCs w:val="22"/>
              </w:rPr>
            </w:pPr>
          </w:p>
          <w:p w14:paraId="02124D53" w14:textId="77777777" w:rsidR="00894ECB" w:rsidRPr="00D927E4" w:rsidRDefault="00894ECB" w:rsidP="00894ECB">
            <w:pPr>
              <w:spacing w:after="120"/>
              <w:jc w:val="both"/>
              <w:rPr>
                <w:b/>
                <w:sz w:val="22"/>
                <w:szCs w:val="22"/>
              </w:rPr>
            </w:pPr>
          </w:p>
          <w:p w14:paraId="132D0BFF" w14:textId="77777777" w:rsidR="00894ECB" w:rsidRPr="00D927E4" w:rsidRDefault="00894ECB" w:rsidP="00894ECB">
            <w:pPr>
              <w:spacing w:after="120"/>
              <w:jc w:val="both"/>
              <w:rPr>
                <w:b/>
                <w:sz w:val="22"/>
                <w:szCs w:val="22"/>
              </w:rPr>
            </w:pPr>
          </w:p>
          <w:p w14:paraId="4231FADF" w14:textId="77777777" w:rsidR="00894ECB" w:rsidRPr="00D927E4" w:rsidRDefault="00894ECB" w:rsidP="00894ECB">
            <w:pPr>
              <w:spacing w:after="120"/>
              <w:jc w:val="both"/>
              <w:rPr>
                <w:b/>
                <w:sz w:val="22"/>
                <w:szCs w:val="22"/>
              </w:rPr>
            </w:pPr>
          </w:p>
          <w:p w14:paraId="12722790" w14:textId="77777777" w:rsidR="00894ECB" w:rsidRPr="00D927E4" w:rsidRDefault="00894ECB" w:rsidP="00894ECB">
            <w:pPr>
              <w:spacing w:after="120"/>
              <w:jc w:val="both"/>
              <w:rPr>
                <w:b/>
                <w:sz w:val="22"/>
                <w:szCs w:val="22"/>
              </w:rPr>
            </w:pPr>
          </w:p>
          <w:p w14:paraId="40647E07" w14:textId="77777777" w:rsidR="00894ECB" w:rsidRPr="00D927E4" w:rsidRDefault="00894ECB" w:rsidP="00894ECB">
            <w:pPr>
              <w:spacing w:after="120"/>
              <w:jc w:val="both"/>
              <w:rPr>
                <w:b/>
                <w:sz w:val="22"/>
                <w:szCs w:val="22"/>
              </w:rPr>
            </w:pPr>
          </w:p>
          <w:p w14:paraId="6A43ADA7" w14:textId="77777777" w:rsidR="00894ECB" w:rsidRPr="00D927E4" w:rsidRDefault="00894ECB" w:rsidP="00894ECB">
            <w:pPr>
              <w:spacing w:after="120"/>
              <w:jc w:val="both"/>
              <w:rPr>
                <w:b/>
                <w:sz w:val="22"/>
                <w:szCs w:val="22"/>
              </w:rPr>
            </w:pPr>
          </w:p>
          <w:p w14:paraId="4169DB13" w14:textId="77777777" w:rsidR="00894ECB" w:rsidRPr="00D927E4" w:rsidRDefault="00894ECB" w:rsidP="00894ECB">
            <w:pPr>
              <w:spacing w:after="120"/>
              <w:jc w:val="both"/>
              <w:rPr>
                <w:b/>
                <w:sz w:val="22"/>
                <w:szCs w:val="22"/>
              </w:rPr>
            </w:pPr>
          </w:p>
          <w:p w14:paraId="150647F7" w14:textId="77777777" w:rsidR="00894ECB" w:rsidRPr="00D927E4" w:rsidRDefault="00894ECB" w:rsidP="00894ECB">
            <w:pPr>
              <w:spacing w:after="160" w:line="259" w:lineRule="auto"/>
              <w:ind w:firstLine="306"/>
              <w:jc w:val="both"/>
              <w:rPr>
                <w:b/>
                <w:sz w:val="22"/>
                <w:szCs w:val="22"/>
              </w:rPr>
            </w:pPr>
          </w:p>
        </w:tc>
        <w:tc>
          <w:tcPr>
            <w:tcW w:w="5809" w:type="dxa"/>
            <w:vAlign w:val="center"/>
          </w:tcPr>
          <w:p w14:paraId="2D037CF6" w14:textId="77777777" w:rsidR="00894ECB" w:rsidRPr="00D927E4" w:rsidRDefault="00894ECB" w:rsidP="00894ECB">
            <w:pPr>
              <w:rPr>
                <w:i/>
                <w:sz w:val="22"/>
                <w:szCs w:val="22"/>
              </w:rPr>
            </w:pPr>
            <w:r w:rsidRPr="00D927E4">
              <w:rPr>
                <w:i/>
                <w:sz w:val="22"/>
                <w:szCs w:val="22"/>
              </w:rPr>
              <w:lastRenderedPageBreak/>
              <w:t xml:space="preserve">ПАТ «ЗАПОРІЖЖЯОБЛЕНЕРГО»  </w:t>
            </w:r>
          </w:p>
          <w:p w14:paraId="79DDC5FA" w14:textId="77777777" w:rsidR="00894ECB" w:rsidRPr="00D927E4" w:rsidRDefault="00894ECB" w:rsidP="00894ECB">
            <w:pPr>
              <w:rPr>
                <w:i/>
                <w:sz w:val="22"/>
                <w:szCs w:val="22"/>
              </w:rPr>
            </w:pPr>
          </w:p>
          <w:p w14:paraId="4C00F524" w14:textId="77777777" w:rsidR="00894ECB" w:rsidRPr="00D927E4" w:rsidRDefault="00894ECB" w:rsidP="00894ECB">
            <w:pPr>
              <w:rPr>
                <w:sz w:val="22"/>
                <w:szCs w:val="22"/>
              </w:rPr>
            </w:pPr>
            <w:r w:rsidRPr="00D927E4">
              <w:rPr>
                <w:sz w:val="22"/>
                <w:szCs w:val="22"/>
              </w:rPr>
              <w:t>Пропонується залишити п.1.3.  в чинній редакції.</w:t>
            </w:r>
          </w:p>
          <w:p w14:paraId="5BC94084" w14:textId="77777777" w:rsidR="00894ECB" w:rsidRPr="00D927E4" w:rsidRDefault="00894ECB" w:rsidP="00894ECB">
            <w:pPr>
              <w:rPr>
                <w:i/>
                <w:sz w:val="22"/>
                <w:szCs w:val="22"/>
              </w:rPr>
            </w:pPr>
          </w:p>
          <w:p w14:paraId="52BCEB02" w14:textId="77777777" w:rsidR="00894ECB" w:rsidRPr="00D927E4" w:rsidRDefault="00894ECB" w:rsidP="00894ECB">
            <w:pPr>
              <w:rPr>
                <w:i/>
                <w:sz w:val="22"/>
                <w:szCs w:val="22"/>
              </w:rPr>
            </w:pPr>
            <w:r w:rsidRPr="00D927E4">
              <w:rPr>
                <w:i/>
                <w:sz w:val="22"/>
                <w:szCs w:val="22"/>
              </w:rPr>
              <w:t>ОБРГРУНТУВАННЯ:</w:t>
            </w:r>
          </w:p>
          <w:p w14:paraId="34908A83" w14:textId="77777777" w:rsidR="00894ECB" w:rsidRPr="00D927E4" w:rsidRDefault="00894ECB" w:rsidP="00894ECB">
            <w:pPr>
              <w:rPr>
                <w:i/>
                <w:sz w:val="22"/>
                <w:szCs w:val="22"/>
              </w:rPr>
            </w:pPr>
          </w:p>
          <w:p w14:paraId="281E94D0" w14:textId="77777777" w:rsidR="00894ECB" w:rsidRPr="00D927E4" w:rsidRDefault="00894ECB" w:rsidP="00894ECB">
            <w:pPr>
              <w:rPr>
                <w:sz w:val="22"/>
                <w:szCs w:val="22"/>
              </w:rPr>
            </w:pPr>
            <w:r w:rsidRPr="00D927E4">
              <w:rPr>
                <w:sz w:val="22"/>
                <w:szCs w:val="22"/>
              </w:rPr>
              <w:t>Пропозиції НКРЕКП вважаємо неприйнятними, оскільки їх впровадження призведе до багатократного притягнення ліцензіатів до відповідальності за одне й теж порушення (зокрема, при триваючих порушеннях). Внаслідок цього буде порушено вимоги ч.1 ст. 61 Конституції України, принципи справедливості, доцільності, обґрунтованості та призведе до негативних наслідків для ліцензіатів.</w:t>
            </w:r>
          </w:p>
          <w:p w14:paraId="383FC582" w14:textId="77777777" w:rsidR="00894ECB" w:rsidRPr="00D927E4" w:rsidRDefault="00894ECB" w:rsidP="00894ECB">
            <w:pPr>
              <w:rPr>
                <w:sz w:val="22"/>
                <w:szCs w:val="22"/>
              </w:rPr>
            </w:pPr>
            <w:r w:rsidRPr="00D927E4">
              <w:rPr>
                <w:sz w:val="22"/>
                <w:szCs w:val="22"/>
              </w:rPr>
              <w:t>Також вважаємо, що запропонованими Регулятором змінами буде порушено ч.1. ст.58 Конституції України, оскільки їх прийняття призведе до зворотної дії в часі посиленої відповідальності ліцензіатів.</w:t>
            </w:r>
          </w:p>
          <w:p w14:paraId="0188CCD2" w14:textId="77777777" w:rsidR="00894ECB" w:rsidRPr="00D927E4" w:rsidRDefault="00894ECB" w:rsidP="00894ECB">
            <w:pPr>
              <w:rPr>
                <w:i/>
                <w:sz w:val="22"/>
                <w:szCs w:val="22"/>
              </w:rPr>
            </w:pPr>
          </w:p>
          <w:p w14:paraId="7826376D" w14:textId="77777777" w:rsidR="00894ECB" w:rsidRPr="00D927E4" w:rsidRDefault="00894ECB" w:rsidP="00894ECB">
            <w:pPr>
              <w:rPr>
                <w:i/>
                <w:sz w:val="22"/>
                <w:szCs w:val="22"/>
              </w:rPr>
            </w:pPr>
            <w:r w:rsidRPr="00D927E4">
              <w:rPr>
                <w:i/>
                <w:sz w:val="22"/>
                <w:szCs w:val="22"/>
              </w:rPr>
              <w:t>АТ «ДТЕК ЗАХІДЕНЕРГО»</w:t>
            </w:r>
          </w:p>
          <w:p w14:paraId="6D295811" w14:textId="77777777" w:rsidR="00894ECB" w:rsidRPr="00D927E4" w:rsidRDefault="00894ECB" w:rsidP="00894ECB">
            <w:pPr>
              <w:rPr>
                <w:i/>
                <w:sz w:val="22"/>
                <w:szCs w:val="22"/>
              </w:rPr>
            </w:pPr>
          </w:p>
          <w:p w14:paraId="66247923" w14:textId="77777777" w:rsidR="00894ECB" w:rsidRPr="00D927E4" w:rsidRDefault="00894ECB" w:rsidP="00894ECB">
            <w:pPr>
              <w:rPr>
                <w:sz w:val="22"/>
                <w:szCs w:val="22"/>
              </w:rPr>
            </w:pPr>
            <w:r w:rsidRPr="00D927E4">
              <w:rPr>
                <w:sz w:val="22"/>
                <w:szCs w:val="22"/>
              </w:rPr>
              <w:t xml:space="preserve">Згідно п. 3.1.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w:t>
            </w:r>
            <w:proofErr w:type="spellStart"/>
            <w:r w:rsidRPr="00D927E4">
              <w:rPr>
                <w:sz w:val="22"/>
                <w:szCs w:val="22"/>
              </w:rPr>
              <w:t>затв</w:t>
            </w:r>
            <w:proofErr w:type="spellEnd"/>
            <w:r w:rsidRPr="00D927E4">
              <w:rPr>
                <w:sz w:val="22"/>
                <w:szCs w:val="22"/>
              </w:rPr>
              <w:t xml:space="preserve">. Постановою НКРЕКП 14.06.2018 № 428 (в редакції постанови НКРЕКП 09.06.2021 № 935), планові перевірки ліцензіатів проводяться не частіше одного разу на рік відповідно до річного плану, який затверджується НКРЕКП до першого грудня року, що передує плановому, та оприлюднюється </w:t>
            </w:r>
            <w:r w:rsidRPr="00D927E4">
              <w:rPr>
                <w:sz w:val="22"/>
                <w:szCs w:val="22"/>
              </w:rPr>
              <w:lastRenderedPageBreak/>
              <w:t xml:space="preserve">на офіційному </w:t>
            </w:r>
            <w:proofErr w:type="spellStart"/>
            <w:r w:rsidRPr="00D927E4">
              <w:rPr>
                <w:sz w:val="22"/>
                <w:szCs w:val="22"/>
              </w:rPr>
              <w:t>вебсайті</w:t>
            </w:r>
            <w:proofErr w:type="spellEnd"/>
            <w:r w:rsidRPr="00D927E4">
              <w:rPr>
                <w:sz w:val="22"/>
                <w:szCs w:val="22"/>
              </w:rPr>
              <w:t xml:space="preserve"> не пізніше п’яти днів до початку відповідного планового періоду.</w:t>
            </w:r>
          </w:p>
          <w:p w14:paraId="20482263" w14:textId="77777777" w:rsidR="00894ECB" w:rsidRPr="00D927E4" w:rsidRDefault="00894ECB" w:rsidP="00894ECB">
            <w:pPr>
              <w:rPr>
                <w:sz w:val="22"/>
                <w:szCs w:val="22"/>
              </w:rPr>
            </w:pPr>
            <w:r w:rsidRPr="00D927E4">
              <w:rPr>
                <w:sz w:val="22"/>
                <w:szCs w:val="22"/>
              </w:rPr>
              <w:t>Тобто, чинне законодавство вже містить поняття мінімального звітного періоду, протягом якого здійснюється перевірка діяльності суб’єктів.</w:t>
            </w:r>
          </w:p>
          <w:p w14:paraId="0A5BEE4F" w14:textId="77777777" w:rsidR="00894ECB" w:rsidRPr="00D927E4" w:rsidRDefault="00894ECB" w:rsidP="00894ECB">
            <w:pPr>
              <w:rPr>
                <w:sz w:val="22"/>
                <w:szCs w:val="22"/>
              </w:rPr>
            </w:pPr>
            <w:r w:rsidRPr="00D927E4">
              <w:rPr>
                <w:sz w:val="22"/>
                <w:szCs w:val="22"/>
              </w:rPr>
              <w:t>Пропоноване доповнення може суттєво ускладнити роботу суб’єктів, що планують провадити свою діяльність не цілий календарний рік. Водночас, може необґрунтовано збільшити документальне навантаження на суб’єктів в частині збільшення частоти надання звітності, а також може створити надмірне матеріальне навантаження на суб’єктів через використання запроваджуваного поняття як інструменту для множення штрафів на кількість звітних періодів.</w:t>
            </w:r>
          </w:p>
          <w:p w14:paraId="03D204F9" w14:textId="77777777" w:rsidR="00894ECB" w:rsidRPr="00D927E4" w:rsidRDefault="00894ECB" w:rsidP="00894ECB">
            <w:pPr>
              <w:rPr>
                <w:sz w:val="22"/>
                <w:szCs w:val="22"/>
              </w:rPr>
            </w:pPr>
          </w:p>
          <w:p w14:paraId="2B1587BF" w14:textId="77777777" w:rsidR="00894ECB" w:rsidRPr="00D927E4" w:rsidRDefault="00894ECB" w:rsidP="00894ECB">
            <w:pPr>
              <w:rPr>
                <w:sz w:val="22"/>
                <w:szCs w:val="22"/>
              </w:rPr>
            </w:pPr>
            <w:r w:rsidRPr="00D927E4">
              <w:rPr>
                <w:sz w:val="22"/>
                <w:szCs w:val="22"/>
              </w:rPr>
              <w:t>Пропозиція: відтермінувати питання можливості запровадження поняття «звітний рік» після закінчення воєнного стану.</w:t>
            </w:r>
          </w:p>
          <w:p w14:paraId="74056235" w14:textId="77777777" w:rsidR="00894ECB" w:rsidRPr="00D927E4" w:rsidRDefault="00894ECB" w:rsidP="00894ECB">
            <w:pPr>
              <w:rPr>
                <w:i/>
                <w:sz w:val="22"/>
                <w:szCs w:val="22"/>
              </w:rPr>
            </w:pPr>
          </w:p>
          <w:p w14:paraId="0D957176" w14:textId="77777777" w:rsidR="00894ECB" w:rsidRPr="00D927E4" w:rsidRDefault="00894ECB" w:rsidP="00894ECB">
            <w:pPr>
              <w:rPr>
                <w:i/>
                <w:sz w:val="22"/>
                <w:szCs w:val="22"/>
              </w:rPr>
            </w:pPr>
            <w:r w:rsidRPr="00D927E4">
              <w:rPr>
                <w:i/>
                <w:sz w:val="22"/>
                <w:szCs w:val="22"/>
              </w:rPr>
              <w:t>ОБГРУНТУВАННЯ:</w:t>
            </w:r>
          </w:p>
          <w:p w14:paraId="392E660D" w14:textId="77777777" w:rsidR="00894ECB" w:rsidRPr="00D927E4" w:rsidRDefault="00894ECB" w:rsidP="00894ECB">
            <w:pPr>
              <w:rPr>
                <w:sz w:val="22"/>
                <w:szCs w:val="22"/>
              </w:rPr>
            </w:pPr>
          </w:p>
          <w:p w14:paraId="440DE4AD" w14:textId="77777777" w:rsidR="00894ECB" w:rsidRPr="00D927E4" w:rsidRDefault="00894ECB" w:rsidP="00894ECB">
            <w:pPr>
              <w:rPr>
                <w:sz w:val="22"/>
                <w:szCs w:val="22"/>
              </w:rPr>
            </w:pPr>
            <w:r w:rsidRPr="00D927E4">
              <w:rPr>
                <w:sz w:val="22"/>
                <w:szCs w:val="22"/>
              </w:rPr>
              <w:t>Наразі та протягом воєнного стану суб’єкти здійснюють свою діяльність під впливом</w:t>
            </w:r>
          </w:p>
          <w:p w14:paraId="640AA686" w14:textId="77777777" w:rsidR="00894ECB" w:rsidRPr="00D927E4" w:rsidRDefault="00894ECB" w:rsidP="00894ECB">
            <w:pPr>
              <w:rPr>
                <w:sz w:val="22"/>
                <w:szCs w:val="22"/>
              </w:rPr>
            </w:pPr>
            <w:r w:rsidRPr="00D927E4">
              <w:rPr>
                <w:sz w:val="22"/>
                <w:szCs w:val="22"/>
              </w:rPr>
              <w:t xml:space="preserve">негативних наслідків військової агресії </w:t>
            </w:r>
            <w:proofErr w:type="spellStart"/>
            <w:r w:rsidRPr="00D927E4">
              <w:rPr>
                <w:sz w:val="22"/>
                <w:szCs w:val="22"/>
              </w:rPr>
              <w:t>рф</w:t>
            </w:r>
            <w:proofErr w:type="spellEnd"/>
            <w:r w:rsidRPr="00D927E4">
              <w:rPr>
                <w:sz w:val="22"/>
                <w:szCs w:val="22"/>
              </w:rPr>
              <w:t>. Це дуже суттєво</w:t>
            </w:r>
          </w:p>
          <w:p w14:paraId="07A34F2E" w14:textId="77777777" w:rsidR="00894ECB" w:rsidRPr="00D927E4" w:rsidRDefault="00894ECB" w:rsidP="00894ECB">
            <w:pPr>
              <w:rPr>
                <w:sz w:val="22"/>
                <w:szCs w:val="22"/>
              </w:rPr>
            </w:pPr>
            <w:r w:rsidRPr="00D927E4">
              <w:rPr>
                <w:sz w:val="22"/>
                <w:szCs w:val="22"/>
              </w:rPr>
              <w:t>впливає на можливість суб’єктів виконувати всі діючі вимоги</w:t>
            </w:r>
          </w:p>
          <w:p w14:paraId="1F214BCA" w14:textId="77777777" w:rsidR="00894ECB" w:rsidRPr="00D927E4" w:rsidRDefault="00894ECB" w:rsidP="00894ECB">
            <w:pPr>
              <w:rPr>
                <w:sz w:val="22"/>
                <w:szCs w:val="22"/>
              </w:rPr>
            </w:pPr>
            <w:r w:rsidRPr="00D927E4">
              <w:rPr>
                <w:sz w:val="22"/>
                <w:szCs w:val="22"/>
              </w:rPr>
              <w:t>Регулятора, що сформовані для діяльності у мирний час та не</w:t>
            </w:r>
          </w:p>
          <w:p w14:paraId="5B654113" w14:textId="77777777" w:rsidR="00894ECB" w:rsidRPr="00D927E4" w:rsidRDefault="00894ECB" w:rsidP="00894ECB">
            <w:pPr>
              <w:rPr>
                <w:sz w:val="22"/>
                <w:szCs w:val="22"/>
              </w:rPr>
            </w:pPr>
            <w:r w:rsidRPr="00D927E4">
              <w:rPr>
                <w:sz w:val="22"/>
                <w:szCs w:val="22"/>
              </w:rPr>
              <w:t>завжди враховують особливості та потреби воєнного стану.</w:t>
            </w:r>
          </w:p>
          <w:p w14:paraId="567E54B0" w14:textId="77777777" w:rsidR="00894ECB" w:rsidRPr="00D927E4" w:rsidRDefault="00894ECB" w:rsidP="00894ECB">
            <w:pPr>
              <w:rPr>
                <w:sz w:val="22"/>
                <w:szCs w:val="22"/>
              </w:rPr>
            </w:pPr>
            <w:r w:rsidRPr="00D927E4">
              <w:rPr>
                <w:sz w:val="22"/>
                <w:szCs w:val="22"/>
              </w:rPr>
              <w:t>Пропоновані посилення</w:t>
            </w:r>
          </w:p>
          <w:p w14:paraId="4783B529" w14:textId="77777777" w:rsidR="00894ECB" w:rsidRPr="00D927E4" w:rsidRDefault="00894ECB" w:rsidP="00894ECB">
            <w:pPr>
              <w:rPr>
                <w:sz w:val="22"/>
                <w:szCs w:val="22"/>
              </w:rPr>
            </w:pPr>
            <w:r w:rsidRPr="00D927E4">
              <w:rPr>
                <w:sz w:val="22"/>
                <w:szCs w:val="22"/>
              </w:rPr>
              <w:t>регуляції не зможуть створити середовища для посилення</w:t>
            </w:r>
          </w:p>
          <w:p w14:paraId="22C9BBD7" w14:textId="77777777" w:rsidR="00894ECB" w:rsidRPr="00D927E4" w:rsidRDefault="00894ECB" w:rsidP="00894ECB">
            <w:pPr>
              <w:rPr>
                <w:sz w:val="22"/>
                <w:szCs w:val="22"/>
              </w:rPr>
            </w:pPr>
            <w:r w:rsidRPr="00D927E4">
              <w:rPr>
                <w:sz w:val="22"/>
                <w:szCs w:val="22"/>
              </w:rPr>
              <w:t>енергонезалежності України, а навпаки—є ризик послаблення стабільності</w:t>
            </w:r>
          </w:p>
          <w:p w14:paraId="3037E7B2" w14:textId="77777777" w:rsidR="00894ECB" w:rsidRPr="00D927E4" w:rsidRDefault="00894ECB" w:rsidP="00894ECB">
            <w:pPr>
              <w:rPr>
                <w:sz w:val="22"/>
                <w:szCs w:val="22"/>
              </w:rPr>
            </w:pPr>
            <w:r w:rsidRPr="00D927E4">
              <w:rPr>
                <w:sz w:val="22"/>
                <w:szCs w:val="22"/>
              </w:rPr>
              <w:t>енергозабезпечення через провокацію у суб’єктів нестабільності роботи.</w:t>
            </w:r>
          </w:p>
          <w:p w14:paraId="6BC0612B" w14:textId="77777777" w:rsidR="00894ECB" w:rsidRPr="00D927E4" w:rsidRDefault="00894ECB" w:rsidP="00894ECB">
            <w:pPr>
              <w:rPr>
                <w:sz w:val="22"/>
                <w:szCs w:val="22"/>
              </w:rPr>
            </w:pPr>
          </w:p>
          <w:p w14:paraId="4E5C8FBA" w14:textId="77777777" w:rsidR="00894ECB" w:rsidRPr="00D927E4" w:rsidRDefault="00B90647" w:rsidP="00894ECB">
            <w:pPr>
              <w:rPr>
                <w:i/>
                <w:sz w:val="22"/>
                <w:szCs w:val="22"/>
              </w:rPr>
            </w:pPr>
            <w:r w:rsidRPr="00D927E4">
              <w:rPr>
                <w:i/>
                <w:sz w:val="22"/>
                <w:szCs w:val="22"/>
              </w:rPr>
              <w:t>ПРАТ «УКРГІДРОЕНЕРГО»</w:t>
            </w:r>
          </w:p>
          <w:p w14:paraId="5002BBFE" w14:textId="77777777" w:rsidR="00894ECB" w:rsidRPr="00D927E4" w:rsidRDefault="00894ECB" w:rsidP="00894ECB">
            <w:pPr>
              <w:rPr>
                <w:i/>
                <w:sz w:val="22"/>
                <w:szCs w:val="22"/>
              </w:rPr>
            </w:pPr>
          </w:p>
          <w:p w14:paraId="13F2EEEB" w14:textId="77777777" w:rsidR="00894ECB" w:rsidRPr="00D927E4" w:rsidRDefault="00894ECB" w:rsidP="00894ECB">
            <w:pPr>
              <w:ind w:firstLine="284"/>
              <w:jc w:val="both"/>
              <w:rPr>
                <w:sz w:val="22"/>
                <w:szCs w:val="22"/>
              </w:rPr>
            </w:pPr>
          </w:p>
          <w:p w14:paraId="69C47992" w14:textId="77777777" w:rsidR="00894ECB" w:rsidRPr="00D927E4" w:rsidRDefault="00894ECB" w:rsidP="00894ECB">
            <w:pPr>
              <w:ind w:firstLine="284"/>
              <w:jc w:val="both"/>
              <w:rPr>
                <w:sz w:val="22"/>
                <w:szCs w:val="22"/>
              </w:rPr>
            </w:pPr>
            <w:r w:rsidRPr="00D927E4">
              <w:rPr>
                <w:color w:val="000000"/>
                <w:sz w:val="22"/>
                <w:szCs w:val="22"/>
              </w:rPr>
              <w:t>1.3. У цьому Порядку терміни вживаються в таких значеннях:</w:t>
            </w:r>
          </w:p>
          <w:p w14:paraId="3178CBD4" w14:textId="77777777" w:rsidR="00894ECB" w:rsidRPr="00D927E4" w:rsidRDefault="00894ECB" w:rsidP="00894ECB">
            <w:pPr>
              <w:ind w:firstLine="284"/>
              <w:jc w:val="both"/>
              <w:rPr>
                <w:color w:val="000000"/>
                <w:sz w:val="22"/>
                <w:szCs w:val="22"/>
              </w:rPr>
            </w:pPr>
            <w:r w:rsidRPr="00D927E4">
              <w:rPr>
                <w:color w:val="000000"/>
                <w:sz w:val="22"/>
                <w:szCs w:val="22"/>
              </w:rPr>
              <w:t>додаткова вигода (потенційна вигода) - додатковий та/або потенційний дохід або вигода в іншій формі, які порушник спромігся чи мав намір отримати та/або збитки чи витрати, яких він спромігся чи мав намір уникнути внаслідок вчинення порушення, безпосередньо чи опосередковано;</w:t>
            </w:r>
          </w:p>
          <w:p w14:paraId="02304C2D" w14:textId="77777777" w:rsidR="00894ECB" w:rsidRPr="00D927E4" w:rsidRDefault="00894ECB" w:rsidP="00894ECB">
            <w:pPr>
              <w:ind w:firstLine="284"/>
              <w:jc w:val="both"/>
              <w:rPr>
                <w:b/>
                <w:color w:val="0070C0"/>
                <w:sz w:val="22"/>
                <w:szCs w:val="22"/>
              </w:rPr>
            </w:pPr>
            <w:r w:rsidRPr="00D927E4">
              <w:rPr>
                <w:sz w:val="22"/>
                <w:szCs w:val="22"/>
              </w:rPr>
              <w:t>звітний рік – період діяльності суб’єктів господарювання, що провадять діяльність у сферах енергетики та комунальних послуг, який дорівнює календарному</w:t>
            </w:r>
            <w:r w:rsidRPr="00D927E4">
              <w:rPr>
                <w:b/>
                <w:sz w:val="22"/>
                <w:szCs w:val="22"/>
              </w:rPr>
              <w:t xml:space="preserve"> </w:t>
            </w:r>
            <w:r w:rsidRPr="00D927E4">
              <w:rPr>
                <w:sz w:val="22"/>
                <w:szCs w:val="22"/>
              </w:rPr>
              <w:t>року</w:t>
            </w:r>
            <w:r w:rsidRPr="00D927E4">
              <w:rPr>
                <w:b/>
                <w:sz w:val="22"/>
                <w:szCs w:val="22"/>
              </w:rPr>
              <w:t xml:space="preserve"> (розпочинається 1 січня поточного року і закінчується 31 грудня поточного року) </w:t>
            </w:r>
            <w:r w:rsidRPr="00D927E4">
              <w:rPr>
                <w:strike/>
                <w:sz w:val="22"/>
                <w:szCs w:val="22"/>
              </w:rPr>
              <w:t>(проміжок часу з 01 січня по 31 грудня)</w:t>
            </w:r>
            <w:r w:rsidRPr="00D927E4">
              <w:rPr>
                <w:sz w:val="22"/>
                <w:szCs w:val="22"/>
              </w:rPr>
              <w:t>;</w:t>
            </w:r>
          </w:p>
          <w:p w14:paraId="11E70AC1" w14:textId="77777777" w:rsidR="00894ECB" w:rsidRPr="00D927E4" w:rsidRDefault="00894ECB" w:rsidP="00894ECB">
            <w:pPr>
              <w:ind w:firstLine="284"/>
              <w:jc w:val="both"/>
              <w:rPr>
                <w:sz w:val="22"/>
                <w:szCs w:val="22"/>
              </w:rPr>
            </w:pPr>
            <w:r w:rsidRPr="00D927E4">
              <w:rPr>
                <w:color w:val="000000"/>
                <w:sz w:val="22"/>
                <w:szCs w:val="22"/>
              </w:rPr>
              <w:t>індивідуальне пом'якшення - зменшення підсумкового розміру штрафу з урахуванням факту усунення порушення після його виявлення НКРЕКП та початку розгляду питання щодо відповідальності за його вчинення;</w:t>
            </w:r>
          </w:p>
          <w:p w14:paraId="67944EA0" w14:textId="77777777" w:rsidR="00894ECB" w:rsidRPr="00D927E4" w:rsidRDefault="00894ECB" w:rsidP="00894ECB">
            <w:pPr>
              <w:ind w:firstLine="284"/>
              <w:jc w:val="both"/>
              <w:rPr>
                <w:sz w:val="22"/>
                <w:szCs w:val="22"/>
              </w:rPr>
            </w:pPr>
            <w:r w:rsidRPr="00D927E4">
              <w:rPr>
                <w:color w:val="000000"/>
                <w:sz w:val="22"/>
                <w:szCs w:val="22"/>
              </w:rPr>
              <w:t>підсумковий розмір штрафу - остаточно визначений розмір штрафу, розрахований у межах граничних розмірів штрафу, передбачених чинним законодавством.</w:t>
            </w:r>
          </w:p>
          <w:p w14:paraId="3F995007" w14:textId="77777777" w:rsidR="00894ECB" w:rsidRPr="00D927E4" w:rsidRDefault="00894ECB" w:rsidP="00894ECB">
            <w:pPr>
              <w:rPr>
                <w:color w:val="000000"/>
                <w:sz w:val="22"/>
                <w:szCs w:val="22"/>
              </w:rPr>
            </w:pPr>
            <w:r w:rsidRPr="00D927E4">
              <w:rPr>
                <w:color w:val="000000"/>
                <w:sz w:val="22"/>
                <w:szCs w:val="22"/>
              </w:rPr>
              <w:t>Інші терміни вживаються в цьому Порядку у значеннях, наведених у законах України "Про Національну комісію, що здійснює державне регулювання у сферах енергетики та комунальних послуг", "Про природні монополії", "Про ринок природного газу", "Про ринок електричної енергії", "Про теплопостачання",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затвердженого постановою Національної комісії, що здійснює державне регулювання у сферах енергетики та комунальних послуг, від 14 червня 2018 року N 428.</w:t>
            </w:r>
          </w:p>
          <w:p w14:paraId="779FF8B4" w14:textId="77777777" w:rsidR="00894ECB" w:rsidRPr="00D927E4" w:rsidRDefault="00894ECB" w:rsidP="00894ECB">
            <w:pPr>
              <w:rPr>
                <w:i/>
                <w:sz w:val="22"/>
                <w:szCs w:val="22"/>
              </w:rPr>
            </w:pPr>
            <w:r w:rsidRPr="00D927E4">
              <w:rPr>
                <w:i/>
                <w:sz w:val="22"/>
                <w:szCs w:val="22"/>
              </w:rPr>
              <w:t>ОБГРУНТУВАННЯ:</w:t>
            </w:r>
          </w:p>
          <w:p w14:paraId="4F14FB44" w14:textId="77777777" w:rsidR="00894ECB" w:rsidRPr="00D927E4" w:rsidRDefault="00894ECB" w:rsidP="00894ECB">
            <w:pPr>
              <w:rPr>
                <w:sz w:val="22"/>
                <w:szCs w:val="22"/>
              </w:rPr>
            </w:pPr>
          </w:p>
          <w:p w14:paraId="72F82C80" w14:textId="77777777" w:rsidR="00894ECB" w:rsidRPr="00D927E4" w:rsidRDefault="00894ECB" w:rsidP="00894ECB">
            <w:pPr>
              <w:rPr>
                <w:sz w:val="22"/>
                <w:szCs w:val="22"/>
              </w:rPr>
            </w:pPr>
            <w:r w:rsidRPr="00D927E4">
              <w:rPr>
                <w:sz w:val="22"/>
                <w:szCs w:val="22"/>
              </w:rPr>
              <w:t>Редакційне уточнення</w:t>
            </w:r>
          </w:p>
          <w:p w14:paraId="35D031AC" w14:textId="77777777" w:rsidR="00894ECB" w:rsidRPr="00D927E4" w:rsidRDefault="00894ECB" w:rsidP="00894ECB">
            <w:pPr>
              <w:rPr>
                <w:i/>
                <w:sz w:val="22"/>
                <w:szCs w:val="22"/>
              </w:rPr>
            </w:pPr>
          </w:p>
          <w:p w14:paraId="0F0E610A" w14:textId="77777777" w:rsidR="00894ECB" w:rsidRPr="00D927E4" w:rsidRDefault="00894ECB" w:rsidP="00894ECB">
            <w:pPr>
              <w:rPr>
                <w:sz w:val="22"/>
                <w:szCs w:val="22"/>
              </w:rPr>
            </w:pPr>
          </w:p>
        </w:tc>
        <w:tc>
          <w:tcPr>
            <w:tcW w:w="3549" w:type="dxa"/>
          </w:tcPr>
          <w:p w14:paraId="35AD7009" w14:textId="77777777" w:rsidR="00464C35" w:rsidRDefault="00464C35" w:rsidP="00116F6F">
            <w:pPr>
              <w:pStyle w:val="af6"/>
              <w:spacing w:after="0" w:line="240" w:lineRule="auto"/>
              <w:ind w:left="0"/>
              <w:jc w:val="both"/>
              <w:rPr>
                <w:rFonts w:ascii="Times New Roman" w:hAnsi="Times New Roman"/>
                <w:b/>
                <w:lang w:val="uk-UA"/>
              </w:rPr>
            </w:pPr>
          </w:p>
          <w:p w14:paraId="59AFD3F9" w14:textId="77777777" w:rsidR="00464C35" w:rsidRDefault="00464C35" w:rsidP="00116F6F">
            <w:pPr>
              <w:pStyle w:val="af6"/>
              <w:spacing w:after="0" w:line="240" w:lineRule="auto"/>
              <w:ind w:left="0"/>
              <w:jc w:val="both"/>
              <w:rPr>
                <w:rFonts w:ascii="Times New Roman" w:hAnsi="Times New Roman"/>
                <w:b/>
                <w:lang w:val="uk-UA"/>
              </w:rPr>
            </w:pPr>
          </w:p>
          <w:p w14:paraId="4963D4F8" w14:textId="77777777" w:rsidR="00464C35" w:rsidRPr="00713F9D" w:rsidRDefault="00464C35" w:rsidP="00116F6F">
            <w:pPr>
              <w:pStyle w:val="af6"/>
              <w:spacing w:after="0" w:line="240" w:lineRule="auto"/>
              <w:ind w:left="0"/>
              <w:jc w:val="both"/>
              <w:rPr>
                <w:rFonts w:ascii="Times New Roman" w:hAnsi="Times New Roman"/>
                <w:lang w:val="uk-UA"/>
              </w:rPr>
            </w:pPr>
            <w:r w:rsidRPr="00713F9D">
              <w:rPr>
                <w:rFonts w:ascii="Times New Roman" w:hAnsi="Times New Roman"/>
                <w:b/>
                <w:lang w:val="uk-UA"/>
              </w:rPr>
              <w:t>Не враховано</w:t>
            </w:r>
            <w:r w:rsidR="009B41FC">
              <w:rPr>
                <w:rFonts w:ascii="Times New Roman" w:hAnsi="Times New Roman"/>
                <w:b/>
                <w:lang w:val="uk-UA"/>
              </w:rPr>
              <w:t xml:space="preserve"> (щодо зауважень </w:t>
            </w:r>
            <w:r w:rsidR="009B41FC" w:rsidRPr="009B41FC">
              <w:rPr>
                <w:rFonts w:ascii="Times New Roman" w:hAnsi="Times New Roman"/>
                <w:b/>
                <w:lang w:val="uk-UA"/>
              </w:rPr>
              <w:t>ПАТ «ЗАПОРІЖЖЯОБЛЕНЕРГО»</w:t>
            </w:r>
            <w:r w:rsidR="009B41FC">
              <w:rPr>
                <w:rFonts w:ascii="Times New Roman" w:hAnsi="Times New Roman"/>
                <w:b/>
                <w:lang w:val="uk-UA"/>
              </w:rPr>
              <w:t xml:space="preserve">, </w:t>
            </w:r>
            <w:r w:rsidR="009B41FC" w:rsidRPr="009B41FC">
              <w:rPr>
                <w:rFonts w:ascii="Times New Roman" w:hAnsi="Times New Roman"/>
                <w:b/>
                <w:lang w:val="uk-UA"/>
              </w:rPr>
              <w:t>АТ «ДТЕК ЗАХІДЕНЕРГО»</w:t>
            </w:r>
            <w:r w:rsidR="009B41FC">
              <w:rPr>
                <w:rFonts w:ascii="Times New Roman" w:hAnsi="Times New Roman"/>
                <w:b/>
                <w:lang w:val="uk-UA"/>
              </w:rPr>
              <w:t>)</w:t>
            </w:r>
          </w:p>
          <w:p w14:paraId="15EDFBF2" w14:textId="77777777" w:rsidR="00894ECB" w:rsidRPr="00D927E4" w:rsidRDefault="00894ECB" w:rsidP="00116F6F">
            <w:pPr>
              <w:jc w:val="both"/>
              <w:rPr>
                <w:sz w:val="22"/>
                <w:szCs w:val="22"/>
                <w:shd w:val="clear" w:color="auto" w:fill="FFFFFF"/>
              </w:rPr>
            </w:pPr>
          </w:p>
          <w:p w14:paraId="65E74230" w14:textId="77777777" w:rsidR="00894ECB" w:rsidRDefault="00464C35" w:rsidP="00116F6F">
            <w:pPr>
              <w:jc w:val="both"/>
              <w:rPr>
                <w:sz w:val="22"/>
                <w:szCs w:val="22"/>
              </w:rPr>
            </w:pPr>
            <w:r>
              <w:rPr>
                <w:sz w:val="22"/>
                <w:szCs w:val="22"/>
              </w:rPr>
              <w:t>Відповідно до частини шостої статті 19 Закону України «</w:t>
            </w:r>
            <w:r w:rsidRPr="009C036C">
              <w:rPr>
                <w:sz w:val="22"/>
                <w:szCs w:val="22"/>
              </w:rPr>
              <w:t>Про Національну комісію, що здійснює державне регулювання у сферах енергетики та комунальних послуг</w:t>
            </w:r>
            <w:r>
              <w:rPr>
                <w:sz w:val="22"/>
                <w:szCs w:val="22"/>
              </w:rPr>
              <w:t>» (далі – Закон) п</w:t>
            </w:r>
            <w:r w:rsidRPr="009C036C">
              <w:rPr>
                <w:sz w:val="22"/>
                <w:szCs w:val="22"/>
              </w:rPr>
              <w:t>ланові перевірки суб’єктів господарювання, що провадять діяльність у сферах енергетики та комунальних послуг, проводяться не частіше одного разу на рік відповідно до річних планів, які затверджуються Регулятором</w:t>
            </w:r>
            <w:r>
              <w:rPr>
                <w:sz w:val="22"/>
                <w:szCs w:val="22"/>
              </w:rPr>
              <w:t>. Тобто періодом, що перевіряється при проведенні планової перевірки є 1 рік, якщо перевірка проводиться кожний календарний рік.</w:t>
            </w:r>
          </w:p>
          <w:p w14:paraId="73E30C04" w14:textId="77777777" w:rsidR="009B41FC" w:rsidRDefault="009B41FC" w:rsidP="00116F6F">
            <w:pPr>
              <w:jc w:val="both"/>
              <w:rPr>
                <w:sz w:val="22"/>
                <w:szCs w:val="22"/>
                <w:shd w:val="clear" w:color="auto" w:fill="FFFFFF"/>
              </w:rPr>
            </w:pPr>
            <w:r>
              <w:rPr>
                <w:sz w:val="22"/>
                <w:szCs w:val="22"/>
                <w:shd w:val="clear" w:color="auto" w:fill="FFFFFF"/>
              </w:rPr>
              <w:t>З огляду на викладене, вважаємо за доцільне введення визначення звітного року.</w:t>
            </w:r>
          </w:p>
          <w:p w14:paraId="6850FAD3" w14:textId="77777777" w:rsidR="00BC32F2" w:rsidRDefault="00BC32F2" w:rsidP="00116F6F">
            <w:pPr>
              <w:jc w:val="both"/>
              <w:rPr>
                <w:sz w:val="22"/>
                <w:szCs w:val="22"/>
                <w:shd w:val="clear" w:color="auto" w:fill="FFFFFF"/>
              </w:rPr>
            </w:pPr>
          </w:p>
          <w:p w14:paraId="05B356C9" w14:textId="77777777" w:rsidR="00BC32F2" w:rsidRDefault="00BC32F2" w:rsidP="00116F6F">
            <w:pPr>
              <w:jc w:val="both"/>
              <w:rPr>
                <w:sz w:val="22"/>
                <w:szCs w:val="22"/>
                <w:shd w:val="clear" w:color="auto" w:fill="FFFFFF"/>
              </w:rPr>
            </w:pPr>
          </w:p>
          <w:p w14:paraId="4C15003C" w14:textId="77777777" w:rsidR="00BC32F2" w:rsidRDefault="00BC32F2" w:rsidP="00116F6F">
            <w:pPr>
              <w:jc w:val="both"/>
              <w:rPr>
                <w:sz w:val="22"/>
                <w:szCs w:val="22"/>
                <w:shd w:val="clear" w:color="auto" w:fill="FFFFFF"/>
              </w:rPr>
            </w:pPr>
          </w:p>
          <w:p w14:paraId="5CB6E5DF" w14:textId="77777777" w:rsidR="00BC32F2" w:rsidRDefault="00BC32F2" w:rsidP="00116F6F">
            <w:pPr>
              <w:jc w:val="both"/>
              <w:rPr>
                <w:sz w:val="22"/>
                <w:szCs w:val="22"/>
                <w:shd w:val="clear" w:color="auto" w:fill="FFFFFF"/>
              </w:rPr>
            </w:pPr>
          </w:p>
          <w:p w14:paraId="6F9D8150" w14:textId="77777777" w:rsidR="00BC32F2" w:rsidRDefault="00BC32F2" w:rsidP="00116F6F">
            <w:pPr>
              <w:jc w:val="both"/>
              <w:rPr>
                <w:sz w:val="22"/>
                <w:szCs w:val="22"/>
                <w:shd w:val="clear" w:color="auto" w:fill="FFFFFF"/>
              </w:rPr>
            </w:pPr>
          </w:p>
          <w:p w14:paraId="0876CA16" w14:textId="77777777" w:rsidR="00BC32F2" w:rsidRDefault="00BC32F2" w:rsidP="00116F6F">
            <w:pPr>
              <w:jc w:val="both"/>
              <w:rPr>
                <w:sz w:val="22"/>
                <w:szCs w:val="22"/>
                <w:shd w:val="clear" w:color="auto" w:fill="FFFFFF"/>
              </w:rPr>
            </w:pPr>
          </w:p>
          <w:p w14:paraId="50335062" w14:textId="77777777" w:rsidR="00BC32F2" w:rsidRDefault="00BC32F2" w:rsidP="00116F6F">
            <w:pPr>
              <w:jc w:val="both"/>
              <w:rPr>
                <w:sz w:val="22"/>
                <w:szCs w:val="22"/>
                <w:shd w:val="clear" w:color="auto" w:fill="FFFFFF"/>
              </w:rPr>
            </w:pPr>
          </w:p>
          <w:p w14:paraId="5B9FA7C0" w14:textId="77777777" w:rsidR="00BC32F2" w:rsidRDefault="00BC32F2" w:rsidP="00116F6F">
            <w:pPr>
              <w:jc w:val="both"/>
              <w:rPr>
                <w:sz w:val="22"/>
                <w:szCs w:val="22"/>
                <w:shd w:val="clear" w:color="auto" w:fill="FFFFFF"/>
              </w:rPr>
            </w:pPr>
          </w:p>
          <w:p w14:paraId="16F35D06" w14:textId="77777777" w:rsidR="00BC32F2" w:rsidRDefault="00BC32F2" w:rsidP="00116F6F">
            <w:pPr>
              <w:jc w:val="both"/>
              <w:rPr>
                <w:sz w:val="22"/>
                <w:szCs w:val="22"/>
                <w:shd w:val="clear" w:color="auto" w:fill="FFFFFF"/>
              </w:rPr>
            </w:pPr>
          </w:p>
          <w:p w14:paraId="114474B7" w14:textId="77777777" w:rsidR="00BC32F2" w:rsidRDefault="00BC32F2" w:rsidP="00116F6F">
            <w:pPr>
              <w:jc w:val="both"/>
              <w:rPr>
                <w:sz w:val="22"/>
                <w:szCs w:val="22"/>
                <w:shd w:val="clear" w:color="auto" w:fill="FFFFFF"/>
              </w:rPr>
            </w:pPr>
          </w:p>
          <w:p w14:paraId="0A3E598A" w14:textId="77777777" w:rsidR="00BC32F2" w:rsidRDefault="00BC32F2" w:rsidP="00116F6F">
            <w:pPr>
              <w:jc w:val="both"/>
              <w:rPr>
                <w:sz w:val="22"/>
                <w:szCs w:val="22"/>
                <w:shd w:val="clear" w:color="auto" w:fill="FFFFFF"/>
              </w:rPr>
            </w:pPr>
          </w:p>
          <w:p w14:paraId="14FDBA6F" w14:textId="77777777" w:rsidR="00BC32F2" w:rsidRDefault="00BC32F2" w:rsidP="00116F6F">
            <w:pPr>
              <w:jc w:val="both"/>
              <w:rPr>
                <w:sz w:val="22"/>
                <w:szCs w:val="22"/>
                <w:shd w:val="clear" w:color="auto" w:fill="FFFFFF"/>
              </w:rPr>
            </w:pPr>
          </w:p>
          <w:p w14:paraId="64E5E9BF" w14:textId="77777777" w:rsidR="00BC32F2" w:rsidRDefault="00BC32F2" w:rsidP="00116F6F">
            <w:pPr>
              <w:jc w:val="both"/>
              <w:rPr>
                <w:sz w:val="22"/>
                <w:szCs w:val="22"/>
                <w:shd w:val="clear" w:color="auto" w:fill="FFFFFF"/>
              </w:rPr>
            </w:pPr>
          </w:p>
          <w:p w14:paraId="634531C8" w14:textId="77777777" w:rsidR="00BC32F2" w:rsidRDefault="00BC32F2" w:rsidP="00116F6F">
            <w:pPr>
              <w:jc w:val="both"/>
              <w:rPr>
                <w:sz w:val="22"/>
                <w:szCs w:val="22"/>
                <w:shd w:val="clear" w:color="auto" w:fill="FFFFFF"/>
              </w:rPr>
            </w:pPr>
          </w:p>
          <w:p w14:paraId="7093A6FC" w14:textId="77777777" w:rsidR="00BC32F2" w:rsidRDefault="00BC32F2" w:rsidP="00116F6F">
            <w:pPr>
              <w:jc w:val="both"/>
              <w:rPr>
                <w:sz w:val="22"/>
                <w:szCs w:val="22"/>
                <w:shd w:val="clear" w:color="auto" w:fill="FFFFFF"/>
              </w:rPr>
            </w:pPr>
          </w:p>
          <w:p w14:paraId="6B7A0FE0" w14:textId="77777777" w:rsidR="00BC32F2" w:rsidRDefault="00BC32F2" w:rsidP="00116F6F">
            <w:pPr>
              <w:jc w:val="both"/>
              <w:rPr>
                <w:sz w:val="22"/>
                <w:szCs w:val="22"/>
                <w:shd w:val="clear" w:color="auto" w:fill="FFFFFF"/>
              </w:rPr>
            </w:pPr>
          </w:p>
          <w:p w14:paraId="44BFE7CE" w14:textId="77777777" w:rsidR="00BC32F2" w:rsidRDefault="00BC32F2" w:rsidP="00116F6F">
            <w:pPr>
              <w:jc w:val="both"/>
              <w:rPr>
                <w:sz w:val="22"/>
                <w:szCs w:val="22"/>
                <w:shd w:val="clear" w:color="auto" w:fill="FFFFFF"/>
              </w:rPr>
            </w:pPr>
          </w:p>
          <w:p w14:paraId="112CA52D" w14:textId="77777777" w:rsidR="00BC32F2" w:rsidRDefault="00BC32F2" w:rsidP="00116F6F">
            <w:pPr>
              <w:jc w:val="both"/>
              <w:rPr>
                <w:sz w:val="22"/>
                <w:szCs w:val="22"/>
                <w:shd w:val="clear" w:color="auto" w:fill="FFFFFF"/>
              </w:rPr>
            </w:pPr>
          </w:p>
          <w:p w14:paraId="78C972EE" w14:textId="77777777" w:rsidR="00BC32F2" w:rsidRDefault="00BC32F2" w:rsidP="00116F6F">
            <w:pPr>
              <w:jc w:val="both"/>
              <w:rPr>
                <w:sz w:val="22"/>
                <w:szCs w:val="22"/>
                <w:shd w:val="clear" w:color="auto" w:fill="FFFFFF"/>
              </w:rPr>
            </w:pPr>
          </w:p>
          <w:p w14:paraId="634B0E84" w14:textId="77777777" w:rsidR="00BC32F2" w:rsidRDefault="00BC32F2" w:rsidP="00116F6F">
            <w:pPr>
              <w:jc w:val="both"/>
              <w:rPr>
                <w:sz w:val="22"/>
                <w:szCs w:val="22"/>
                <w:shd w:val="clear" w:color="auto" w:fill="FFFFFF"/>
              </w:rPr>
            </w:pPr>
          </w:p>
          <w:p w14:paraId="5178DA1C" w14:textId="77777777" w:rsidR="00BC32F2" w:rsidRDefault="00BC32F2" w:rsidP="00116F6F">
            <w:pPr>
              <w:jc w:val="both"/>
              <w:rPr>
                <w:sz w:val="22"/>
                <w:szCs w:val="22"/>
                <w:shd w:val="clear" w:color="auto" w:fill="FFFFFF"/>
              </w:rPr>
            </w:pPr>
          </w:p>
          <w:p w14:paraId="24543D30" w14:textId="77777777" w:rsidR="00BC32F2" w:rsidRDefault="00BC32F2" w:rsidP="00116F6F">
            <w:pPr>
              <w:jc w:val="both"/>
              <w:rPr>
                <w:sz w:val="22"/>
                <w:szCs w:val="22"/>
                <w:shd w:val="clear" w:color="auto" w:fill="FFFFFF"/>
              </w:rPr>
            </w:pPr>
          </w:p>
          <w:p w14:paraId="4EBC2C2F" w14:textId="77777777" w:rsidR="00BC32F2" w:rsidRDefault="00BC32F2" w:rsidP="00116F6F">
            <w:pPr>
              <w:jc w:val="both"/>
              <w:rPr>
                <w:sz w:val="22"/>
                <w:szCs w:val="22"/>
                <w:shd w:val="clear" w:color="auto" w:fill="FFFFFF"/>
              </w:rPr>
            </w:pPr>
          </w:p>
          <w:p w14:paraId="23F7E76F" w14:textId="77777777" w:rsidR="00BC32F2" w:rsidRDefault="00BC32F2" w:rsidP="00116F6F">
            <w:pPr>
              <w:jc w:val="both"/>
              <w:rPr>
                <w:sz w:val="22"/>
                <w:szCs w:val="22"/>
                <w:shd w:val="clear" w:color="auto" w:fill="FFFFFF"/>
              </w:rPr>
            </w:pPr>
          </w:p>
          <w:p w14:paraId="7876576D" w14:textId="77777777" w:rsidR="00BC32F2" w:rsidRDefault="00BC32F2" w:rsidP="00116F6F">
            <w:pPr>
              <w:jc w:val="both"/>
              <w:rPr>
                <w:sz w:val="22"/>
                <w:szCs w:val="22"/>
                <w:shd w:val="clear" w:color="auto" w:fill="FFFFFF"/>
              </w:rPr>
            </w:pPr>
          </w:p>
          <w:p w14:paraId="6F04E316" w14:textId="77777777" w:rsidR="00BC32F2" w:rsidRDefault="00BC32F2" w:rsidP="00116F6F">
            <w:pPr>
              <w:jc w:val="both"/>
              <w:rPr>
                <w:sz w:val="22"/>
                <w:szCs w:val="22"/>
                <w:shd w:val="clear" w:color="auto" w:fill="FFFFFF"/>
              </w:rPr>
            </w:pPr>
          </w:p>
          <w:p w14:paraId="2988B1D0" w14:textId="77777777" w:rsidR="00BC32F2" w:rsidRDefault="00BC32F2" w:rsidP="00116F6F">
            <w:pPr>
              <w:jc w:val="both"/>
              <w:rPr>
                <w:sz w:val="22"/>
                <w:szCs w:val="22"/>
                <w:shd w:val="clear" w:color="auto" w:fill="FFFFFF"/>
              </w:rPr>
            </w:pPr>
          </w:p>
          <w:p w14:paraId="7C1A44E9" w14:textId="77777777" w:rsidR="00BC32F2" w:rsidRDefault="00BC32F2" w:rsidP="00116F6F">
            <w:pPr>
              <w:jc w:val="both"/>
              <w:rPr>
                <w:sz w:val="22"/>
                <w:szCs w:val="22"/>
                <w:shd w:val="clear" w:color="auto" w:fill="FFFFFF"/>
              </w:rPr>
            </w:pPr>
          </w:p>
          <w:p w14:paraId="16D2A25F" w14:textId="77777777" w:rsidR="00BC32F2" w:rsidRDefault="00BC32F2" w:rsidP="00116F6F">
            <w:pPr>
              <w:jc w:val="both"/>
              <w:rPr>
                <w:sz w:val="22"/>
                <w:szCs w:val="22"/>
                <w:shd w:val="clear" w:color="auto" w:fill="FFFFFF"/>
              </w:rPr>
            </w:pPr>
          </w:p>
          <w:p w14:paraId="29ABD694" w14:textId="77777777" w:rsidR="00BC32F2" w:rsidRDefault="00BC32F2" w:rsidP="00116F6F">
            <w:pPr>
              <w:jc w:val="both"/>
              <w:rPr>
                <w:sz w:val="22"/>
                <w:szCs w:val="22"/>
                <w:shd w:val="clear" w:color="auto" w:fill="FFFFFF"/>
              </w:rPr>
            </w:pPr>
          </w:p>
          <w:p w14:paraId="4053AADB" w14:textId="77777777" w:rsidR="00BC32F2" w:rsidRDefault="00BC32F2" w:rsidP="00116F6F">
            <w:pPr>
              <w:jc w:val="both"/>
              <w:rPr>
                <w:sz w:val="22"/>
                <w:szCs w:val="22"/>
                <w:shd w:val="clear" w:color="auto" w:fill="FFFFFF"/>
              </w:rPr>
            </w:pPr>
          </w:p>
          <w:p w14:paraId="64CE6B26" w14:textId="77777777" w:rsidR="00BC32F2" w:rsidRDefault="00BC32F2" w:rsidP="00116F6F">
            <w:pPr>
              <w:jc w:val="both"/>
              <w:rPr>
                <w:sz w:val="22"/>
                <w:szCs w:val="22"/>
                <w:shd w:val="clear" w:color="auto" w:fill="FFFFFF"/>
              </w:rPr>
            </w:pPr>
          </w:p>
          <w:p w14:paraId="5DF1779B" w14:textId="77777777" w:rsidR="00BC32F2" w:rsidRDefault="00BC32F2" w:rsidP="00116F6F">
            <w:pPr>
              <w:jc w:val="both"/>
              <w:rPr>
                <w:sz w:val="22"/>
                <w:szCs w:val="22"/>
                <w:shd w:val="clear" w:color="auto" w:fill="FFFFFF"/>
              </w:rPr>
            </w:pPr>
          </w:p>
          <w:p w14:paraId="1386573E" w14:textId="77777777" w:rsidR="00BC32F2" w:rsidRDefault="00BC32F2" w:rsidP="00116F6F">
            <w:pPr>
              <w:jc w:val="both"/>
              <w:rPr>
                <w:sz w:val="22"/>
                <w:szCs w:val="22"/>
                <w:shd w:val="clear" w:color="auto" w:fill="FFFFFF"/>
              </w:rPr>
            </w:pPr>
          </w:p>
          <w:p w14:paraId="23CDA883" w14:textId="77777777" w:rsidR="00BC32F2" w:rsidRDefault="00BC32F2" w:rsidP="00116F6F">
            <w:pPr>
              <w:jc w:val="both"/>
              <w:rPr>
                <w:sz w:val="22"/>
                <w:szCs w:val="22"/>
                <w:shd w:val="clear" w:color="auto" w:fill="FFFFFF"/>
              </w:rPr>
            </w:pPr>
          </w:p>
          <w:p w14:paraId="23C66BE7" w14:textId="77777777" w:rsidR="00BC32F2" w:rsidRDefault="00BC32F2" w:rsidP="00116F6F">
            <w:pPr>
              <w:jc w:val="both"/>
              <w:rPr>
                <w:sz w:val="22"/>
                <w:szCs w:val="22"/>
                <w:shd w:val="clear" w:color="auto" w:fill="FFFFFF"/>
              </w:rPr>
            </w:pPr>
          </w:p>
          <w:p w14:paraId="0E264D3F" w14:textId="77777777" w:rsidR="00BC32F2" w:rsidRDefault="00BC32F2" w:rsidP="00116F6F">
            <w:pPr>
              <w:jc w:val="both"/>
              <w:rPr>
                <w:sz w:val="22"/>
                <w:szCs w:val="22"/>
                <w:shd w:val="clear" w:color="auto" w:fill="FFFFFF"/>
              </w:rPr>
            </w:pPr>
          </w:p>
          <w:p w14:paraId="6E6E1292" w14:textId="77777777" w:rsidR="00BC32F2" w:rsidRDefault="00BC32F2" w:rsidP="00116F6F">
            <w:pPr>
              <w:jc w:val="both"/>
              <w:rPr>
                <w:sz w:val="22"/>
                <w:szCs w:val="22"/>
                <w:shd w:val="clear" w:color="auto" w:fill="FFFFFF"/>
              </w:rPr>
            </w:pPr>
          </w:p>
          <w:p w14:paraId="0FCB5D15" w14:textId="77777777" w:rsidR="00BC32F2" w:rsidRDefault="00BC32F2" w:rsidP="00116F6F">
            <w:pPr>
              <w:jc w:val="both"/>
              <w:rPr>
                <w:sz w:val="22"/>
                <w:szCs w:val="22"/>
                <w:shd w:val="clear" w:color="auto" w:fill="FFFFFF"/>
              </w:rPr>
            </w:pPr>
          </w:p>
          <w:p w14:paraId="07BEB3CB" w14:textId="77777777" w:rsidR="00BC32F2" w:rsidRDefault="00BC32F2" w:rsidP="00116F6F">
            <w:pPr>
              <w:jc w:val="both"/>
              <w:rPr>
                <w:sz w:val="22"/>
                <w:szCs w:val="22"/>
                <w:shd w:val="clear" w:color="auto" w:fill="FFFFFF"/>
              </w:rPr>
            </w:pPr>
          </w:p>
          <w:p w14:paraId="0ACC647D" w14:textId="77777777" w:rsidR="00BC32F2" w:rsidRDefault="004B5D74" w:rsidP="00116F6F">
            <w:pPr>
              <w:jc w:val="both"/>
              <w:rPr>
                <w:b/>
                <w:sz w:val="22"/>
                <w:szCs w:val="22"/>
                <w:shd w:val="clear" w:color="auto" w:fill="FFFFFF"/>
              </w:rPr>
            </w:pPr>
            <w:r w:rsidRPr="00E77DE5">
              <w:rPr>
                <w:b/>
                <w:sz w:val="22"/>
                <w:szCs w:val="22"/>
                <w:shd w:val="clear" w:color="auto" w:fill="FFFFFF"/>
              </w:rPr>
              <w:t>Не в</w:t>
            </w:r>
            <w:r w:rsidR="00BC32F2" w:rsidRPr="00E77DE5">
              <w:rPr>
                <w:b/>
                <w:sz w:val="22"/>
                <w:szCs w:val="22"/>
                <w:shd w:val="clear" w:color="auto" w:fill="FFFFFF"/>
              </w:rPr>
              <w:t>раховано</w:t>
            </w:r>
          </w:p>
          <w:p w14:paraId="3A0418F6" w14:textId="69AFD808" w:rsidR="00E77DE5" w:rsidRPr="00E77DE5" w:rsidRDefault="00E77DE5" w:rsidP="00116F6F">
            <w:pPr>
              <w:jc w:val="both"/>
              <w:rPr>
                <w:bCs/>
                <w:sz w:val="22"/>
                <w:szCs w:val="22"/>
                <w:shd w:val="clear" w:color="auto" w:fill="FFFFFF"/>
              </w:rPr>
            </w:pPr>
            <w:r w:rsidRPr="00E77DE5">
              <w:rPr>
                <w:bCs/>
                <w:sz w:val="22"/>
                <w:szCs w:val="22"/>
                <w:shd w:val="clear" w:color="auto" w:fill="FFFFFF"/>
              </w:rPr>
              <w:lastRenderedPageBreak/>
              <w:t>Оскільки періодом перевірки, як правило, не є поточний рік</w:t>
            </w:r>
          </w:p>
        </w:tc>
      </w:tr>
      <w:tr w:rsidR="00894ECB" w:rsidRPr="00D927E4" w14:paraId="5661BE55" w14:textId="77777777" w:rsidTr="00894ECB">
        <w:trPr>
          <w:trHeight w:val="595"/>
        </w:trPr>
        <w:tc>
          <w:tcPr>
            <w:tcW w:w="5839" w:type="dxa"/>
            <w:vAlign w:val="center"/>
          </w:tcPr>
          <w:p w14:paraId="56266DFB" w14:textId="77777777" w:rsidR="00894ECB" w:rsidRPr="00D927E4" w:rsidRDefault="00894ECB" w:rsidP="00894ECB">
            <w:pPr>
              <w:spacing w:after="160" w:line="259" w:lineRule="auto"/>
              <w:jc w:val="both"/>
              <w:rPr>
                <w:rFonts w:eastAsia="Calibri"/>
                <w:color w:val="000000"/>
                <w:sz w:val="22"/>
                <w:szCs w:val="22"/>
                <w:lang w:eastAsia="en-US"/>
              </w:rPr>
            </w:pPr>
          </w:p>
          <w:p w14:paraId="1B560ED4" w14:textId="77777777" w:rsidR="00894ECB" w:rsidRPr="00D927E4" w:rsidRDefault="00894ECB" w:rsidP="00894ECB">
            <w:pPr>
              <w:spacing w:after="160" w:line="259" w:lineRule="auto"/>
              <w:jc w:val="both"/>
              <w:rPr>
                <w:rFonts w:eastAsia="Calibri"/>
                <w:color w:val="000000"/>
                <w:sz w:val="22"/>
                <w:szCs w:val="22"/>
                <w:lang w:eastAsia="en-US"/>
              </w:rPr>
            </w:pPr>
            <w:r w:rsidRPr="00D927E4">
              <w:rPr>
                <w:rFonts w:eastAsia="Calibri"/>
                <w:color w:val="000000"/>
                <w:sz w:val="22"/>
                <w:szCs w:val="22"/>
                <w:lang w:eastAsia="en-US"/>
              </w:rPr>
              <w:t>1.4. Перед винесенням на засідання НКРЕКП, що проводиться у формі відкритого слухання, питання про накладення штрафу (штрафів) за порушення законодавства у сферах енергетики та комунальних послуг та відповідних ліцензійних умов або за порушення законодавства щодо запобігання зловживанням на оптових енергетичних ринках відповідальний структурний підрозділ НКРЕКП розраховує розмір штрафу за кожне окреме вчинене порушення відповідно до розділів II та III цього Порядку.</w:t>
            </w:r>
          </w:p>
          <w:p w14:paraId="4F8389EC" w14:textId="77777777" w:rsidR="00894ECB" w:rsidRPr="00D927E4" w:rsidRDefault="00894ECB" w:rsidP="00894ECB">
            <w:pPr>
              <w:spacing w:after="160" w:line="259" w:lineRule="auto"/>
              <w:ind w:firstLine="240"/>
              <w:jc w:val="both"/>
              <w:rPr>
                <w:rFonts w:eastAsia="Calibri"/>
                <w:b/>
                <w:sz w:val="22"/>
                <w:szCs w:val="22"/>
                <w:lang w:eastAsia="en-US"/>
              </w:rPr>
            </w:pPr>
            <w:r w:rsidRPr="00D927E4">
              <w:rPr>
                <w:rFonts w:eastAsia="Calibri"/>
                <w:b/>
                <w:sz w:val="22"/>
                <w:szCs w:val="22"/>
                <w:lang w:eastAsia="en-US"/>
              </w:rPr>
              <w:t>У разі проведення перевірки ліцензіата за період більше 1 (одного) календарного року НКРЕКП здійснює розрахунок розміру штрафу за кожне окремо вчинене порушення протягом кожного звітного року, що входить у період перевірки.</w:t>
            </w:r>
          </w:p>
          <w:p w14:paraId="044EF157" w14:textId="77777777" w:rsidR="00894ECB" w:rsidRPr="00D927E4" w:rsidRDefault="00894ECB" w:rsidP="00894ECB">
            <w:pPr>
              <w:spacing w:after="160" w:line="259" w:lineRule="auto"/>
              <w:ind w:firstLine="240"/>
              <w:jc w:val="both"/>
              <w:rPr>
                <w:rFonts w:eastAsia="Calibri"/>
                <w:sz w:val="22"/>
                <w:szCs w:val="22"/>
                <w:lang w:eastAsia="en-US"/>
              </w:rPr>
            </w:pPr>
            <w:r w:rsidRPr="00D927E4">
              <w:rPr>
                <w:rFonts w:eastAsia="Calibri"/>
                <w:color w:val="000000"/>
                <w:sz w:val="22"/>
                <w:szCs w:val="22"/>
                <w:lang w:eastAsia="en-US"/>
              </w:rPr>
              <w:t xml:space="preserve">НКРЕКП включає в обґрунтування до </w:t>
            </w:r>
            <w:proofErr w:type="spellStart"/>
            <w:r w:rsidRPr="00D927E4">
              <w:rPr>
                <w:rFonts w:eastAsia="Calibri"/>
                <w:color w:val="000000"/>
                <w:sz w:val="22"/>
                <w:szCs w:val="22"/>
                <w:lang w:eastAsia="en-US"/>
              </w:rPr>
              <w:t>проєкту</w:t>
            </w:r>
            <w:proofErr w:type="spellEnd"/>
            <w:r w:rsidRPr="00D927E4">
              <w:rPr>
                <w:rFonts w:eastAsia="Calibri"/>
                <w:color w:val="000000"/>
                <w:sz w:val="22"/>
                <w:szCs w:val="22"/>
                <w:lang w:eastAsia="en-US"/>
              </w:rPr>
              <w:t xml:space="preserve"> рішення про накладення штрафу результати розрахунку розміру штрафу відповідно до цього Порядку, у тому числі результати кожного етапу розрахунку розміру штрафу з відповідним поясненням застосованих коефіцієнтів та коригувань (коригуючих відсотків).</w:t>
            </w:r>
          </w:p>
          <w:p w14:paraId="638D3879" w14:textId="77777777" w:rsidR="00894ECB" w:rsidRPr="00D927E4" w:rsidRDefault="00894ECB" w:rsidP="00894ECB">
            <w:pPr>
              <w:spacing w:after="160" w:line="259" w:lineRule="auto"/>
              <w:ind w:firstLine="240"/>
              <w:jc w:val="both"/>
              <w:rPr>
                <w:sz w:val="22"/>
                <w:szCs w:val="22"/>
              </w:rPr>
            </w:pPr>
            <w:r w:rsidRPr="00D927E4">
              <w:rPr>
                <w:rFonts w:eastAsia="Calibri"/>
                <w:color w:val="000000"/>
                <w:sz w:val="22"/>
                <w:szCs w:val="22"/>
                <w:lang w:eastAsia="en-US"/>
              </w:rPr>
              <w:t xml:space="preserve">Розрахунок розміру штрафу з відповідним поясненням застосованих коефіцієнтів та коригувань (коригуючих відсотків) надсилається на електронну адресу ліцензіата/учасника оптового енергетичного ринку, що зазначена у ліцензійному реєстрі/реєстрі учасників оптового енергетичного ринку в день оприлюднення </w:t>
            </w:r>
            <w:proofErr w:type="spellStart"/>
            <w:r w:rsidRPr="00D927E4">
              <w:rPr>
                <w:rFonts w:eastAsia="Calibri"/>
                <w:color w:val="000000"/>
                <w:sz w:val="22"/>
                <w:szCs w:val="22"/>
                <w:lang w:eastAsia="en-US"/>
              </w:rPr>
              <w:t>проєкту</w:t>
            </w:r>
            <w:proofErr w:type="spellEnd"/>
            <w:r w:rsidRPr="00D927E4">
              <w:rPr>
                <w:rFonts w:eastAsia="Calibri"/>
                <w:color w:val="000000"/>
                <w:sz w:val="22"/>
                <w:szCs w:val="22"/>
                <w:lang w:eastAsia="en-US"/>
              </w:rPr>
              <w:t xml:space="preserve"> рішення на офіційному </w:t>
            </w:r>
            <w:proofErr w:type="spellStart"/>
            <w:r w:rsidRPr="00D927E4">
              <w:rPr>
                <w:rFonts w:eastAsia="Calibri"/>
                <w:color w:val="000000"/>
                <w:sz w:val="22"/>
                <w:szCs w:val="22"/>
                <w:lang w:eastAsia="en-US"/>
              </w:rPr>
              <w:t>вебсайті</w:t>
            </w:r>
            <w:proofErr w:type="spellEnd"/>
            <w:r w:rsidRPr="00D927E4">
              <w:rPr>
                <w:rFonts w:eastAsia="Calibri"/>
                <w:color w:val="000000"/>
                <w:sz w:val="22"/>
                <w:szCs w:val="22"/>
                <w:lang w:eastAsia="en-US"/>
              </w:rPr>
              <w:t xml:space="preserve"> НКРЕКП.</w:t>
            </w:r>
          </w:p>
        </w:tc>
        <w:tc>
          <w:tcPr>
            <w:tcW w:w="5809" w:type="dxa"/>
            <w:vAlign w:val="center"/>
          </w:tcPr>
          <w:p w14:paraId="3BBC57B1" w14:textId="77777777" w:rsidR="00894ECB" w:rsidRPr="00D927E4" w:rsidRDefault="00D927E4" w:rsidP="00894ECB">
            <w:pPr>
              <w:rPr>
                <w:i/>
                <w:sz w:val="22"/>
                <w:szCs w:val="22"/>
              </w:rPr>
            </w:pPr>
            <w:r w:rsidRPr="00D927E4">
              <w:rPr>
                <w:i/>
                <w:sz w:val="22"/>
                <w:szCs w:val="22"/>
              </w:rPr>
              <w:t>ПРАТ «УКРГІДРОЕНЕРГО»</w:t>
            </w:r>
          </w:p>
          <w:p w14:paraId="437D040E" w14:textId="77777777" w:rsidR="00894ECB" w:rsidRPr="00D927E4" w:rsidRDefault="00894ECB" w:rsidP="00894ECB">
            <w:pPr>
              <w:rPr>
                <w:sz w:val="22"/>
                <w:szCs w:val="22"/>
              </w:rPr>
            </w:pPr>
          </w:p>
          <w:p w14:paraId="2E11765D" w14:textId="77777777" w:rsidR="00894ECB" w:rsidRPr="00D927E4" w:rsidRDefault="00894ECB" w:rsidP="00894ECB">
            <w:pPr>
              <w:spacing w:after="160" w:line="259" w:lineRule="auto"/>
              <w:ind w:firstLine="284"/>
              <w:jc w:val="both"/>
              <w:rPr>
                <w:rFonts w:eastAsia="Calibri"/>
                <w:color w:val="000000"/>
                <w:sz w:val="22"/>
                <w:szCs w:val="22"/>
                <w:lang w:eastAsia="en-US"/>
              </w:rPr>
            </w:pPr>
            <w:r w:rsidRPr="00D927E4">
              <w:rPr>
                <w:rFonts w:eastAsia="Calibri"/>
                <w:color w:val="000000"/>
                <w:sz w:val="22"/>
                <w:szCs w:val="22"/>
                <w:lang w:eastAsia="en-US"/>
              </w:rPr>
              <w:t>1.4. Перед винесенням на засідання НКРЕКП, що проводиться у формі відкритого слухання, питання про накладення штрафу (штрафів) за порушення законодавства у сферах енергетики та комунальних послуг та відповідних ліцензійних умов або за порушення законодавства щодо запобігання зловживанням на оптових енергетичних ринках відповідальний структурний підрозділ НКРЕКП розраховує розмір штрафу за кожне окреме вчинене порушення відповідно до розділів II та III цього Порядку.</w:t>
            </w:r>
          </w:p>
          <w:p w14:paraId="6EF68920" w14:textId="77777777" w:rsidR="00894ECB" w:rsidRPr="00D927E4" w:rsidRDefault="00894ECB" w:rsidP="00894ECB">
            <w:pPr>
              <w:spacing w:after="160" w:line="259" w:lineRule="auto"/>
              <w:ind w:firstLine="284"/>
              <w:jc w:val="both"/>
              <w:rPr>
                <w:rFonts w:eastAsia="Calibri"/>
                <w:sz w:val="22"/>
                <w:szCs w:val="22"/>
                <w:lang w:eastAsia="en-US"/>
              </w:rPr>
            </w:pPr>
            <w:r w:rsidRPr="00D927E4">
              <w:rPr>
                <w:rFonts w:eastAsia="Calibri"/>
                <w:sz w:val="22"/>
                <w:szCs w:val="22"/>
                <w:lang w:eastAsia="en-US"/>
              </w:rPr>
              <w:t>У разі проведення перевірки ліцензіата за період більше</w:t>
            </w:r>
            <w:r w:rsidRPr="00D927E4">
              <w:rPr>
                <w:rFonts w:eastAsia="Calibri"/>
                <w:b/>
                <w:sz w:val="22"/>
                <w:szCs w:val="22"/>
                <w:lang w:eastAsia="en-US"/>
              </w:rPr>
              <w:t xml:space="preserve"> ніж звітний рік </w:t>
            </w:r>
            <w:r w:rsidRPr="00D927E4">
              <w:rPr>
                <w:rFonts w:eastAsia="Calibri"/>
                <w:strike/>
                <w:sz w:val="22"/>
                <w:szCs w:val="22"/>
                <w:lang w:eastAsia="en-US"/>
              </w:rPr>
              <w:t>1 (одного) календарного року</w:t>
            </w:r>
            <w:r w:rsidRPr="00D927E4">
              <w:rPr>
                <w:rFonts w:eastAsia="Calibri"/>
                <w:b/>
                <w:sz w:val="22"/>
                <w:szCs w:val="22"/>
                <w:lang w:eastAsia="en-US"/>
              </w:rPr>
              <w:t xml:space="preserve"> </w:t>
            </w:r>
            <w:r w:rsidRPr="00D927E4">
              <w:rPr>
                <w:rFonts w:eastAsia="Calibri"/>
                <w:sz w:val="22"/>
                <w:szCs w:val="22"/>
                <w:lang w:eastAsia="en-US"/>
              </w:rPr>
              <w:t>НКРЕКП здійснює розрахунок розміру штрафу за кожне окремо вчинене порушення протягом кожного звітного року, що входить у період перевірки.</w:t>
            </w:r>
          </w:p>
          <w:p w14:paraId="02F78B70" w14:textId="77777777" w:rsidR="00894ECB" w:rsidRPr="00D927E4" w:rsidRDefault="00894ECB" w:rsidP="00894ECB">
            <w:pPr>
              <w:spacing w:after="160" w:line="259" w:lineRule="auto"/>
              <w:ind w:firstLine="284"/>
              <w:jc w:val="both"/>
              <w:rPr>
                <w:rFonts w:eastAsia="Calibri"/>
                <w:sz w:val="22"/>
                <w:szCs w:val="22"/>
                <w:lang w:eastAsia="en-US"/>
              </w:rPr>
            </w:pPr>
            <w:r w:rsidRPr="00D927E4">
              <w:rPr>
                <w:rFonts w:eastAsia="Calibri"/>
                <w:color w:val="000000"/>
                <w:sz w:val="22"/>
                <w:szCs w:val="22"/>
                <w:lang w:eastAsia="en-US"/>
              </w:rPr>
              <w:t xml:space="preserve">НКРЕКП включає в обґрунтування до </w:t>
            </w:r>
            <w:proofErr w:type="spellStart"/>
            <w:r w:rsidRPr="00D927E4">
              <w:rPr>
                <w:rFonts w:eastAsia="Calibri"/>
                <w:color w:val="000000"/>
                <w:sz w:val="22"/>
                <w:szCs w:val="22"/>
                <w:lang w:eastAsia="en-US"/>
              </w:rPr>
              <w:t>проєкту</w:t>
            </w:r>
            <w:proofErr w:type="spellEnd"/>
            <w:r w:rsidRPr="00D927E4">
              <w:rPr>
                <w:rFonts w:eastAsia="Calibri"/>
                <w:color w:val="000000"/>
                <w:sz w:val="22"/>
                <w:szCs w:val="22"/>
                <w:lang w:eastAsia="en-US"/>
              </w:rPr>
              <w:t xml:space="preserve"> рішення про накладення штрафу результати розрахунку розміру штрафу відповідно до цього Порядку, у тому числі результати кожного етапу розрахунку розміру штрафу з відповідним поясненням застосованих коефіцієнтів та коригувань (коригуючих відсотків).</w:t>
            </w:r>
          </w:p>
          <w:p w14:paraId="6DACF012" w14:textId="77777777" w:rsidR="00894ECB" w:rsidRPr="00D927E4" w:rsidRDefault="00894ECB" w:rsidP="00894ECB">
            <w:pPr>
              <w:spacing w:after="160" w:line="259" w:lineRule="auto"/>
              <w:ind w:firstLine="284"/>
              <w:jc w:val="both"/>
              <w:rPr>
                <w:rFonts w:eastAsia="Calibri"/>
                <w:sz w:val="22"/>
                <w:szCs w:val="22"/>
                <w:lang w:eastAsia="en-US"/>
              </w:rPr>
            </w:pPr>
            <w:r w:rsidRPr="00D927E4">
              <w:rPr>
                <w:rFonts w:eastAsia="Calibri"/>
                <w:color w:val="000000"/>
                <w:sz w:val="22"/>
                <w:szCs w:val="22"/>
                <w:lang w:eastAsia="en-US"/>
              </w:rPr>
              <w:t xml:space="preserve">Розрахунок розміру штрафу з відповідним поясненням застосованих коефіцієнтів та коригувань (коригуючих відсотків) надсилається на електронну адресу ліцензіата/учасника оптового енергетичного ринку, що зазначена у ліцензійному реєстрі/реєстрі учасників оптового енергетичного ринку в день оприлюднення </w:t>
            </w:r>
            <w:proofErr w:type="spellStart"/>
            <w:r w:rsidRPr="00D927E4">
              <w:rPr>
                <w:rFonts w:eastAsia="Calibri"/>
                <w:color w:val="000000"/>
                <w:sz w:val="22"/>
                <w:szCs w:val="22"/>
                <w:lang w:eastAsia="en-US"/>
              </w:rPr>
              <w:t>проєкту</w:t>
            </w:r>
            <w:proofErr w:type="spellEnd"/>
            <w:r w:rsidRPr="00D927E4">
              <w:rPr>
                <w:rFonts w:eastAsia="Calibri"/>
                <w:color w:val="000000"/>
                <w:sz w:val="22"/>
                <w:szCs w:val="22"/>
                <w:lang w:eastAsia="en-US"/>
              </w:rPr>
              <w:t xml:space="preserve"> рішення на офіційному </w:t>
            </w:r>
            <w:proofErr w:type="spellStart"/>
            <w:r w:rsidRPr="00D927E4">
              <w:rPr>
                <w:rFonts w:eastAsia="Calibri"/>
                <w:color w:val="000000"/>
                <w:sz w:val="22"/>
                <w:szCs w:val="22"/>
                <w:lang w:eastAsia="en-US"/>
              </w:rPr>
              <w:t>вебсайті</w:t>
            </w:r>
            <w:proofErr w:type="spellEnd"/>
            <w:r w:rsidRPr="00D927E4">
              <w:rPr>
                <w:rFonts w:eastAsia="Calibri"/>
                <w:color w:val="000000"/>
                <w:sz w:val="22"/>
                <w:szCs w:val="22"/>
                <w:lang w:eastAsia="en-US"/>
              </w:rPr>
              <w:t xml:space="preserve"> НКРЕКП.</w:t>
            </w:r>
          </w:p>
          <w:p w14:paraId="1E82DF13" w14:textId="77777777" w:rsidR="00894ECB" w:rsidRPr="00D927E4" w:rsidRDefault="00894ECB" w:rsidP="00894ECB">
            <w:pPr>
              <w:rPr>
                <w:i/>
                <w:sz w:val="22"/>
                <w:szCs w:val="22"/>
              </w:rPr>
            </w:pPr>
          </w:p>
          <w:p w14:paraId="1DB4A21D" w14:textId="77777777" w:rsidR="00894ECB" w:rsidRPr="00D927E4" w:rsidRDefault="00894ECB" w:rsidP="00894ECB">
            <w:pPr>
              <w:rPr>
                <w:i/>
                <w:sz w:val="22"/>
                <w:szCs w:val="22"/>
              </w:rPr>
            </w:pPr>
            <w:r w:rsidRPr="00D927E4">
              <w:rPr>
                <w:i/>
                <w:sz w:val="22"/>
                <w:szCs w:val="22"/>
              </w:rPr>
              <w:t>ОБГРУНТУВАННЯ:</w:t>
            </w:r>
          </w:p>
          <w:p w14:paraId="35BBED94" w14:textId="77777777" w:rsidR="00894ECB" w:rsidRPr="00D927E4" w:rsidRDefault="00894ECB" w:rsidP="00894ECB">
            <w:pPr>
              <w:rPr>
                <w:i/>
                <w:sz w:val="22"/>
                <w:szCs w:val="22"/>
              </w:rPr>
            </w:pPr>
          </w:p>
          <w:p w14:paraId="059625B4" w14:textId="77777777" w:rsidR="00894ECB" w:rsidRPr="00D927E4" w:rsidRDefault="00D927E4" w:rsidP="00894ECB">
            <w:pPr>
              <w:rPr>
                <w:sz w:val="22"/>
                <w:szCs w:val="22"/>
              </w:rPr>
            </w:pPr>
            <w:r w:rsidRPr="00D927E4">
              <w:rPr>
                <w:sz w:val="22"/>
                <w:szCs w:val="22"/>
              </w:rPr>
              <w:lastRenderedPageBreak/>
              <w:t xml:space="preserve">Оскільки </w:t>
            </w:r>
            <w:proofErr w:type="spellStart"/>
            <w:r w:rsidRPr="00D927E4">
              <w:rPr>
                <w:sz w:val="22"/>
                <w:szCs w:val="22"/>
              </w:rPr>
              <w:t>проєктом</w:t>
            </w:r>
            <w:proofErr w:type="spellEnd"/>
            <w:r w:rsidRPr="00D927E4">
              <w:rPr>
                <w:sz w:val="22"/>
                <w:szCs w:val="22"/>
              </w:rPr>
              <w:t xml:space="preserve"> впроваджується термін </w:t>
            </w:r>
            <w:r w:rsidRPr="00D927E4">
              <w:rPr>
                <w:i/>
                <w:sz w:val="22"/>
                <w:szCs w:val="22"/>
              </w:rPr>
              <w:t>«звітний рік»</w:t>
            </w:r>
            <w:r w:rsidRPr="00D927E4">
              <w:rPr>
                <w:sz w:val="22"/>
                <w:szCs w:val="22"/>
              </w:rPr>
              <w:t>, пропонується редакційно виправити.</w:t>
            </w:r>
            <w:r w:rsidR="00894ECB" w:rsidRPr="00D927E4">
              <w:rPr>
                <w:sz w:val="22"/>
                <w:szCs w:val="22"/>
              </w:rPr>
              <w:t>.</w:t>
            </w:r>
          </w:p>
          <w:p w14:paraId="6C31232F" w14:textId="77777777" w:rsidR="00894ECB" w:rsidRPr="00D927E4" w:rsidRDefault="00894ECB" w:rsidP="00894ECB">
            <w:pPr>
              <w:rPr>
                <w:sz w:val="22"/>
                <w:szCs w:val="22"/>
              </w:rPr>
            </w:pPr>
          </w:p>
          <w:p w14:paraId="341FB624" w14:textId="77777777" w:rsidR="00894ECB" w:rsidRPr="00D927E4" w:rsidRDefault="00894ECB" w:rsidP="00894ECB">
            <w:pPr>
              <w:rPr>
                <w:i/>
                <w:sz w:val="22"/>
                <w:szCs w:val="22"/>
              </w:rPr>
            </w:pPr>
            <w:r w:rsidRPr="00D927E4">
              <w:rPr>
                <w:i/>
                <w:sz w:val="22"/>
                <w:szCs w:val="22"/>
              </w:rPr>
              <w:t>ТОВ «ДНІПРОВСЬКІ ЕНЕРГЕТИЧНІ ПОСЛУГИ»</w:t>
            </w:r>
          </w:p>
          <w:p w14:paraId="3F9B447E" w14:textId="77777777" w:rsidR="00894ECB" w:rsidRPr="00D927E4" w:rsidRDefault="00894ECB" w:rsidP="00894ECB">
            <w:pPr>
              <w:rPr>
                <w:sz w:val="22"/>
                <w:szCs w:val="22"/>
              </w:rPr>
            </w:pPr>
          </w:p>
          <w:p w14:paraId="429F5F34" w14:textId="77777777" w:rsidR="00894ECB" w:rsidRPr="00D927E4" w:rsidRDefault="00894ECB" w:rsidP="00894ECB">
            <w:pPr>
              <w:spacing w:after="120"/>
              <w:jc w:val="both"/>
              <w:rPr>
                <w:b/>
                <w:strike/>
                <w:sz w:val="22"/>
                <w:szCs w:val="22"/>
              </w:rPr>
            </w:pPr>
            <w:r w:rsidRPr="00D927E4">
              <w:rPr>
                <w:b/>
                <w:strike/>
                <w:sz w:val="22"/>
                <w:szCs w:val="22"/>
              </w:rPr>
              <w:t>У разі проведення перевірки ліцензіата за період більше 1 (одного) календарного року НКРЕКП здійснює розрахунок розміру штрафу за кожне окремо вчинене порушення протягом кожного звітного року, що входить у період перевірки.</w:t>
            </w:r>
          </w:p>
          <w:p w14:paraId="77142807" w14:textId="77777777" w:rsidR="00894ECB" w:rsidRPr="00D927E4" w:rsidRDefault="00894ECB" w:rsidP="00894ECB">
            <w:pPr>
              <w:rPr>
                <w:sz w:val="22"/>
                <w:szCs w:val="22"/>
              </w:rPr>
            </w:pPr>
          </w:p>
          <w:p w14:paraId="5B508216" w14:textId="77777777" w:rsidR="00894ECB" w:rsidRPr="00D927E4" w:rsidRDefault="00894ECB" w:rsidP="00894ECB">
            <w:pPr>
              <w:rPr>
                <w:i/>
                <w:sz w:val="22"/>
                <w:szCs w:val="22"/>
              </w:rPr>
            </w:pPr>
            <w:r w:rsidRPr="00D927E4">
              <w:rPr>
                <w:i/>
                <w:sz w:val="22"/>
                <w:szCs w:val="22"/>
              </w:rPr>
              <w:t>ОБГРУНТУВАННЯ:</w:t>
            </w:r>
          </w:p>
          <w:p w14:paraId="3A9B7569" w14:textId="77777777" w:rsidR="00894ECB" w:rsidRPr="00D927E4" w:rsidRDefault="00894ECB" w:rsidP="00894ECB">
            <w:pPr>
              <w:rPr>
                <w:i/>
                <w:sz w:val="22"/>
                <w:szCs w:val="22"/>
              </w:rPr>
            </w:pPr>
          </w:p>
          <w:p w14:paraId="78F41ACD" w14:textId="77777777" w:rsidR="00894ECB" w:rsidRPr="00D927E4" w:rsidRDefault="00894ECB" w:rsidP="00894ECB">
            <w:pPr>
              <w:rPr>
                <w:sz w:val="22"/>
                <w:szCs w:val="22"/>
              </w:rPr>
            </w:pPr>
            <w:r w:rsidRPr="00D927E4">
              <w:rPr>
                <w:sz w:val="22"/>
                <w:szCs w:val="22"/>
              </w:rPr>
              <w:t xml:space="preserve">Застосування відповідальності до ліцензіата можливе лише на майбутні періоди, які починають свій перебіг після відповідних змін у нормативно-правовому акті. </w:t>
            </w:r>
          </w:p>
          <w:p w14:paraId="47B52C9F" w14:textId="77777777" w:rsidR="00894ECB" w:rsidRPr="00D927E4" w:rsidRDefault="00894ECB" w:rsidP="00894ECB">
            <w:pPr>
              <w:rPr>
                <w:sz w:val="22"/>
                <w:szCs w:val="22"/>
              </w:rPr>
            </w:pPr>
            <w:r w:rsidRPr="00D927E4">
              <w:rPr>
                <w:sz w:val="22"/>
                <w:szCs w:val="22"/>
              </w:rPr>
              <w:t>Також запропоновані зміни призведуть до дискримінації ліцензіатів за ознакою території здійснення ліцензованої діяльності.</w:t>
            </w:r>
          </w:p>
          <w:p w14:paraId="0C7DBD3C" w14:textId="77777777" w:rsidR="00894ECB" w:rsidRPr="00D927E4" w:rsidRDefault="00894ECB" w:rsidP="00894ECB">
            <w:pPr>
              <w:rPr>
                <w:sz w:val="22"/>
                <w:szCs w:val="22"/>
              </w:rPr>
            </w:pPr>
          </w:p>
          <w:p w14:paraId="4ED168BC" w14:textId="77777777" w:rsidR="00894ECB" w:rsidRPr="00D927E4" w:rsidRDefault="00894ECB" w:rsidP="00894ECB">
            <w:pPr>
              <w:rPr>
                <w:i/>
                <w:sz w:val="22"/>
                <w:szCs w:val="22"/>
              </w:rPr>
            </w:pPr>
            <w:r w:rsidRPr="00D927E4">
              <w:rPr>
                <w:i/>
                <w:sz w:val="22"/>
                <w:szCs w:val="22"/>
              </w:rPr>
              <w:t>ТОВ «Д.ТРЕЙДІНГ»</w:t>
            </w:r>
          </w:p>
          <w:p w14:paraId="52ABC824" w14:textId="77777777" w:rsidR="00894ECB" w:rsidRPr="00D927E4" w:rsidRDefault="00894ECB" w:rsidP="00894ECB">
            <w:pPr>
              <w:rPr>
                <w:sz w:val="22"/>
                <w:szCs w:val="22"/>
              </w:rPr>
            </w:pPr>
          </w:p>
          <w:p w14:paraId="2329F0BC" w14:textId="77777777" w:rsidR="00894ECB" w:rsidRPr="00D927E4" w:rsidRDefault="00894ECB" w:rsidP="00894ECB">
            <w:pPr>
              <w:spacing w:after="160" w:line="259" w:lineRule="auto"/>
              <w:ind w:firstLine="240"/>
              <w:jc w:val="both"/>
              <w:rPr>
                <w:rFonts w:eastAsia="Calibri"/>
                <w:b/>
                <w:sz w:val="22"/>
                <w:szCs w:val="22"/>
                <w:lang w:eastAsia="en-US"/>
              </w:rPr>
            </w:pPr>
            <w:r w:rsidRPr="00D927E4">
              <w:rPr>
                <w:rFonts w:eastAsia="Calibri"/>
                <w:b/>
                <w:sz w:val="22"/>
                <w:szCs w:val="22"/>
                <w:lang w:eastAsia="en-US"/>
              </w:rPr>
              <w:t>У разі проведення перевірки ліцензіата за період більше 1 (одного) календарного року НКРЕКП здійснює розрахунок розміру штрафу за кожне порушення одноразово та незалежно від звітного року його вчинення.</w:t>
            </w:r>
          </w:p>
          <w:p w14:paraId="1B05261B" w14:textId="77777777" w:rsidR="00894ECB" w:rsidRPr="00D927E4" w:rsidRDefault="00894ECB" w:rsidP="00894ECB">
            <w:pPr>
              <w:rPr>
                <w:i/>
                <w:sz w:val="22"/>
                <w:szCs w:val="22"/>
              </w:rPr>
            </w:pPr>
            <w:r w:rsidRPr="00D927E4">
              <w:rPr>
                <w:i/>
                <w:sz w:val="22"/>
                <w:szCs w:val="22"/>
              </w:rPr>
              <w:t>ОБҐРУНТУВАННЯ:</w:t>
            </w:r>
          </w:p>
          <w:p w14:paraId="2F938A10" w14:textId="77777777" w:rsidR="00894ECB" w:rsidRPr="00D927E4" w:rsidRDefault="00894ECB" w:rsidP="00894ECB">
            <w:pPr>
              <w:rPr>
                <w:sz w:val="22"/>
                <w:szCs w:val="22"/>
              </w:rPr>
            </w:pPr>
          </w:p>
          <w:p w14:paraId="4A2460C1" w14:textId="77777777" w:rsidR="00894ECB" w:rsidRPr="00D927E4" w:rsidRDefault="00894ECB" w:rsidP="00894ECB">
            <w:pPr>
              <w:spacing w:after="160" w:line="259" w:lineRule="auto"/>
              <w:ind w:firstLine="306"/>
              <w:jc w:val="both"/>
              <w:rPr>
                <w:rFonts w:eastAsia="Calibri"/>
                <w:bCs/>
                <w:color w:val="000000"/>
                <w:sz w:val="22"/>
                <w:szCs w:val="22"/>
                <w:lang w:eastAsia="en-US"/>
              </w:rPr>
            </w:pPr>
            <w:r w:rsidRPr="00D927E4">
              <w:rPr>
                <w:rFonts w:eastAsia="Calibri"/>
                <w:bCs/>
                <w:color w:val="000000"/>
                <w:sz w:val="22"/>
                <w:szCs w:val="22"/>
                <w:lang w:eastAsia="en-US"/>
              </w:rPr>
              <w:t>У випадку наявності триваючого порушення, що почалося у попередньому звітному році та тривало/завершилося у звітному році проведення перевірки, за умов існування запропонованої Регулятором норми стане можливим притягнення ліцензіата до відповідальності двічі за одне і те саме порушення, однак за кожен зі звітних років.</w:t>
            </w:r>
          </w:p>
          <w:p w14:paraId="70A096E4" w14:textId="77777777" w:rsidR="00894ECB" w:rsidRPr="00D927E4" w:rsidRDefault="00894ECB" w:rsidP="00894ECB">
            <w:pPr>
              <w:spacing w:after="160" w:line="259" w:lineRule="auto"/>
              <w:ind w:firstLine="306"/>
              <w:jc w:val="both"/>
              <w:rPr>
                <w:rFonts w:eastAsia="Calibri"/>
                <w:bCs/>
                <w:color w:val="000000"/>
                <w:sz w:val="22"/>
                <w:szCs w:val="22"/>
                <w:lang w:eastAsia="en-US"/>
              </w:rPr>
            </w:pPr>
            <w:r w:rsidRPr="00D927E4">
              <w:rPr>
                <w:rFonts w:eastAsia="Calibri"/>
                <w:bCs/>
                <w:color w:val="000000"/>
                <w:sz w:val="22"/>
                <w:szCs w:val="22"/>
                <w:lang w:eastAsia="en-US"/>
              </w:rPr>
              <w:lastRenderedPageBreak/>
              <w:t>Відповідно до статті 61 Конституції України ніхто не може бути двічі притягнений до юридичної відповідальності одного виду за одне й те саме правопорушення. У разі триваючого порушення, що виявлено під час перевірки діяльності ліцензіата за період, який охоплює декілька звітних років, застосування двох чи більше санкцій (штрафів) за кожен зі звітних років є порушенням статті 61 Конституції України.</w:t>
            </w:r>
          </w:p>
          <w:p w14:paraId="5BC98D4E" w14:textId="77777777" w:rsidR="00894ECB" w:rsidRPr="00D927E4" w:rsidRDefault="00894ECB" w:rsidP="00894ECB">
            <w:pPr>
              <w:rPr>
                <w:sz w:val="22"/>
                <w:szCs w:val="22"/>
              </w:rPr>
            </w:pPr>
            <w:r w:rsidRPr="00D927E4">
              <w:rPr>
                <w:rFonts w:eastAsia="Calibri"/>
                <w:bCs/>
                <w:color w:val="000000"/>
                <w:sz w:val="22"/>
                <w:szCs w:val="22"/>
                <w:lang w:eastAsia="en-US"/>
              </w:rPr>
              <w:t>Пропонуємо змінити формулювання та викласти абзац у запропонованій нами редакції задля уникнення випадків повторного притягнення до відповідальності за одне й те саме правопорушення.</w:t>
            </w:r>
          </w:p>
          <w:p w14:paraId="5E3ED981" w14:textId="77777777" w:rsidR="00894ECB" w:rsidRPr="00D927E4" w:rsidRDefault="00894ECB" w:rsidP="00894ECB">
            <w:pPr>
              <w:rPr>
                <w:sz w:val="22"/>
                <w:szCs w:val="22"/>
              </w:rPr>
            </w:pPr>
          </w:p>
          <w:p w14:paraId="2C2B007B" w14:textId="77777777" w:rsidR="00894ECB" w:rsidRPr="00D927E4" w:rsidRDefault="00894ECB" w:rsidP="00894ECB">
            <w:pPr>
              <w:rPr>
                <w:i/>
                <w:sz w:val="22"/>
                <w:szCs w:val="22"/>
              </w:rPr>
            </w:pPr>
            <w:r w:rsidRPr="00D927E4">
              <w:rPr>
                <w:i/>
                <w:sz w:val="22"/>
                <w:szCs w:val="22"/>
              </w:rPr>
              <w:t>АТ «НАЕК «ЕНЕРГОАТОМ»</w:t>
            </w:r>
          </w:p>
          <w:p w14:paraId="08BE47A1" w14:textId="77777777" w:rsidR="00894ECB" w:rsidRPr="00D927E4" w:rsidRDefault="00894ECB" w:rsidP="00894ECB">
            <w:pPr>
              <w:rPr>
                <w:i/>
                <w:sz w:val="22"/>
                <w:szCs w:val="22"/>
              </w:rPr>
            </w:pPr>
          </w:p>
          <w:p w14:paraId="06CE8FE8" w14:textId="77777777" w:rsidR="00894ECB" w:rsidRPr="00D927E4" w:rsidRDefault="00894ECB" w:rsidP="00894ECB">
            <w:pPr>
              <w:spacing w:after="160" w:line="259" w:lineRule="auto"/>
              <w:ind w:firstLine="240"/>
              <w:jc w:val="both"/>
              <w:rPr>
                <w:rFonts w:eastAsia="Calibri"/>
                <w:color w:val="000000"/>
                <w:sz w:val="22"/>
                <w:szCs w:val="22"/>
                <w:lang w:eastAsia="en-US"/>
              </w:rPr>
            </w:pPr>
            <w:r w:rsidRPr="00D927E4">
              <w:rPr>
                <w:rFonts w:eastAsia="Calibri"/>
                <w:color w:val="000000"/>
                <w:sz w:val="22"/>
                <w:szCs w:val="22"/>
                <w:lang w:eastAsia="en-US"/>
              </w:rPr>
              <w:t>1.4. Перед винесенням на засідання НКРЕКП, що проводиться у формі відкритого слухання, питання про накладення штрафу (штрафів) за порушення законодавства у сферах енергетики та комунальних послуг та відповідних ліцензійних умов або за порушення законодавства щодо запобігання зловживанням на оптових енергетичних ринках відповідальний структурний підрозділ НКРЕКП розраховує розмір штрафу за кожне окреме вчинене порушення відповідно до розділів II та III цього Порядку.</w:t>
            </w:r>
          </w:p>
          <w:p w14:paraId="3D737566" w14:textId="77777777" w:rsidR="00894ECB" w:rsidRPr="00D927E4" w:rsidRDefault="00894ECB" w:rsidP="00894ECB">
            <w:pPr>
              <w:spacing w:after="160" w:line="259" w:lineRule="auto"/>
              <w:ind w:firstLine="240"/>
              <w:jc w:val="both"/>
              <w:rPr>
                <w:rFonts w:eastAsia="Calibri"/>
                <w:b/>
                <w:sz w:val="22"/>
                <w:szCs w:val="22"/>
                <w:lang w:eastAsia="en-US"/>
              </w:rPr>
            </w:pPr>
            <w:r w:rsidRPr="00D927E4">
              <w:rPr>
                <w:rFonts w:eastAsia="Calibri"/>
                <w:b/>
                <w:sz w:val="22"/>
                <w:szCs w:val="22"/>
                <w:lang w:eastAsia="en-US"/>
              </w:rPr>
              <w:t>У разі проведення перевірки ліцензіата за період більше 1 (одного) календарного року НКРЕКП здійснює розрахунок розміру штрафу за кожне окремо вчинене порушення</w:t>
            </w:r>
            <w:r w:rsidRPr="00D927E4">
              <w:rPr>
                <w:rFonts w:eastAsia="Calibri"/>
                <w:b/>
                <w:sz w:val="22"/>
                <w:szCs w:val="22"/>
                <w:u w:val="single"/>
                <w:lang w:eastAsia="en-US"/>
              </w:rPr>
              <w:t>, що відрізняється за складом порушення</w:t>
            </w:r>
            <w:r w:rsidRPr="00D927E4">
              <w:rPr>
                <w:rFonts w:eastAsia="Calibri"/>
                <w:b/>
                <w:sz w:val="22"/>
                <w:szCs w:val="22"/>
                <w:lang w:eastAsia="en-US"/>
              </w:rPr>
              <w:t xml:space="preserve"> протягом кожного звітного року, що входить у період перевірки.</w:t>
            </w:r>
          </w:p>
          <w:p w14:paraId="116B93CA" w14:textId="77777777" w:rsidR="00894ECB" w:rsidRPr="00D927E4" w:rsidRDefault="00894ECB" w:rsidP="00894ECB">
            <w:pPr>
              <w:spacing w:after="160" w:line="259" w:lineRule="auto"/>
              <w:ind w:firstLine="240"/>
              <w:jc w:val="both"/>
              <w:rPr>
                <w:rFonts w:eastAsia="Calibri"/>
                <w:sz w:val="22"/>
                <w:szCs w:val="22"/>
                <w:lang w:eastAsia="en-US"/>
              </w:rPr>
            </w:pPr>
            <w:r w:rsidRPr="00D927E4">
              <w:rPr>
                <w:rFonts w:eastAsia="Calibri"/>
                <w:color w:val="000000"/>
                <w:sz w:val="22"/>
                <w:szCs w:val="22"/>
                <w:lang w:eastAsia="en-US"/>
              </w:rPr>
              <w:t xml:space="preserve">НКРЕКП включає в обґрунтування до </w:t>
            </w:r>
            <w:proofErr w:type="spellStart"/>
            <w:r w:rsidRPr="00D927E4">
              <w:rPr>
                <w:rFonts w:eastAsia="Calibri"/>
                <w:color w:val="000000"/>
                <w:sz w:val="22"/>
                <w:szCs w:val="22"/>
                <w:lang w:eastAsia="en-US"/>
              </w:rPr>
              <w:t>проєкту</w:t>
            </w:r>
            <w:proofErr w:type="spellEnd"/>
            <w:r w:rsidRPr="00D927E4">
              <w:rPr>
                <w:rFonts w:eastAsia="Calibri"/>
                <w:color w:val="000000"/>
                <w:sz w:val="22"/>
                <w:szCs w:val="22"/>
                <w:lang w:eastAsia="en-US"/>
              </w:rPr>
              <w:t xml:space="preserve"> рішення про накладення штрафу результати розрахунку розміру штрафу відповідно до цього Порядку, у тому числі результати кожного етапу розрахунку розміру штрафу з </w:t>
            </w:r>
            <w:r w:rsidRPr="00D927E4">
              <w:rPr>
                <w:rFonts w:eastAsia="Calibri"/>
                <w:color w:val="000000"/>
                <w:sz w:val="22"/>
                <w:szCs w:val="22"/>
                <w:lang w:eastAsia="en-US"/>
              </w:rPr>
              <w:lastRenderedPageBreak/>
              <w:t>відповідним поясненням застосованих коефіцієнтів та коригувань (коригуючих відсотків).</w:t>
            </w:r>
          </w:p>
          <w:p w14:paraId="671155AB" w14:textId="77777777" w:rsidR="00894ECB" w:rsidRPr="00D927E4" w:rsidRDefault="00894ECB" w:rsidP="00894ECB">
            <w:pPr>
              <w:rPr>
                <w:sz w:val="22"/>
                <w:szCs w:val="22"/>
              </w:rPr>
            </w:pPr>
            <w:r w:rsidRPr="00D927E4">
              <w:rPr>
                <w:rFonts w:eastAsia="Calibri"/>
                <w:color w:val="000000"/>
                <w:sz w:val="22"/>
                <w:szCs w:val="22"/>
                <w:lang w:eastAsia="en-US"/>
              </w:rPr>
              <w:t xml:space="preserve">Розрахунок розміру штрафу з відповідним поясненням застосованих коефіцієнтів та коригувань (коригуючих відсотків) надсилається на електронну адресу ліцензіата/учасника оптового енергетичного ринку, що зазначена у ліцензійному реєстрі/реєстрі учасників оптового енергетичного ринку в день оприлюднення </w:t>
            </w:r>
            <w:proofErr w:type="spellStart"/>
            <w:r w:rsidRPr="00D927E4">
              <w:rPr>
                <w:rFonts w:eastAsia="Calibri"/>
                <w:color w:val="000000"/>
                <w:sz w:val="22"/>
                <w:szCs w:val="22"/>
                <w:lang w:eastAsia="en-US"/>
              </w:rPr>
              <w:t>проєкту</w:t>
            </w:r>
            <w:proofErr w:type="spellEnd"/>
            <w:r w:rsidRPr="00D927E4">
              <w:rPr>
                <w:rFonts w:eastAsia="Calibri"/>
                <w:color w:val="000000"/>
                <w:sz w:val="22"/>
                <w:szCs w:val="22"/>
                <w:lang w:eastAsia="en-US"/>
              </w:rPr>
              <w:t xml:space="preserve"> рішення на офіційному </w:t>
            </w:r>
            <w:proofErr w:type="spellStart"/>
            <w:r w:rsidRPr="00D927E4">
              <w:rPr>
                <w:rFonts w:eastAsia="Calibri"/>
                <w:color w:val="000000"/>
                <w:sz w:val="22"/>
                <w:szCs w:val="22"/>
                <w:lang w:eastAsia="en-US"/>
              </w:rPr>
              <w:t>вебсайті</w:t>
            </w:r>
            <w:proofErr w:type="spellEnd"/>
            <w:r w:rsidRPr="00D927E4">
              <w:rPr>
                <w:rFonts w:eastAsia="Calibri"/>
                <w:color w:val="000000"/>
                <w:sz w:val="22"/>
                <w:szCs w:val="22"/>
                <w:lang w:eastAsia="en-US"/>
              </w:rPr>
              <w:t xml:space="preserve"> НКРЕКП.</w:t>
            </w:r>
          </w:p>
          <w:p w14:paraId="1F105E2F" w14:textId="77777777" w:rsidR="00894ECB" w:rsidRPr="00D927E4" w:rsidRDefault="00894ECB" w:rsidP="00894ECB">
            <w:pPr>
              <w:rPr>
                <w:i/>
                <w:sz w:val="22"/>
                <w:szCs w:val="22"/>
              </w:rPr>
            </w:pPr>
          </w:p>
          <w:p w14:paraId="51F9FB7A" w14:textId="77777777" w:rsidR="00894ECB" w:rsidRPr="00D927E4" w:rsidRDefault="00894ECB" w:rsidP="00894ECB">
            <w:pPr>
              <w:rPr>
                <w:i/>
                <w:sz w:val="22"/>
                <w:szCs w:val="22"/>
              </w:rPr>
            </w:pPr>
            <w:r w:rsidRPr="00D927E4">
              <w:rPr>
                <w:i/>
                <w:sz w:val="22"/>
                <w:szCs w:val="22"/>
              </w:rPr>
              <w:t>ОБГРУНТУВАННЯ:</w:t>
            </w:r>
          </w:p>
          <w:p w14:paraId="7E315F51" w14:textId="77777777" w:rsidR="00894ECB" w:rsidRPr="00D927E4" w:rsidRDefault="00894ECB" w:rsidP="00894ECB">
            <w:pPr>
              <w:rPr>
                <w:i/>
                <w:sz w:val="22"/>
                <w:szCs w:val="22"/>
              </w:rPr>
            </w:pPr>
          </w:p>
          <w:p w14:paraId="4722AB20" w14:textId="77777777" w:rsidR="00894ECB" w:rsidRPr="00D927E4" w:rsidRDefault="00894ECB" w:rsidP="00894ECB">
            <w:pPr>
              <w:ind w:firstLine="283"/>
              <w:jc w:val="both"/>
              <w:rPr>
                <w:rFonts w:eastAsia="Calibri"/>
                <w:sz w:val="22"/>
                <w:szCs w:val="22"/>
                <w:lang w:eastAsia="en-US"/>
              </w:rPr>
            </w:pPr>
            <w:r w:rsidRPr="00D927E4">
              <w:rPr>
                <w:rFonts w:eastAsia="Calibri"/>
                <w:sz w:val="22"/>
                <w:szCs w:val="22"/>
                <w:lang w:eastAsia="en-US"/>
              </w:rPr>
              <w:t>З метою недопущення повторного накладання штрафу на учасника ринку за одне і те саме порушення, що є тривалим та може охоплювати більше одного звітного року або може бути вчиненим у перехідний період необхідним є передбачити уточнення щодо застосування покарання відповідно кожного складу порушення (сукупності об'єктивних та суб'єктивних ознак).</w:t>
            </w:r>
          </w:p>
          <w:p w14:paraId="180BB87A" w14:textId="77777777" w:rsidR="00894ECB" w:rsidRPr="00D927E4" w:rsidRDefault="00894ECB" w:rsidP="00894ECB">
            <w:pPr>
              <w:ind w:firstLine="283"/>
              <w:jc w:val="both"/>
              <w:rPr>
                <w:rFonts w:eastAsia="Calibri"/>
                <w:sz w:val="22"/>
                <w:szCs w:val="22"/>
                <w:lang w:eastAsia="en-US"/>
              </w:rPr>
            </w:pPr>
            <w:r w:rsidRPr="00D927E4">
              <w:rPr>
                <w:rFonts w:eastAsia="Calibri"/>
                <w:sz w:val="22"/>
                <w:szCs w:val="22"/>
                <w:lang w:eastAsia="en-US"/>
              </w:rPr>
              <w:t>Відповідно до статті 19 ЗУ «Про НКРЕКП» за порушення законодавства у сферах енергетики та комунальних послуг до суб’єктів господарювання, що провадять діяльність у відповідній сфері, та суб’єктів, що належать до особливої групи споживачів, Регулятор може застосовувати санкції, зокрема, у вигляді накладення штрафу.</w:t>
            </w:r>
          </w:p>
          <w:p w14:paraId="14B0EF99" w14:textId="77777777" w:rsidR="00894ECB" w:rsidRPr="00D927E4" w:rsidRDefault="00894ECB" w:rsidP="00894ECB">
            <w:pPr>
              <w:ind w:firstLine="284"/>
              <w:jc w:val="both"/>
              <w:rPr>
                <w:rFonts w:eastAsia="Calibri"/>
                <w:sz w:val="22"/>
                <w:szCs w:val="22"/>
                <w:lang w:eastAsia="en-US"/>
              </w:rPr>
            </w:pPr>
            <w:r w:rsidRPr="00D927E4">
              <w:rPr>
                <w:rFonts w:eastAsia="Calibri"/>
                <w:sz w:val="22"/>
                <w:szCs w:val="22"/>
                <w:lang w:eastAsia="en-US"/>
              </w:rPr>
              <w:t>Так, Регулятор застосовує штрафні санкції до суб’єктів господарювання, що провадять діяльність у сферах енергетики та комунальних послуг, у розмірах, встановлених цим Законом, законами України «Про ринок електричної енергії», «Про природні монополії», «Про питну воду та питне водопостачання», «Про ринок природного газу», «Про теплопостачання", «Про енергетичну ефективність».</w:t>
            </w:r>
          </w:p>
          <w:p w14:paraId="62E47ACD" w14:textId="77777777" w:rsidR="00894ECB" w:rsidRPr="00D927E4" w:rsidRDefault="00894ECB" w:rsidP="00894ECB">
            <w:pPr>
              <w:ind w:firstLine="284"/>
              <w:jc w:val="both"/>
              <w:rPr>
                <w:rFonts w:eastAsia="Calibri"/>
                <w:sz w:val="22"/>
                <w:szCs w:val="22"/>
                <w:lang w:eastAsia="en-US"/>
              </w:rPr>
            </w:pPr>
            <w:r w:rsidRPr="00D927E4">
              <w:rPr>
                <w:rFonts w:eastAsia="Calibri"/>
                <w:sz w:val="22"/>
                <w:szCs w:val="22"/>
                <w:lang w:eastAsia="en-US"/>
              </w:rPr>
              <w:t xml:space="preserve">При цьому, суб’єкт не може бути притягнений до відповідальності за порушення законодавства у сферах енергетики та комунальних послуг, якщо минув строк давності притягнення до відповідальності. Строк давності </w:t>
            </w:r>
            <w:r w:rsidRPr="00D927E4">
              <w:rPr>
                <w:rFonts w:eastAsia="Calibri"/>
                <w:sz w:val="22"/>
                <w:szCs w:val="22"/>
                <w:lang w:eastAsia="en-US"/>
              </w:rPr>
              <w:lastRenderedPageBreak/>
              <w:t>притягнення до відповідальності за порушення ліцензійних умов та/або законодавства у сферах енергетики та комунальних послуг становить п’ять років з дня вчинення порушення, а в разі триваючого порушення – з дня закінчення вчинення порушення.</w:t>
            </w:r>
          </w:p>
          <w:p w14:paraId="7247E97B" w14:textId="77777777" w:rsidR="00894ECB" w:rsidRPr="00D927E4" w:rsidRDefault="00894ECB" w:rsidP="00894ECB">
            <w:pPr>
              <w:rPr>
                <w:i/>
                <w:sz w:val="22"/>
                <w:szCs w:val="22"/>
              </w:rPr>
            </w:pPr>
            <w:r w:rsidRPr="00D927E4">
              <w:rPr>
                <w:rFonts w:eastAsia="Calibri"/>
                <w:sz w:val="22"/>
                <w:szCs w:val="22"/>
                <w:lang w:eastAsia="en-US"/>
              </w:rPr>
              <w:t xml:space="preserve">Зважаючи на визначені законом підходи до застосування поняття строку давності, притягнення до відповідальності за порушення та відповідно поняття тривалості одного і того самого порушення, а також зважаючи на   повноваження Регулятора у частині накладення штрафу, розмежування триваючого порушення у розрізі звітного року як декількох самостійних порушень є недоцільним.  </w:t>
            </w:r>
          </w:p>
          <w:p w14:paraId="4BD4F9CF" w14:textId="77777777" w:rsidR="00894ECB" w:rsidRPr="00D927E4" w:rsidRDefault="00894ECB" w:rsidP="00894ECB">
            <w:pPr>
              <w:rPr>
                <w:i/>
                <w:sz w:val="22"/>
                <w:szCs w:val="22"/>
              </w:rPr>
            </w:pPr>
          </w:p>
          <w:p w14:paraId="44806A38" w14:textId="77777777" w:rsidR="00894ECB" w:rsidRPr="00D927E4" w:rsidRDefault="00894ECB" w:rsidP="00894ECB">
            <w:pPr>
              <w:rPr>
                <w:i/>
                <w:sz w:val="22"/>
                <w:szCs w:val="22"/>
              </w:rPr>
            </w:pPr>
            <w:r w:rsidRPr="00D927E4">
              <w:rPr>
                <w:i/>
                <w:sz w:val="22"/>
                <w:szCs w:val="22"/>
              </w:rPr>
              <w:t xml:space="preserve">ПАТ «ЗАПОРІЖЖЯОБЛЕНЕРГО»  </w:t>
            </w:r>
          </w:p>
          <w:p w14:paraId="0D77AF07" w14:textId="77777777" w:rsidR="00894ECB" w:rsidRPr="00D927E4" w:rsidRDefault="00894ECB" w:rsidP="00894ECB">
            <w:pPr>
              <w:rPr>
                <w:i/>
                <w:sz w:val="22"/>
                <w:szCs w:val="22"/>
              </w:rPr>
            </w:pPr>
          </w:p>
          <w:p w14:paraId="43825A5D" w14:textId="77777777" w:rsidR="00894ECB" w:rsidRPr="00D927E4" w:rsidRDefault="00894ECB" w:rsidP="00894ECB">
            <w:pPr>
              <w:rPr>
                <w:sz w:val="22"/>
                <w:szCs w:val="22"/>
              </w:rPr>
            </w:pPr>
            <w:r w:rsidRPr="00D927E4">
              <w:rPr>
                <w:sz w:val="22"/>
                <w:szCs w:val="22"/>
              </w:rPr>
              <w:t>Пропонується залишити пункт 1.4. в чинній редакції.</w:t>
            </w:r>
          </w:p>
          <w:p w14:paraId="7AD16BD0" w14:textId="77777777" w:rsidR="00894ECB" w:rsidRPr="00D927E4" w:rsidRDefault="00894ECB" w:rsidP="00894ECB">
            <w:pPr>
              <w:rPr>
                <w:sz w:val="22"/>
                <w:szCs w:val="22"/>
              </w:rPr>
            </w:pPr>
          </w:p>
          <w:p w14:paraId="4F21F616" w14:textId="77777777" w:rsidR="00894ECB" w:rsidRPr="00D927E4" w:rsidRDefault="00894ECB" w:rsidP="00894ECB">
            <w:pPr>
              <w:rPr>
                <w:i/>
                <w:sz w:val="22"/>
                <w:szCs w:val="22"/>
              </w:rPr>
            </w:pPr>
            <w:r w:rsidRPr="00D927E4">
              <w:rPr>
                <w:i/>
                <w:sz w:val="22"/>
                <w:szCs w:val="22"/>
              </w:rPr>
              <w:t>ОБГРУНТУВАННЯ:</w:t>
            </w:r>
          </w:p>
          <w:p w14:paraId="64EA76A4" w14:textId="77777777" w:rsidR="00894ECB" w:rsidRPr="00D927E4" w:rsidRDefault="00894ECB" w:rsidP="00894ECB">
            <w:pPr>
              <w:rPr>
                <w:sz w:val="22"/>
                <w:szCs w:val="22"/>
              </w:rPr>
            </w:pPr>
          </w:p>
          <w:p w14:paraId="11D66AD1" w14:textId="77777777" w:rsidR="00894ECB" w:rsidRPr="00D927E4" w:rsidRDefault="00894ECB" w:rsidP="00894ECB">
            <w:pPr>
              <w:rPr>
                <w:sz w:val="22"/>
                <w:szCs w:val="22"/>
              </w:rPr>
            </w:pPr>
            <w:r w:rsidRPr="00D927E4">
              <w:rPr>
                <w:sz w:val="22"/>
                <w:szCs w:val="22"/>
              </w:rPr>
              <w:t>Пропозиції НКРЕКП вважаємо неприйнятними, оскільки їх впровадження призведе до багатократного притягнення ліцензіатів до відповідальності за одне й теж порушення (зокрема, при триваючих порушеннях). Внаслідок цього буде порушено вимоги ч.1 ст. 61 Конституції України, принципи справедливості, доцільності, обґрунтованості та призведе до негативних наслідків для ліцензіатів.</w:t>
            </w:r>
          </w:p>
          <w:p w14:paraId="69CC835A" w14:textId="77777777" w:rsidR="00894ECB" w:rsidRPr="00D927E4" w:rsidRDefault="00894ECB" w:rsidP="00894ECB">
            <w:pPr>
              <w:rPr>
                <w:sz w:val="22"/>
                <w:szCs w:val="22"/>
              </w:rPr>
            </w:pPr>
            <w:r w:rsidRPr="00D927E4">
              <w:rPr>
                <w:sz w:val="22"/>
                <w:szCs w:val="22"/>
              </w:rPr>
              <w:t>Також вважаємо, що запропонованими Регулятором змінами буде порушено ч.1. ст.58 Конституції України, оскільки їх прийняття призведе до зворотної дії в часі посиленої відповідальності ліцензіатів.</w:t>
            </w:r>
          </w:p>
          <w:p w14:paraId="65D81312" w14:textId="77777777" w:rsidR="00894ECB" w:rsidRPr="00D927E4" w:rsidRDefault="00894ECB" w:rsidP="00894ECB">
            <w:pPr>
              <w:rPr>
                <w:i/>
                <w:sz w:val="22"/>
                <w:szCs w:val="22"/>
              </w:rPr>
            </w:pPr>
          </w:p>
          <w:p w14:paraId="2D6091A7" w14:textId="77777777" w:rsidR="00894ECB" w:rsidRPr="00D927E4" w:rsidRDefault="00894ECB" w:rsidP="00894ECB">
            <w:pPr>
              <w:rPr>
                <w:i/>
                <w:sz w:val="22"/>
                <w:szCs w:val="22"/>
              </w:rPr>
            </w:pPr>
            <w:r w:rsidRPr="00D927E4">
              <w:rPr>
                <w:i/>
                <w:sz w:val="22"/>
                <w:szCs w:val="22"/>
              </w:rPr>
              <w:t>АТ «ОПЕРАТОР РИНКУ»</w:t>
            </w:r>
          </w:p>
          <w:p w14:paraId="6CC06DA9" w14:textId="77777777" w:rsidR="00894ECB" w:rsidRPr="00D927E4" w:rsidRDefault="00894ECB" w:rsidP="00894ECB">
            <w:pPr>
              <w:rPr>
                <w:i/>
                <w:sz w:val="22"/>
                <w:szCs w:val="22"/>
              </w:rPr>
            </w:pPr>
          </w:p>
          <w:p w14:paraId="2D3BDCDD" w14:textId="77777777" w:rsidR="00894ECB" w:rsidRPr="00D927E4" w:rsidRDefault="00894ECB" w:rsidP="00894ECB">
            <w:pPr>
              <w:ind w:firstLine="240"/>
              <w:jc w:val="both"/>
              <w:rPr>
                <w:b/>
                <w:i/>
                <w:color w:val="000000"/>
                <w:sz w:val="22"/>
                <w:szCs w:val="22"/>
              </w:rPr>
            </w:pPr>
            <w:r w:rsidRPr="00D927E4">
              <w:rPr>
                <w:b/>
                <w:i/>
                <w:color w:val="000000"/>
                <w:sz w:val="22"/>
                <w:szCs w:val="22"/>
              </w:rPr>
              <w:t>Залишити у чинній редакції (без змін)</w:t>
            </w:r>
          </w:p>
          <w:p w14:paraId="6C94D67C" w14:textId="77777777" w:rsidR="00894ECB" w:rsidRPr="00D927E4" w:rsidRDefault="00894ECB" w:rsidP="00894ECB">
            <w:pPr>
              <w:rPr>
                <w:sz w:val="22"/>
                <w:szCs w:val="22"/>
              </w:rPr>
            </w:pPr>
          </w:p>
          <w:p w14:paraId="24F548D6" w14:textId="77777777" w:rsidR="00894ECB" w:rsidRPr="00D927E4" w:rsidRDefault="00894ECB" w:rsidP="00894ECB">
            <w:pPr>
              <w:rPr>
                <w:sz w:val="22"/>
                <w:szCs w:val="22"/>
              </w:rPr>
            </w:pPr>
          </w:p>
          <w:p w14:paraId="70F801E5" w14:textId="77777777" w:rsidR="00894ECB" w:rsidRPr="00D927E4" w:rsidRDefault="00894ECB" w:rsidP="00894ECB">
            <w:pPr>
              <w:rPr>
                <w:i/>
                <w:sz w:val="22"/>
                <w:szCs w:val="22"/>
              </w:rPr>
            </w:pPr>
            <w:r w:rsidRPr="00D927E4">
              <w:rPr>
                <w:i/>
                <w:sz w:val="22"/>
                <w:szCs w:val="22"/>
              </w:rPr>
              <w:t>ОБГРУНТУВАННЯ:</w:t>
            </w:r>
          </w:p>
          <w:p w14:paraId="756DAB52" w14:textId="77777777" w:rsidR="00894ECB" w:rsidRPr="00D927E4" w:rsidRDefault="00894ECB" w:rsidP="00894ECB">
            <w:pPr>
              <w:rPr>
                <w:sz w:val="22"/>
                <w:szCs w:val="22"/>
              </w:rPr>
            </w:pPr>
          </w:p>
          <w:p w14:paraId="0B524FD2" w14:textId="77777777" w:rsidR="00894ECB" w:rsidRPr="00D927E4" w:rsidRDefault="00894ECB" w:rsidP="00894ECB">
            <w:pPr>
              <w:spacing w:after="160" w:line="259" w:lineRule="auto"/>
              <w:ind w:firstLine="240"/>
              <w:jc w:val="both"/>
              <w:rPr>
                <w:rFonts w:eastAsia="Calibri"/>
                <w:i/>
                <w:sz w:val="22"/>
                <w:szCs w:val="22"/>
                <w:lang w:eastAsia="en-US"/>
              </w:rPr>
            </w:pPr>
            <w:r w:rsidRPr="00D927E4">
              <w:rPr>
                <w:rFonts w:eastAsia="Calibri"/>
                <w:i/>
                <w:sz w:val="22"/>
                <w:szCs w:val="22"/>
                <w:lang w:eastAsia="en-US"/>
              </w:rPr>
              <w:lastRenderedPageBreak/>
              <w:t>Пропонується пункт 1.4 залишити у чинній редакції, оскільки:</w:t>
            </w:r>
          </w:p>
          <w:p w14:paraId="6FCCD579" w14:textId="77777777" w:rsidR="00894ECB" w:rsidRPr="00D927E4" w:rsidRDefault="00894ECB" w:rsidP="00894ECB">
            <w:pPr>
              <w:spacing w:after="160" w:line="259" w:lineRule="auto"/>
              <w:ind w:firstLine="240"/>
              <w:jc w:val="both"/>
              <w:rPr>
                <w:rFonts w:eastAsia="Calibri"/>
                <w:i/>
                <w:iCs/>
                <w:sz w:val="22"/>
                <w:szCs w:val="22"/>
                <w:lang w:eastAsia="en-US"/>
              </w:rPr>
            </w:pPr>
            <w:r w:rsidRPr="00D927E4">
              <w:rPr>
                <w:rFonts w:eastAsia="Calibri"/>
                <w:i/>
                <w:iCs/>
                <w:sz w:val="22"/>
                <w:szCs w:val="22"/>
                <w:lang w:eastAsia="en-US"/>
              </w:rPr>
              <w:t>нове положення не вводить нових норм для обчислення розміру штрафу за порушення (у першому абзаці п.1.4. вже зазначено, що «НКРЕКП розраховує розмір штрафу за кожне окреме вчинене порушення»), тоді як воно може трактуватися як уточнення того, що розрахунок розміру штрафу за кожне окремо вчинене порушення здійснюється лише у разі проведення перевірки ліцензіата за період більше 1 (одного) календарного року, що є некоректним;</w:t>
            </w:r>
          </w:p>
          <w:p w14:paraId="202666EA" w14:textId="77777777" w:rsidR="00894ECB" w:rsidRPr="00D927E4" w:rsidRDefault="00894ECB" w:rsidP="00894ECB">
            <w:pPr>
              <w:spacing w:after="160" w:line="259" w:lineRule="auto"/>
              <w:ind w:firstLine="240"/>
              <w:jc w:val="both"/>
              <w:rPr>
                <w:rFonts w:eastAsia="Calibri"/>
                <w:i/>
                <w:color w:val="000000"/>
                <w:sz w:val="22"/>
                <w:szCs w:val="22"/>
                <w:lang w:eastAsia="en-US"/>
              </w:rPr>
            </w:pPr>
            <w:r w:rsidRPr="00D927E4">
              <w:rPr>
                <w:rFonts w:eastAsia="Calibri"/>
                <w:i/>
                <w:color w:val="000000"/>
                <w:sz w:val="22"/>
                <w:szCs w:val="22"/>
                <w:lang w:eastAsia="en-US"/>
              </w:rPr>
              <w:t>пропозиція до п.1.4 щодо обчислення розміру штрафу за одне те саме порушення за кожен звітний рік у разі проведення перевірки ліцензіата за період більше 1 (одного) календарного року, не узгоджується з положеннями глави 2.3 цього ж Порядку (методики), згідно з якими:</w:t>
            </w:r>
          </w:p>
          <w:p w14:paraId="7C46DE78" w14:textId="77777777" w:rsidR="00894ECB" w:rsidRPr="00D927E4" w:rsidRDefault="00894ECB" w:rsidP="00894ECB">
            <w:pPr>
              <w:spacing w:after="160" w:line="259" w:lineRule="auto"/>
              <w:ind w:firstLine="240"/>
              <w:jc w:val="both"/>
              <w:rPr>
                <w:rFonts w:eastAsia="Calibri"/>
                <w:color w:val="000000"/>
                <w:sz w:val="22"/>
                <w:szCs w:val="22"/>
                <w:lang w:eastAsia="en-US"/>
              </w:rPr>
            </w:pPr>
            <w:r w:rsidRPr="00D927E4">
              <w:rPr>
                <w:rFonts w:eastAsia="Calibri"/>
                <w:color w:val="000000"/>
                <w:sz w:val="22"/>
                <w:szCs w:val="22"/>
                <w:lang w:eastAsia="en-US"/>
              </w:rPr>
              <w:t xml:space="preserve"> «2.3.1. У разі якщо під час здійснення заходів державного контролю за дотриманням ліцензіатами законодавства та/або ліцензійних умов НКРЕКП виявить порушення, що тривало/триває протягом певного періоду (строку), НКРЕКП застосовує коригування початкового розміру штрафу, розрахованого відповідно до </w:t>
            </w:r>
            <w:hyperlink r:id="rId8" w:anchor="n48" w:history="1">
              <w:r w:rsidRPr="00D927E4">
                <w:rPr>
                  <w:rFonts w:eastAsia="Calibri"/>
                  <w:color w:val="000000"/>
                  <w:sz w:val="22"/>
                  <w:szCs w:val="22"/>
                  <w:lang w:eastAsia="en-US"/>
                </w:rPr>
                <w:t>пункту 2.2.4</w:t>
              </w:r>
            </w:hyperlink>
            <w:r w:rsidRPr="00D927E4">
              <w:rPr>
                <w:rFonts w:eastAsia="Calibri"/>
                <w:color w:val="000000"/>
                <w:sz w:val="22"/>
                <w:szCs w:val="22"/>
                <w:lang w:eastAsia="en-US"/>
              </w:rPr>
              <w:t> глави 2.2 цього розділу, з урахуванням тривалості порушення. Коригування здійснюється за формулою …</w:t>
            </w:r>
          </w:p>
          <w:p w14:paraId="45D19C07" w14:textId="77777777" w:rsidR="00894ECB" w:rsidRPr="00D927E4" w:rsidRDefault="00894ECB" w:rsidP="00894ECB">
            <w:pPr>
              <w:spacing w:after="160" w:line="259" w:lineRule="auto"/>
              <w:ind w:firstLine="240"/>
              <w:jc w:val="both"/>
              <w:rPr>
                <w:rFonts w:eastAsia="Calibri"/>
                <w:b/>
                <w:color w:val="000000"/>
                <w:sz w:val="22"/>
                <w:szCs w:val="22"/>
                <w:u w:val="single"/>
                <w:lang w:eastAsia="en-US"/>
              </w:rPr>
            </w:pPr>
            <w:r w:rsidRPr="00D927E4">
              <w:rPr>
                <w:rFonts w:eastAsia="Calibri"/>
                <w:color w:val="000000"/>
                <w:sz w:val="22"/>
                <w:szCs w:val="22"/>
                <w:lang w:eastAsia="en-US"/>
              </w:rPr>
              <w:t xml:space="preserve">2.3.2. Кількість календарних днів, впродовж яких </w:t>
            </w:r>
            <w:r w:rsidRPr="00D927E4">
              <w:rPr>
                <w:rFonts w:eastAsia="Calibri"/>
                <w:b/>
                <w:color w:val="000000"/>
                <w:sz w:val="22"/>
                <w:szCs w:val="22"/>
                <w:u w:val="single"/>
                <w:lang w:eastAsia="en-US"/>
              </w:rPr>
              <w:t>тривало/триває порушення, визначається від моменту фактичного початку</w:t>
            </w:r>
            <w:r w:rsidRPr="00D927E4">
              <w:rPr>
                <w:rFonts w:eastAsia="Calibri"/>
                <w:color w:val="000000"/>
                <w:sz w:val="22"/>
                <w:szCs w:val="22"/>
                <w:lang w:eastAsia="en-US"/>
              </w:rPr>
              <w:t xml:space="preserve"> дій/бездіяльності, що становлять порушення вимог чинного законодавства у сферах енергетики та/або комунальних послуг та/або відповідних ліцензійних умов, та </w:t>
            </w:r>
            <w:r w:rsidRPr="00D927E4">
              <w:rPr>
                <w:rFonts w:eastAsia="Calibri"/>
                <w:b/>
                <w:color w:val="000000"/>
                <w:sz w:val="22"/>
                <w:szCs w:val="22"/>
                <w:u w:val="single"/>
                <w:lang w:eastAsia="en-US"/>
              </w:rPr>
              <w:t>до:</w:t>
            </w:r>
          </w:p>
          <w:p w14:paraId="155B8AE4" w14:textId="77777777" w:rsidR="00894ECB" w:rsidRPr="00D927E4" w:rsidRDefault="00894ECB" w:rsidP="00894ECB">
            <w:pPr>
              <w:spacing w:after="160" w:line="259" w:lineRule="auto"/>
              <w:ind w:firstLine="240"/>
              <w:jc w:val="both"/>
              <w:rPr>
                <w:rFonts w:eastAsia="Calibri"/>
                <w:color w:val="000000"/>
                <w:sz w:val="22"/>
                <w:szCs w:val="22"/>
                <w:lang w:eastAsia="en-US"/>
              </w:rPr>
            </w:pPr>
            <w:r w:rsidRPr="00D927E4">
              <w:rPr>
                <w:rFonts w:eastAsia="Calibri"/>
                <w:color w:val="000000"/>
                <w:sz w:val="22"/>
                <w:szCs w:val="22"/>
                <w:lang w:eastAsia="en-US"/>
              </w:rPr>
              <w:t xml:space="preserve">1) </w:t>
            </w:r>
            <w:r w:rsidRPr="00D927E4">
              <w:rPr>
                <w:rFonts w:eastAsia="Calibri"/>
                <w:b/>
                <w:color w:val="000000"/>
                <w:sz w:val="22"/>
                <w:szCs w:val="22"/>
                <w:u w:val="single"/>
                <w:lang w:eastAsia="en-US"/>
              </w:rPr>
              <w:t>моменту фактичного припинення</w:t>
            </w:r>
            <w:r w:rsidRPr="00D927E4">
              <w:rPr>
                <w:rFonts w:eastAsia="Calibri"/>
                <w:color w:val="000000"/>
                <w:sz w:val="22"/>
                <w:szCs w:val="22"/>
                <w:lang w:eastAsia="en-US"/>
              </w:rPr>
              <w:t xml:space="preserve"> дій/бездіяльності, що становлять порушення, або</w:t>
            </w:r>
          </w:p>
          <w:p w14:paraId="73EC1834" w14:textId="77777777" w:rsidR="00894ECB" w:rsidRPr="00D927E4" w:rsidRDefault="00894ECB" w:rsidP="00894ECB">
            <w:pPr>
              <w:spacing w:after="160" w:line="259" w:lineRule="auto"/>
              <w:ind w:firstLine="240"/>
              <w:jc w:val="both"/>
              <w:rPr>
                <w:rFonts w:eastAsia="Calibri"/>
                <w:color w:val="000000"/>
                <w:sz w:val="22"/>
                <w:szCs w:val="22"/>
                <w:lang w:eastAsia="en-US"/>
              </w:rPr>
            </w:pPr>
            <w:r w:rsidRPr="00D927E4">
              <w:rPr>
                <w:rFonts w:eastAsia="Calibri"/>
                <w:color w:val="000000"/>
                <w:sz w:val="22"/>
                <w:szCs w:val="22"/>
                <w:lang w:eastAsia="en-US"/>
              </w:rPr>
              <w:lastRenderedPageBreak/>
              <w:t xml:space="preserve">2) </w:t>
            </w:r>
            <w:r w:rsidRPr="00D927E4">
              <w:rPr>
                <w:rFonts w:eastAsia="Calibri"/>
                <w:b/>
                <w:color w:val="000000"/>
                <w:sz w:val="22"/>
                <w:szCs w:val="22"/>
                <w:u w:val="single"/>
                <w:lang w:eastAsia="en-US"/>
              </w:rPr>
              <w:t>моменту виявлення порушення</w:t>
            </w:r>
            <w:r w:rsidRPr="00D927E4">
              <w:rPr>
                <w:rFonts w:eastAsia="Calibri"/>
                <w:color w:val="000000"/>
                <w:sz w:val="22"/>
                <w:szCs w:val="22"/>
                <w:lang w:eastAsia="en-US"/>
              </w:rPr>
              <w:t>, що триває, під час здійснення заходу державного контролю за дотриманням ліцензіатами законодавства та/або ліцензійних умов.</w:t>
            </w:r>
          </w:p>
          <w:p w14:paraId="436978C1" w14:textId="77777777" w:rsidR="00894ECB" w:rsidRPr="00D927E4" w:rsidRDefault="00894ECB" w:rsidP="00894ECB">
            <w:pPr>
              <w:spacing w:after="160" w:line="259" w:lineRule="auto"/>
              <w:ind w:firstLine="240"/>
              <w:jc w:val="both"/>
              <w:rPr>
                <w:rFonts w:eastAsia="Calibri"/>
                <w:color w:val="000000"/>
                <w:sz w:val="22"/>
                <w:szCs w:val="22"/>
                <w:lang w:eastAsia="en-US"/>
              </w:rPr>
            </w:pPr>
            <w:r w:rsidRPr="00D927E4">
              <w:rPr>
                <w:rFonts w:eastAsia="Calibri"/>
                <w:color w:val="000000"/>
                <w:sz w:val="22"/>
                <w:szCs w:val="22"/>
                <w:lang w:eastAsia="en-US"/>
              </w:rPr>
              <w:t xml:space="preserve">2.3.3. </w:t>
            </w:r>
            <w:r w:rsidRPr="00D927E4">
              <w:rPr>
                <w:rFonts w:eastAsia="Calibri"/>
                <w:b/>
                <w:color w:val="000000"/>
                <w:sz w:val="22"/>
                <w:szCs w:val="22"/>
                <w:u w:val="single"/>
                <w:lang w:eastAsia="en-US"/>
              </w:rPr>
              <w:t>Максимальний відсоток коригування з урахуванням тривалості порушення не може перевищувати 50%</w:t>
            </w:r>
            <w:r w:rsidRPr="00D927E4">
              <w:rPr>
                <w:rFonts w:eastAsia="Calibri"/>
                <w:color w:val="000000"/>
                <w:sz w:val="22"/>
                <w:szCs w:val="22"/>
                <w:lang w:eastAsia="en-US"/>
              </w:rPr>
              <w:t xml:space="preserve"> від початкового розміру штрафу, розрахованого відповідно до пункту 2.2.4 глави 2.2 цього розділу.».</w:t>
            </w:r>
          </w:p>
          <w:p w14:paraId="404A5350" w14:textId="77777777" w:rsidR="00894ECB" w:rsidRPr="00D927E4" w:rsidRDefault="00894ECB" w:rsidP="00894ECB">
            <w:pPr>
              <w:rPr>
                <w:i/>
                <w:sz w:val="22"/>
                <w:szCs w:val="22"/>
              </w:rPr>
            </w:pPr>
          </w:p>
          <w:p w14:paraId="7E6AFDAC" w14:textId="77777777" w:rsidR="00894ECB" w:rsidRPr="00D927E4" w:rsidRDefault="00894ECB" w:rsidP="00894ECB">
            <w:pPr>
              <w:rPr>
                <w:i/>
                <w:sz w:val="22"/>
                <w:szCs w:val="22"/>
              </w:rPr>
            </w:pPr>
            <w:r w:rsidRPr="00D927E4">
              <w:rPr>
                <w:i/>
                <w:sz w:val="22"/>
                <w:szCs w:val="22"/>
              </w:rPr>
              <w:t>ТОВ «ЕНЕРДЖІ 365»</w:t>
            </w:r>
          </w:p>
          <w:p w14:paraId="6992B8FA" w14:textId="77777777" w:rsidR="00894ECB" w:rsidRPr="00D927E4" w:rsidRDefault="00894ECB" w:rsidP="00894ECB">
            <w:pPr>
              <w:rPr>
                <w:i/>
                <w:sz w:val="22"/>
                <w:szCs w:val="22"/>
              </w:rPr>
            </w:pPr>
          </w:p>
          <w:p w14:paraId="3CCF34A6" w14:textId="77777777" w:rsidR="00894ECB" w:rsidRPr="00D927E4" w:rsidRDefault="00894ECB" w:rsidP="00894ECB">
            <w:pPr>
              <w:pBdr>
                <w:top w:val="nil"/>
                <w:left w:val="nil"/>
                <w:bottom w:val="nil"/>
                <w:right w:val="nil"/>
                <w:between w:val="nil"/>
                <w:bar w:val="nil"/>
              </w:pBdr>
              <w:jc w:val="both"/>
              <w:rPr>
                <w:color w:val="000000"/>
                <w:sz w:val="22"/>
                <w:szCs w:val="22"/>
                <w:u w:color="000000"/>
                <w:bdr w:val="nil"/>
              </w:rPr>
            </w:pPr>
            <w:r w:rsidRPr="00D927E4">
              <w:rPr>
                <w:color w:val="000000"/>
                <w:sz w:val="22"/>
                <w:szCs w:val="22"/>
                <w:u w:color="000000"/>
                <w:bdr w:val="nil"/>
              </w:rPr>
              <w:t>Запропоноване положення проекту постанови сприяє неоднозначному та дискримінаційному застосуванню штрафних санкцій.</w:t>
            </w:r>
          </w:p>
          <w:p w14:paraId="7423985F" w14:textId="77777777" w:rsidR="00894ECB" w:rsidRPr="00D927E4" w:rsidRDefault="00894ECB" w:rsidP="00894ECB">
            <w:pPr>
              <w:pBdr>
                <w:top w:val="nil"/>
                <w:left w:val="nil"/>
                <w:bottom w:val="nil"/>
                <w:right w:val="nil"/>
                <w:between w:val="nil"/>
                <w:bar w:val="nil"/>
              </w:pBdr>
              <w:jc w:val="both"/>
              <w:rPr>
                <w:color w:val="000000"/>
                <w:sz w:val="22"/>
                <w:szCs w:val="22"/>
                <w:u w:color="000000"/>
                <w:bdr w:val="nil"/>
              </w:rPr>
            </w:pPr>
          </w:p>
          <w:p w14:paraId="14996D13" w14:textId="77777777" w:rsidR="00894ECB" w:rsidRPr="00D927E4" w:rsidRDefault="00894ECB" w:rsidP="00894ECB">
            <w:pPr>
              <w:pBdr>
                <w:top w:val="nil"/>
                <w:left w:val="nil"/>
                <w:bottom w:val="nil"/>
                <w:right w:val="nil"/>
                <w:between w:val="nil"/>
                <w:bar w:val="nil"/>
              </w:pBdr>
              <w:jc w:val="both"/>
              <w:rPr>
                <w:color w:val="000000"/>
                <w:sz w:val="22"/>
                <w:szCs w:val="22"/>
                <w:u w:color="000000"/>
                <w:bdr w:val="nil"/>
              </w:rPr>
            </w:pPr>
            <w:r w:rsidRPr="00D927E4">
              <w:rPr>
                <w:color w:val="000000"/>
                <w:sz w:val="22"/>
                <w:szCs w:val="22"/>
                <w:u w:color="000000"/>
                <w:bdr w:val="nil"/>
              </w:rPr>
              <w:t>Такий підхід не ураховує характер та вплив порушення, що може призвести до несправедливого покарання учасників ринку.</w:t>
            </w:r>
          </w:p>
          <w:p w14:paraId="5CFA2F6B" w14:textId="77777777" w:rsidR="00894ECB" w:rsidRPr="00D927E4" w:rsidRDefault="00894ECB" w:rsidP="00894ECB">
            <w:pPr>
              <w:pBdr>
                <w:top w:val="nil"/>
                <w:left w:val="nil"/>
                <w:bottom w:val="nil"/>
                <w:right w:val="nil"/>
                <w:between w:val="nil"/>
                <w:bar w:val="nil"/>
              </w:pBdr>
              <w:jc w:val="both"/>
              <w:rPr>
                <w:color w:val="000000"/>
                <w:sz w:val="22"/>
                <w:szCs w:val="22"/>
                <w:u w:color="000000"/>
                <w:bdr w:val="nil"/>
              </w:rPr>
            </w:pPr>
          </w:p>
          <w:p w14:paraId="04F9FA96" w14:textId="77777777" w:rsidR="00894ECB" w:rsidRPr="00D927E4" w:rsidRDefault="00894ECB" w:rsidP="00894ECB">
            <w:pPr>
              <w:pBdr>
                <w:top w:val="nil"/>
                <w:left w:val="nil"/>
                <w:bottom w:val="nil"/>
                <w:right w:val="nil"/>
                <w:between w:val="nil"/>
                <w:bar w:val="nil"/>
              </w:pBdr>
              <w:jc w:val="both"/>
              <w:rPr>
                <w:color w:val="000000"/>
                <w:sz w:val="22"/>
                <w:szCs w:val="22"/>
                <w:u w:color="000000"/>
                <w:bdr w:val="nil"/>
              </w:rPr>
            </w:pPr>
            <w:r w:rsidRPr="00D927E4">
              <w:rPr>
                <w:color w:val="000000"/>
                <w:sz w:val="22"/>
                <w:szCs w:val="22"/>
                <w:u w:color="000000"/>
                <w:bdr w:val="nil"/>
              </w:rPr>
              <w:t>Необхідно доповнити методику розмежуванням штрафів за періодами в залежності від типу порушення:</w:t>
            </w:r>
          </w:p>
          <w:p w14:paraId="050EF063" w14:textId="77777777" w:rsidR="00894ECB" w:rsidRPr="00D927E4" w:rsidRDefault="00894ECB" w:rsidP="00894ECB">
            <w:pPr>
              <w:numPr>
                <w:ilvl w:val="0"/>
                <w:numId w:val="23"/>
              </w:numPr>
              <w:pBdr>
                <w:top w:val="nil"/>
                <w:left w:val="nil"/>
                <w:bottom w:val="nil"/>
                <w:right w:val="nil"/>
                <w:between w:val="nil"/>
                <w:bar w:val="nil"/>
              </w:pBdr>
              <w:jc w:val="both"/>
              <w:rPr>
                <w:color w:val="000000"/>
                <w:sz w:val="22"/>
                <w:szCs w:val="22"/>
                <w:u w:color="000000"/>
                <w:bdr w:val="nil"/>
              </w:rPr>
            </w:pPr>
            <w:r w:rsidRPr="00D927E4">
              <w:rPr>
                <w:color w:val="000000"/>
                <w:sz w:val="22"/>
                <w:szCs w:val="22"/>
                <w:u w:color="000000"/>
                <w:bdr w:val="nil"/>
              </w:rPr>
              <w:t>Для порушень, які мають технічний характер та несуть мінімальний вплив на ринок (наприклад, неточність у звітності, тощо), розрахунок штрафу здійснювати сукупно за весь період перевірки.</w:t>
            </w:r>
          </w:p>
          <w:p w14:paraId="2928B9AB" w14:textId="77777777" w:rsidR="00894ECB" w:rsidRPr="00D927E4" w:rsidRDefault="00894ECB" w:rsidP="00894ECB">
            <w:pPr>
              <w:pStyle w:val="af6"/>
              <w:numPr>
                <w:ilvl w:val="0"/>
                <w:numId w:val="26"/>
              </w:numPr>
              <w:rPr>
                <w:rFonts w:ascii="Times New Roman" w:hAnsi="Times New Roman"/>
              </w:rPr>
            </w:pPr>
            <w:r w:rsidRPr="00D927E4">
              <w:rPr>
                <w:rFonts w:ascii="Times New Roman" w:hAnsi="Times New Roman"/>
                <w:color w:val="000000"/>
                <w:u w:color="000000"/>
                <w:bdr w:val="nil"/>
              </w:rPr>
              <w:t>Для порушень, що мають суттєвий вплив на ринок або сторону, що зазнала шкоди, розрахунок здійснювати окремо за кожний звітний період.</w:t>
            </w:r>
          </w:p>
          <w:p w14:paraId="1A679556" w14:textId="77777777" w:rsidR="00894ECB" w:rsidRPr="00D927E4" w:rsidRDefault="00894ECB" w:rsidP="00894ECB">
            <w:pPr>
              <w:rPr>
                <w:i/>
                <w:sz w:val="22"/>
                <w:szCs w:val="22"/>
              </w:rPr>
            </w:pPr>
          </w:p>
          <w:p w14:paraId="12D8D146" w14:textId="77777777" w:rsidR="00894ECB" w:rsidRPr="00D927E4" w:rsidRDefault="00894ECB" w:rsidP="00894ECB">
            <w:pPr>
              <w:rPr>
                <w:i/>
                <w:sz w:val="22"/>
                <w:szCs w:val="22"/>
              </w:rPr>
            </w:pPr>
            <w:r w:rsidRPr="00D927E4">
              <w:rPr>
                <w:i/>
                <w:sz w:val="22"/>
                <w:szCs w:val="22"/>
              </w:rPr>
              <w:t>ОБГРУНТУВАННЯ:</w:t>
            </w:r>
          </w:p>
          <w:p w14:paraId="22E1136B" w14:textId="77777777" w:rsidR="00894ECB" w:rsidRPr="00D927E4" w:rsidRDefault="00894ECB" w:rsidP="00894ECB">
            <w:pPr>
              <w:rPr>
                <w:i/>
                <w:sz w:val="22"/>
                <w:szCs w:val="22"/>
              </w:rPr>
            </w:pPr>
          </w:p>
          <w:p w14:paraId="2FB2B10F" w14:textId="77777777" w:rsidR="00894ECB" w:rsidRPr="00D927E4" w:rsidRDefault="00894ECB" w:rsidP="00894ECB">
            <w:pPr>
              <w:pBdr>
                <w:top w:val="nil"/>
                <w:left w:val="nil"/>
                <w:bottom w:val="nil"/>
                <w:right w:val="nil"/>
                <w:between w:val="nil"/>
                <w:bar w:val="nil"/>
              </w:pBdr>
              <w:textAlignment w:val="baseline"/>
              <w:rPr>
                <w:color w:val="000000"/>
                <w:sz w:val="22"/>
                <w:szCs w:val="22"/>
                <w:u w:color="000000"/>
                <w:bdr w:val="nil"/>
              </w:rPr>
            </w:pPr>
            <w:r w:rsidRPr="00D927E4">
              <w:rPr>
                <w:color w:val="000000"/>
                <w:sz w:val="22"/>
                <w:szCs w:val="22"/>
                <w:u w:color="000000"/>
                <w:bdr w:val="nil"/>
              </w:rPr>
              <w:t>Прийняття положення у чинній редакції створює ризик несправедливого покарання учасників ринку, оскільки у певних випадках наслідки порушення мають мінімальний вплив.</w:t>
            </w:r>
          </w:p>
          <w:p w14:paraId="753F6756" w14:textId="77777777" w:rsidR="00894ECB" w:rsidRPr="00D927E4" w:rsidRDefault="00894ECB" w:rsidP="00894ECB">
            <w:pPr>
              <w:pBdr>
                <w:top w:val="nil"/>
                <w:left w:val="nil"/>
                <w:bottom w:val="nil"/>
                <w:right w:val="nil"/>
                <w:between w:val="nil"/>
                <w:bar w:val="nil"/>
              </w:pBdr>
              <w:textAlignment w:val="baseline"/>
              <w:rPr>
                <w:color w:val="000000"/>
                <w:sz w:val="22"/>
                <w:szCs w:val="22"/>
                <w:u w:color="000000"/>
                <w:bdr w:val="nil"/>
              </w:rPr>
            </w:pPr>
          </w:p>
          <w:p w14:paraId="1C6C34BF" w14:textId="77777777" w:rsidR="00894ECB" w:rsidRPr="00D927E4" w:rsidRDefault="00894ECB" w:rsidP="00894ECB">
            <w:pPr>
              <w:rPr>
                <w:i/>
                <w:sz w:val="22"/>
                <w:szCs w:val="22"/>
              </w:rPr>
            </w:pPr>
            <w:r w:rsidRPr="00D927E4">
              <w:rPr>
                <w:color w:val="000000"/>
                <w:sz w:val="22"/>
                <w:szCs w:val="22"/>
                <w:u w:color="000000"/>
                <w:bdr w:val="nil"/>
              </w:rPr>
              <w:lastRenderedPageBreak/>
              <w:t>Розмежування порушень за типам та ступенем впливу сприятиме більш збалансованому підходу та справедливому застосуванню штрафів при їх застосуванні за звітний рік.</w:t>
            </w:r>
          </w:p>
          <w:p w14:paraId="7E304971" w14:textId="77777777" w:rsidR="00894ECB" w:rsidRPr="00D927E4" w:rsidRDefault="00894ECB" w:rsidP="00894ECB">
            <w:pPr>
              <w:rPr>
                <w:i/>
                <w:sz w:val="22"/>
                <w:szCs w:val="22"/>
              </w:rPr>
            </w:pPr>
          </w:p>
          <w:p w14:paraId="1D7E6DE3" w14:textId="77777777" w:rsidR="00894ECB" w:rsidRPr="00D927E4" w:rsidRDefault="00894ECB" w:rsidP="00894ECB">
            <w:pPr>
              <w:rPr>
                <w:i/>
                <w:spacing w:val="-2"/>
                <w:sz w:val="22"/>
                <w:szCs w:val="22"/>
              </w:rPr>
            </w:pPr>
            <w:r w:rsidRPr="00D927E4">
              <w:rPr>
                <w:i/>
                <w:sz w:val="22"/>
                <w:szCs w:val="22"/>
              </w:rPr>
              <w:t>АТ</w:t>
            </w:r>
            <w:r w:rsidRPr="00D927E4">
              <w:rPr>
                <w:i/>
                <w:spacing w:val="-11"/>
                <w:sz w:val="22"/>
                <w:szCs w:val="22"/>
              </w:rPr>
              <w:t xml:space="preserve"> </w:t>
            </w:r>
            <w:r w:rsidRPr="00D927E4">
              <w:rPr>
                <w:i/>
                <w:sz w:val="22"/>
                <w:szCs w:val="22"/>
              </w:rPr>
              <w:t>«ДТЕК</w:t>
            </w:r>
            <w:r w:rsidRPr="00D927E4">
              <w:rPr>
                <w:i/>
                <w:spacing w:val="-9"/>
                <w:sz w:val="22"/>
                <w:szCs w:val="22"/>
              </w:rPr>
              <w:t xml:space="preserve"> </w:t>
            </w:r>
            <w:r w:rsidRPr="00D927E4">
              <w:rPr>
                <w:i/>
                <w:spacing w:val="-2"/>
                <w:sz w:val="22"/>
                <w:szCs w:val="22"/>
              </w:rPr>
              <w:t>ЗАХІДЕНЕРГО»</w:t>
            </w:r>
          </w:p>
          <w:p w14:paraId="164A5E6E" w14:textId="77777777" w:rsidR="00894ECB" w:rsidRPr="00D927E4" w:rsidRDefault="00894ECB" w:rsidP="00894ECB">
            <w:pPr>
              <w:rPr>
                <w:i/>
                <w:sz w:val="22"/>
                <w:szCs w:val="22"/>
              </w:rPr>
            </w:pPr>
          </w:p>
          <w:p w14:paraId="3E1567F2" w14:textId="77777777" w:rsidR="00894ECB" w:rsidRPr="00D927E4" w:rsidRDefault="00894ECB" w:rsidP="00894ECB">
            <w:pPr>
              <w:jc w:val="both"/>
              <w:rPr>
                <w:sz w:val="22"/>
                <w:szCs w:val="22"/>
              </w:rPr>
            </w:pPr>
            <w:r w:rsidRPr="00D927E4">
              <w:rPr>
                <w:sz w:val="22"/>
                <w:szCs w:val="22"/>
              </w:rPr>
              <w:t>Відсутнє нормативне обґрунтування необхідності та можливості запровадження значного збільшення матеріального навантаження на суб’єктів.</w:t>
            </w:r>
          </w:p>
          <w:p w14:paraId="56417B6A" w14:textId="77777777" w:rsidR="00894ECB" w:rsidRPr="00D927E4" w:rsidRDefault="00894ECB" w:rsidP="00894ECB">
            <w:pPr>
              <w:jc w:val="both"/>
              <w:rPr>
                <w:sz w:val="22"/>
                <w:szCs w:val="22"/>
              </w:rPr>
            </w:pPr>
            <w:r w:rsidRPr="00D927E4">
              <w:rPr>
                <w:sz w:val="22"/>
                <w:szCs w:val="22"/>
              </w:rPr>
              <w:t>Пропонований підхід може створити прецеденти суперечності загальноприйнятому принципу неможливості застосування відповідальності за одне й те саме порушення більше одного разу.</w:t>
            </w:r>
          </w:p>
          <w:p w14:paraId="29287CCF" w14:textId="77777777" w:rsidR="00894ECB" w:rsidRPr="00D927E4" w:rsidRDefault="00894ECB" w:rsidP="00894ECB">
            <w:pPr>
              <w:jc w:val="both"/>
              <w:rPr>
                <w:sz w:val="22"/>
                <w:szCs w:val="22"/>
              </w:rPr>
            </w:pPr>
            <w:r w:rsidRPr="00D927E4">
              <w:rPr>
                <w:sz w:val="22"/>
                <w:szCs w:val="22"/>
              </w:rPr>
              <w:t>Пропозиція: відтермінувати питання можливості запровадження після закінчення воєнного стану.</w:t>
            </w:r>
          </w:p>
          <w:p w14:paraId="1148C8E0" w14:textId="77777777" w:rsidR="00894ECB" w:rsidRPr="00D927E4" w:rsidRDefault="00894ECB" w:rsidP="00894ECB">
            <w:pPr>
              <w:rPr>
                <w:i/>
                <w:sz w:val="22"/>
                <w:szCs w:val="22"/>
              </w:rPr>
            </w:pPr>
          </w:p>
          <w:p w14:paraId="304EEB47" w14:textId="77777777" w:rsidR="00894ECB" w:rsidRPr="00D927E4" w:rsidRDefault="00894ECB" w:rsidP="00894ECB">
            <w:pPr>
              <w:rPr>
                <w:i/>
                <w:sz w:val="22"/>
                <w:szCs w:val="22"/>
              </w:rPr>
            </w:pPr>
            <w:r w:rsidRPr="00D927E4">
              <w:rPr>
                <w:i/>
                <w:sz w:val="22"/>
                <w:szCs w:val="22"/>
              </w:rPr>
              <w:t>ОБГРУНТУВАННЯ:</w:t>
            </w:r>
          </w:p>
          <w:p w14:paraId="5EA4DB95" w14:textId="77777777" w:rsidR="00894ECB" w:rsidRPr="00D927E4" w:rsidRDefault="00894ECB" w:rsidP="00894ECB">
            <w:pPr>
              <w:rPr>
                <w:i/>
                <w:sz w:val="22"/>
                <w:szCs w:val="22"/>
              </w:rPr>
            </w:pPr>
          </w:p>
          <w:p w14:paraId="7588C655" w14:textId="77777777" w:rsidR="00894ECB" w:rsidRPr="00D927E4" w:rsidRDefault="00894ECB" w:rsidP="00894ECB">
            <w:pPr>
              <w:jc w:val="both"/>
              <w:rPr>
                <w:sz w:val="22"/>
                <w:szCs w:val="22"/>
              </w:rPr>
            </w:pPr>
            <w:r w:rsidRPr="00D927E4">
              <w:rPr>
                <w:sz w:val="22"/>
                <w:szCs w:val="22"/>
              </w:rPr>
              <w:t>Запровадження такого підходу може суттєво вплинути на</w:t>
            </w:r>
          </w:p>
          <w:p w14:paraId="1B2D979A" w14:textId="77777777" w:rsidR="00894ECB" w:rsidRPr="00D927E4" w:rsidRDefault="00894ECB" w:rsidP="00894ECB">
            <w:pPr>
              <w:jc w:val="both"/>
              <w:rPr>
                <w:sz w:val="22"/>
                <w:szCs w:val="22"/>
              </w:rPr>
            </w:pPr>
            <w:r w:rsidRPr="00D927E4">
              <w:rPr>
                <w:sz w:val="22"/>
                <w:szCs w:val="22"/>
              </w:rPr>
              <w:t>кількість суб’єктів, відповідно, і на величину генерації</w:t>
            </w:r>
          </w:p>
          <w:p w14:paraId="3F1DB800" w14:textId="77777777" w:rsidR="00894ECB" w:rsidRPr="00D927E4" w:rsidRDefault="00894ECB" w:rsidP="00894ECB">
            <w:pPr>
              <w:jc w:val="both"/>
              <w:rPr>
                <w:sz w:val="22"/>
                <w:szCs w:val="22"/>
              </w:rPr>
            </w:pPr>
            <w:r w:rsidRPr="00D927E4">
              <w:rPr>
                <w:sz w:val="22"/>
                <w:szCs w:val="22"/>
              </w:rPr>
              <w:t>електроенергії, що в результаті матиме безповоротні критичні наслідки для енергонезалежності України.</w:t>
            </w:r>
          </w:p>
          <w:p w14:paraId="7228B5A8" w14:textId="77777777" w:rsidR="00894ECB" w:rsidRPr="00D927E4" w:rsidRDefault="00894ECB" w:rsidP="00894ECB">
            <w:pPr>
              <w:jc w:val="both"/>
              <w:rPr>
                <w:sz w:val="22"/>
                <w:szCs w:val="22"/>
              </w:rPr>
            </w:pPr>
            <w:r w:rsidRPr="00D927E4">
              <w:rPr>
                <w:sz w:val="22"/>
                <w:szCs w:val="22"/>
              </w:rPr>
              <w:t>Через різке збільшення матеріального навантаження на суб’єктів може суттєво зменшитись або взагалі зникнути можливість проведення критично необхідних ремонтів</w:t>
            </w:r>
          </w:p>
          <w:p w14:paraId="1ECDF02F" w14:textId="77777777" w:rsidR="00894ECB" w:rsidRPr="00D927E4" w:rsidRDefault="00894ECB" w:rsidP="00894ECB">
            <w:pPr>
              <w:jc w:val="both"/>
              <w:rPr>
                <w:sz w:val="22"/>
                <w:szCs w:val="22"/>
              </w:rPr>
            </w:pPr>
            <w:proofErr w:type="spellStart"/>
            <w:r w:rsidRPr="00D927E4">
              <w:rPr>
                <w:sz w:val="22"/>
                <w:szCs w:val="22"/>
              </w:rPr>
              <w:t>генераційного</w:t>
            </w:r>
            <w:proofErr w:type="spellEnd"/>
            <w:r w:rsidRPr="00D927E4">
              <w:rPr>
                <w:sz w:val="22"/>
                <w:szCs w:val="22"/>
              </w:rPr>
              <w:t xml:space="preserve"> обладнання.</w:t>
            </w:r>
          </w:p>
          <w:p w14:paraId="5D84022E" w14:textId="77777777" w:rsidR="00894ECB" w:rsidRPr="00D927E4" w:rsidRDefault="00894ECB" w:rsidP="00894ECB">
            <w:pPr>
              <w:spacing w:after="120"/>
              <w:jc w:val="both"/>
              <w:rPr>
                <w:i/>
                <w:sz w:val="22"/>
                <w:szCs w:val="22"/>
              </w:rPr>
            </w:pPr>
          </w:p>
        </w:tc>
        <w:tc>
          <w:tcPr>
            <w:tcW w:w="3549" w:type="dxa"/>
          </w:tcPr>
          <w:p w14:paraId="2C548703" w14:textId="77777777" w:rsidR="00894ECB" w:rsidRDefault="00894ECB" w:rsidP="00116F6F">
            <w:pPr>
              <w:jc w:val="both"/>
              <w:rPr>
                <w:b/>
                <w:sz w:val="22"/>
                <w:szCs w:val="22"/>
                <w:shd w:val="clear" w:color="auto" w:fill="FFFFFF"/>
              </w:rPr>
            </w:pPr>
          </w:p>
          <w:p w14:paraId="41CC51EF" w14:textId="77777777" w:rsidR="0089643D" w:rsidRDefault="0089643D" w:rsidP="00116F6F">
            <w:pPr>
              <w:jc w:val="both"/>
              <w:rPr>
                <w:b/>
                <w:sz w:val="22"/>
                <w:szCs w:val="22"/>
                <w:shd w:val="clear" w:color="auto" w:fill="FFFFFF"/>
              </w:rPr>
            </w:pPr>
          </w:p>
          <w:p w14:paraId="5670217A" w14:textId="77777777" w:rsidR="0089643D" w:rsidRDefault="0089643D" w:rsidP="00116F6F">
            <w:pPr>
              <w:jc w:val="both"/>
              <w:rPr>
                <w:b/>
                <w:sz w:val="22"/>
                <w:szCs w:val="22"/>
                <w:shd w:val="clear" w:color="auto" w:fill="FFFFFF"/>
              </w:rPr>
            </w:pPr>
            <w:r>
              <w:rPr>
                <w:b/>
                <w:sz w:val="22"/>
                <w:szCs w:val="22"/>
                <w:shd w:val="clear" w:color="auto" w:fill="FFFFFF"/>
              </w:rPr>
              <w:t>Враховано</w:t>
            </w:r>
          </w:p>
          <w:p w14:paraId="26C1357D" w14:textId="77777777" w:rsidR="00257DFF" w:rsidRDefault="00257DFF" w:rsidP="00116F6F">
            <w:pPr>
              <w:jc w:val="both"/>
              <w:rPr>
                <w:b/>
                <w:sz w:val="22"/>
                <w:szCs w:val="22"/>
                <w:shd w:val="clear" w:color="auto" w:fill="FFFFFF"/>
              </w:rPr>
            </w:pPr>
          </w:p>
          <w:p w14:paraId="5D2DD307" w14:textId="77777777" w:rsidR="00257DFF" w:rsidRDefault="00257DFF" w:rsidP="00116F6F">
            <w:pPr>
              <w:jc w:val="both"/>
              <w:rPr>
                <w:b/>
                <w:sz w:val="22"/>
                <w:szCs w:val="22"/>
                <w:shd w:val="clear" w:color="auto" w:fill="FFFFFF"/>
              </w:rPr>
            </w:pPr>
          </w:p>
          <w:p w14:paraId="42058C7C" w14:textId="77777777" w:rsidR="00257DFF" w:rsidRDefault="00257DFF" w:rsidP="00116F6F">
            <w:pPr>
              <w:jc w:val="both"/>
              <w:rPr>
                <w:b/>
                <w:sz w:val="22"/>
                <w:szCs w:val="22"/>
                <w:shd w:val="clear" w:color="auto" w:fill="FFFFFF"/>
              </w:rPr>
            </w:pPr>
          </w:p>
          <w:p w14:paraId="69EB3BD3" w14:textId="77777777" w:rsidR="00257DFF" w:rsidRDefault="00257DFF" w:rsidP="00116F6F">
            <w:pPr>
              <w:jc w:val="both"/>
              <w:rPr>
                <w:b/>
                <w:sz w:val="22"/>
                <w:szCs w:val="22"/>
                <w:shd w:val="clear" w:color="auto" w:fill="FFFFFF"/>
              </w:rPr>
            </w:pPr>
          </w:p>
          <w:p w14:paraId="0062F223" w14:textId="77777777" w:rsidR="00257DFF" w:rsidRDefault="00257DFF" w:rsidP="00116F6F">
            <w:pPr>
              <w:jc w:val="both"/>
              <w:rPr>
                <w:b/>
                <w:sz w:val="22"/>
                <w:szCs w:val="22"/>
                <w:shd w:val="clear" w:color="auto" w:fill="FFFFFF"/>
              </w:rPr>
            </w:pPr>
          </w:p>
          <w:p w14:paraId="6EEFCC14" w14:textId="77777777" w:rsidR="00257DFF" w:rsidRDefault="00257DFF" w:rsidP="00116F6F">
            <w:pPr>
              <w:jc w:val="both"/>
              <w:rPr>
                <w:b/>
                <w:sz w:val="22"/>
                <w:szCs w:val="22"/>
                <w:shd w:val="clear" w:color="auto" w:fill="FFFFFF"/>
              </w:rPr>
            </w:pPr>
          </w:p>
          <w:p w14:paraId="00751149" w14:textId="77777777" w:rsidR="00257DFF" w:rsidRDefault="00257DFF" w:rsidP="00116F6F">
            <w:pPr>
              <w:jc w:val="both"/>
              <w:rPr>
                <w:b/>
                <w:sz w:val="22"/>
                <w:szCs w:val="22"/>
                <w:shd w:val="clear" w:color="auto" w:fill="FFFFFF"/>
              </w:rPr>
            </w:pPr>
          </w:p>
          <w:p w14:paraId="2624BC51" w14:textId="77777777" w:rsidR="00257DFF" w:rsidRDefault="00257DFF" w:rsidP="00116F6F">
            <w:pPr>
              <w:jc w:val="both"/>
              <w:rPr>
                <w:b/>
                <w:sz w:val="22"/>
                <w:szCs w:val="22"/>
                <w:shd w:val="clear" w:color="auto" w:fill="FFFFFF"/>
              </w:rPr>
            </w:pPr>
          </w:p>
          <w:p w14:paraId="6A593C00" w14:textId="77777777" w:rsidR="00257DFF" w:rsidRDefault="00257DFF" w:rsidP="00116F6F">
            <w:pPr>
              <w:jc w:val="both"/>
              <w:rPr>
                <w:b/>
                <w:sz w:val="22"/>
                <w:szCs w:val="22"/>
                <w:shd w:val="clear" w:color="auto" w:fill="FFFFFF"/>
              </w:rPr>
            </w:pPr>
          </w:p>
          <w:p w14:paraId="7C5FC9C4" w14:textId="77777777" w:rsidR="00257DFF" w:rsidRDefault="00257DFF" w:rsidP="00116F6F">
            <w:pPr>
              <w:jc w:val="both"/>
              <w:rPr>
                <w:b/>
                <w:sz w:val="22"/>
                <w:szCs w:val="22"/>
                <w:shd w:val="clear" w:color="auto" w:fill="FFFFFF"/>
              </w:rPr>
            </w:pPr>
          </w:p>
          <w:p w14:paraId="01CC4CCF" w14:textId="77777777" w:rsidR="00257DFF" w:rsidRDefault="00257DFF" w:rsidP="00116F6F">
            <w:pPr>
              <w:jc w:val="both"/>
              <w:rPr>
                <w:b/>
                <w:sz w:val="22"/>
                <w:szCs w:val="22"/>
                <w:shd w:val="clear" w:color="auto" w:fill="FFFFFF"/>
              </w:rPr>
            </w:pPr>
          </w:p>
          <w:p w14:paraId="15AB4432" w14:textId="77777777" w:rsidR="00257DFF" w:rsidRDefault="00257DFF" w:rsidP="00116F6F">
            <w:pPr>
              <w:jc w:val="both"/>
              <w:rPr>
                <w:b/>
                <w:sz w:val="22"/>
                <w:szCs w:val="22"/>
                <w:shd w:val="clear" w:color="auto" w:fill="FFFFFF"/>
              </w:rPr>
            </w:pPr>
          </w:p>
          <w:p w14:paraId="6663DEF9" w14:textId="77777777" w:rsidR="00257DFF" w:rsidRDefault="00257DFF" w:rsidP="00116F6F">
            <w:pPr>
              <w:jc w:val="both"/>
              <w:rPr>
                <w:b/>
                <w:sz w:val="22"/>
                <w:szCs w:val="22"/>
                <w:shd w:val="clear" w:color="auto" w:fill="FFFFFF"/>
              </w:rPr>
            </w:pPr>
          </w:p>
          <w:p w14:paraId="206DD8C4" w14:textId="77777777" w:rsidR="00257DFF" w:rsidRDefault="00257DFF" w:rsidP="00116F6F">
            <w:pPr>
              <w:jc w:val="both"/>
              <w:rPr>
                <w:b/>
                <w:sz w:val="22"/>
                <w:szCs w:val="22"/>
                <w:shd w:val="clear" w:color="auto" w:fill="FFFFFF"/>
              </w:rPr>
            </w:pPr>
          </w:p>
          <w:p w14:paraId="312196AB" w14:textId="77777777" w:rsidR="00257DFF" w:rsidRDefault="00257DFF" w:rsidP="00116F6F">
            <w:pPr>
              <w:jc w:val="both"/>
              <w:rPr>
                <w:b/>
                <w:sz w:val="22"/>
                <w:szCs w:val="22"/>
                <w:shd w:val="clear" w:color="auto" w:fill="FFFFFF"/>
              </w:rPr>
            </w:pPr>
          </w:p>
          <w:p w14:paraId="709DF230" w14:textId="77777777" w:rsidR="00257DFF" w:rsidRDefault="00257DFF" w:rsidP="00116F6F">
            <w:pPr>
              <w:jc w:val="both"/>
              <w:rPr>
                <w:b/>
                <w:sz w:val="22"/>
                <w:szCs w:val="22"/>
                <w:shd w:val="clear" w:color="auto" w:fill="FFFFFF"/>
              </w:rPr>
            </w:pPr>
          </w:p>
          <w:p w14:paraId="766113FE" w14:textId="77777777" w:rsidR="00257DFF" w:rsidRDefault="00257DFF" w:rsidP="00116F6F">
            <w:pPr>
              <w:jc w:val="both"/>
              <w:rPr>
                <w:b/>
                <w:sz w:val="22"/>
                <w:szCs w:val="22"/>
                <w:shd w:val="clear" w:color="auto" w:fill="FFFFFF"/>
              </w:rPr>
            </w:pPr>
          </w:p>
          <w:p w14:paraId="05490185" w14:textId="77777777" w:rsidR="00257DFF" w:rsidRDefault="00257DFF" w:rsidP="00116F6F">
            <w:pPr>
              <w:jc w:val="both"/>
              <w:rPr>
                <w:b/>
                <w:sz w:val="22"/>
                <w:szCs w:val="22"/>
                <w:shd w:val="clear" w:color="auto" w:fill="FFFFFF"/>
              </w:rPr>
            </w:pPr>
          </w:p>
          <w:p w14:paraId="5CCC03BC" w14:textId="77777777" w:rsidR="00257DFF" w:rsidRDefault="00257DFF" w:rsidP="00116F6F">
            <w:pPr>
              <w:jc w:val="both"/>
              <w:rPr>
                <w:b/>
                <w:sz w:val="22"/>
                <w:szCs w:val="22"/>
                <w:shd w:val="clear" w:color="auto" w:fill="FFFFFF"/>
              </w:rPr>
            </w:pPr>
          </w:p>
          <w:p w14:paraId="19B83AE3" w14:textId="77777777" w:rsidR="00257DFF" w:rsidRDefault="00257DFF" w:rsidP="00116F6F">
            <w:pPr>
              <w:jc w:val="both"/>
              <w:rPr>
                <w:b/>
                <w:sz w:val="22"/>
                <w:szCs w:val="22"/>
                <w:shd w:val="clear" w:color="auto" w:fill="FFFFFF"/>
              </w:rPr>
            </w:pPr>
          </w:p>
          <w:p w14:paraId="4BB7C60B" w14:textId="77777777" w:rsidR="00257DFF" w:rsidRDefault="00257DFF" w:rsidP="00116F6F">
            <w:pPr>
              <w:jc w:val="both"/>
              <w:rPr>
                <w:b/>
                <w:sz w:val="22"/>
                <w:szCs w:val="22"/>
                <w:shd w:val="clear" w:color="auto" w:fill="FFFFFF"/>
              </w:rPr>
            </w:pPr>
          </w:p>
          <w:p w14:paraId="64357AF2" w14:textId="77777777" w:rsidR="00257DFF" w:rsidRDefault="00257DFF" w:rsidP="00116F6F">
            <w:pPr>
              <w:jc w:val="both"/>
              <w:rPr>
                <w:b/>
                <w:sz w:val="22"/>
                <w:szCs w:val="22"/>
                <w:shd w:val="clear" w:color="auto" w:fill="FFFFFF"/>
              </w:rPr>
            </w:pPr>
          </w:p>
          <w:p w14:paraId="72BA85C7" w14:textId="77777777" w:rsidR="00257DFF" w:rsidRDefault="00257DFF" w:rsidP="00116F6F">
            <w:pPr>
              <w:jc w:val="both"/>
              <w:rPr>
                <w:b/>
                <w:sz w:val="22"/>
                <w:szCs w:val="22"/>
                <w:shd w:val="clear" w:color="auto" w:fill="FFFFFF"/>
              </w:rPr>
            </w:pPr>
          </w:p>
          <w:p w14:paraId="78AB2AC3" w14:textId="77777777" w:rsidR="00257DFF" w:rsidRDefault="00257DFF" w:rsidP="00116F6F">
            <w:pPr>
              <w:jc w:val="both"/>
              <w:rPr>
                <w:b/>
                <w:sz w:val="22"/>
                <w:szCs w:val="22"/>
                <w:shd w:val="clear" w:color="auto" w:fill="FFFFFF"/>
              </w:rPr>
            </w:pPr>
          </w:p>
          <w:p w14:paraId="59946443" w14:textId="77777777" w:rsidR="00257DFF" w:rsidRDefault="00257DFF" w:rsidP="00116F6F">
            <w:pPr>
              <w:jc w:val="both"/>
              <w:rPr>
                <w:b/>
                <w:sz w:val="22"/>
                <w:szCs w:val="22"/>
                <w:shd w:val="clear" w:color="auto" w:fill="FFFFFF"/>
              </w:rPr>
            </w:pPr>
          </w:p>
          <w:p w14:paraId="2CD74E0F" w14:textId="77777777" w:rsidR="00257DFF" w:rsidRDefault="00257DFF" w:rsidP="00116F6F">
            <w:pPr>
              <w:jc w:val="both"/>
              <w:rPr>
                <w:b/>
                <w:sz w:val="22"/>
                <w:szCs w:val="22"/>
                <w:shd w:val="clear" w:color="auto" w:fill="FFFFFF"/>
              </w:rPr>
            </w:pPr>
          </w:p>
          <w:p w14:paraId="5ADA689E" w14:textId="77777777" w:rsidR="00257DFF" w:rsidRDefault="00257DFF" w:rsidP="00116F6F">
            <w:pPr>
              <w:jc w:val="both"/>
              <w:rPr>
                <w:b/>
                <w:sz w:val="22"/>
                <w:szCs w:val="22"/>
                <w:shd w:val="clear" w:color="auto" w:fill="FFFFFF"/>
              </w:rPr>
            </w:pPr>
          </w:p>
          <w:p w14:paraId="07EC6712" w14:textId="77777777" w:rsidR="00257DFF" w:rsidRDefault="00257DFF" w:rsidP="00116F6F">
            <w:pPr>
              <w:jc w:val="both"/>
              <w:rPr>
                <w:b/>
                <w:sz w:val="22"/>
                <w:szCs w:val="22"/>
                <w:shd w:val="clear" w:color="auto" w:fill="FFFFFF"/>
              </w:rPr>
            </w:pPr>
          </w:p>
          <w:p w14:paraId="133ABFB6" w14:textId="77777777" w:rsidR="00257DFF" w:rsidRDefault="00257DFF" w:rsidP="00116F6F">
            <w:pPr>
              <w:jc w:val="both"/>
              <w:rPr>
                <w:b/>
                <w:sz w:val="22"/>
                <w:szCs w:val="22"/>
                <w:shd w:val="clear" w:color="auto" w:fill="FFFFFF"/>
              </w:rPr>
            </w:pPr>
          </w:p>
          <w:p w14:paraId="4FD95600" w14:textId="77777777" w:rsidR="00257DFF" w:rsidRDefault="00257DFF" w:rsidP="00116F6F">
            <w:pPr>
              <w:jc w:val="both"/>
              <w:rPr>
                <w:b/>
                <w:sz w:val="22"/>
                <w:szCs w:val="22"/>
                <w:shd w:val="clear" w:color="auto" w:fill="FFFFFF"/>
              </w:rPr>
            </w:pPr>
          </w:p>
          <w:p w14:paraId="5FC51045" w14:textId="77777777" w:rsidR="00257DFF" w:rsidRDefault="00257DFF" w:rsidP="00116F6F">
            <w:pPr>
              <w:jc w:val="both"/>
              <w:rPr>
                <w:b/>
                <w:sz w:val="22"/>
                <w:szCs w:val="22"/>
                <w:shd w:val="clear" w:color="auto" w:fill="FFFFFF"/>
              </w:rPr>
            </w:pPr>
          </w:p>
          <w:p w14:paraId="260E11D7" w14:textId="77777777" w:rsidR="00257DFF" w:rsidRDefault="00257DFF" w:rsidP="00116F6F">
            <w:pPr>
              <w:jc w:val="both"/>
              <w:rPr>
                <w:b/>
                <w:sz w:val="22"/>
                <w:szCs w:val="22"/>
                <w:shd w:val="clear" w:color="auto" w:fill="FFFFFF"/>
              </w:rPr>
            </w:pPr>
          </w:p>
          <w:p w14:paraId="04CF38BB" w14:textId="77777777" w:rsidR="00257DFF" w:rsidRDefault="00257DFF" w:rsidP="00116F6F">
            <w:pPr>
              <w:jc w:val="both"/>
              <w:rPr>
                <w:b/>
                <w:sz w:val="22"/>
                <w:szCs w:val="22"/>
                <w:shd w:val="clear" w:color="auto" w:fill="FFFFFF"/>
              </w:rPr>
            </w:pPr>
          </w:p>
          <w:p w14:paraId="1CC00653" w14:textId="77777777" w:rsidR="00257DFF" w:rsidRDefault="00257DFF" w:rsidP="00116F6F">
            <w:pPr>
              <w:jc w:val="both"/>
              <w:rPr>
                <w:b/>
                <w:sz w:val="22"/>
                <w:szCs w:val="22"/>
                <w:shd w:val="clear" w:color="auto" w:fill="FFFFFF"/>
              </w:rPr>
            </w:pPr>
          </w:p>
          <w:p w14:paraId="0DBF4DF6" w14:textId="77777777" w:rsidR="00257DFF" w:rsidRDefault="00257DFF" w:rsidP="00116F6F">
            <w:pPr>
              <w:jc w:val="both"/>
              <w:rPr>
                <w:b/>
                <w:sz w:val="22"/>
                <w:szCs w:val="22"/>
                <w:shd w:val="clear" w:color="auto" w:fill="FFFFFF"/>
              </w:rPr>
            </w:pPr>
          </w:p>
          <w:p w14:paraId="7F1E857E" w14:textId="77777777" w:rsidR="00257DFF" w:rsidRDefault="00257DFF" w:rsidP="00116F6F">
            <w:pPr>
              <w:jc w:val="both"/>
              <w:rPr>
                <w:b/>
                <w:sz w:val="22"/>
                <w:szCs w:val="22"/>
                <w:shd w:val="clear" w:color="auto" w:fill="FFFFFF"/>
              </w:rPr>
            </w:pPr>
          </w:p>
          <w:p w14:paraId="50F43CA4" w14:textId="77777777" w:rsidR="00257DFF" w:rsidRDefault="00257DFF" w:rsidP="00116F6F">
            <w:pPr>
              <w:jc w:val="both"/>
              <w:rPr>
                <w:b/>
                <w:sz w:val="22"/>
                <w:szCs w:val="22"/>
                <w:shd w:val="clear" w:color="auto" w:fill="FFFFFF"/>
              </w:rPr>
            </w:pPr>
          </w:p>
          <w:p w14:paraId="44C741CF" w14:textId="77777777" w:rsidR="00257DFF" w:rsidRDefault="00257DFF" w:rsidP="00116F6F">
            <w:pPr>
              <w:jc w:val="both"/>
              <w:rPr>
                <w:b/>
                <w:sz w:val="22"/>
                <w:szCs w:val="22"/>
                <w:shd w:val="clear" w:color="auto" w:fill="FFFFFF"/>
              </w:rPr>
            </w:pPr>
          </w:p>
          <w:p w14:paraId="2B34810F" w14:textId="77777777" w:rsidR="00257DFF" w:rsidRDefault="00257DFF" w:rsidP="00116F6F">
            <w:pPr>
              <w:jc w:val="both"/>
              <w:rPr>
                <w:b/>
                <w:sz w:val="22"/>
                <w:szCs w:val="22"/>
                <w:shd w:val="clear" w:color="auto" w:fill="FFFFFF"/>
              </w:rPr>
            </w:pPr>
          </w:p>
          <w:p w14:paraId="1847F4A4" w14:textId="77777777" w:rsidR="00257DFF" w:rsidRPr="00713F9D" w:rsidRDefault="00257DFF" w:rsidP="00116F6F">
            <w:pPr>
              <w:pStyle w:val="af6"/>
              <w:spacing w:after="0" w:line="240" w:lineRule="auto"/>
              <w:ind w:left="0"/>
              <w:jc w:val="both"/>
              <w:rPr>
                <w:rFonts w:ascii="Times New Roman" w:hAnsi="Times New Roman"/>
                <w:lang w:val="uk-UA"/>
              </w:rPr>
            </w:pPr>
            <w:r w:rsidRPr="00713F9D">
              <w:rPr>
                <w:rFonts w:ascii="Times New Roman" w:hAnsi="Times New Roman"/>
                <w:b/>
                <w:lang w:val="uk-UA"/>
              </w:rPr>
              <w:t>Не враховано</w:t>
            </w:r>
          </w:p>
          <w:p w14:paraId="1B810967" w14:textId="77777777" w:rsidR="00257DFF" w:rsidRPr="00713F9D" w:rsidRDefault="00257DFF" w:rsidP="00116F6F">
            <w:pPr>
              <w:pStyle w:val="af6"/>
              <w:spacing w:after="0" w:line="240" w:lineRule="auto"/>
              <w:ind w:left="0"/>
              <w:jc w:val="both"/>
              <w:rPr>
                <w:rFonts w:ascii="Times New Roman" w:hAnsi="Times New Roman"/>
                <w:lang w:val="uk-UA"/>
              </w:rPr>
            </w:pPr>
          </w:p>
          <w:p w14:paraId="40527562" w14:textId="77777777" w:rsidR="00257DFF" w:rsidRDefault="00257DFF" w:rsidP="00116F6F">
            <w:pPr>
              <w:jc w:val="both"/>
              <w:rPr>
                <w:sz w:val="22"/>
                <w:szCs w:val="22"/>
              </w:rPr>
            </w:pPr>
            <w:r>
              <w:rPr>
                <w:sz w:val="22"/>
                <w:szCs w:val="22"/>
              </w:rPr>
              <w:t>Оскільки, як зазначено вище,</w:t>
            </w:r>
            <w:r w:rsidRPr="00257DFF">
              <w:rPr>
                <w:sz w:val="22"/>
                <w:szCs w:val="22"/>
              </w:rPr>
              <w:t xml:space="preserve"> періодом, що перевіряється при проведенні планової перевірки є 1 рік, якщо перевірка проводиться кожний календарний рік</w:t>
            </w:r>
            <w:r>
              <w:rPr>
                <w:sz w:val="22"/>
                <w:szCs w:val="22"/>
              </w:rPr>
              <w:t>, вважаємо за доцільне</w:t>
            </w:r>
            <w:r w:rsidRPr="00257DFF">
              <w:rPr>
                <w:sz w:val="22"/>
                <w:szCs w:val="22"/>
              </w:rPr>
              <w:t xml:space="preserve"> </w:t>
            </w:r>
            <w:r>
              <w:rPr>
                <w:sz w:val="22"/>
                <w:szCs w:val="22"/>
              </w:rPr>
              <w:t>розраховувати розмір штрафу за окреме порушення у кожному окремому звітному періоді.</w:t>
            </w:r>
          </w:p>
          <w:p w14:paraId="366DF696" w14:textId="77777777" w:rsidR="00257DFF" w:rsidRDefault="00257DFF" w:rsidP="00116F6F">
            <w:pPr>
              <w:jc w:val="both"/>
              <w:rPr>
                <w:b/>
                <w:sz w:val="22"/>
                <w:szCs w:val="22"/>
                <w:shd w:val="clear" w:color="auto" w:fill="FFFFFF"/>
              </w:rPr>
            </w:pPr>
          </w:p>
          <w:p w14:paraId="3399A4FF" w14:textId="77777777" w:rsidR="00257DFF" w:rsidRDefault="00257DFF" w:rsidP="00116F6F">
            <w:pPr>
              <w:jc w:val="both"/>
              <w:rPr>
                <w:b/>
                <w:sz w:val="22"/>
                <w:szCs w:val="22"/>
                <w:shd w:val="clear" w:color="auto" w:fill="FFFFFF"/>
              </w:rPr>
            </w:pPr>
          </w:p>
          <w:p w14:paraId="285B8F93" w14:textId="77777777" w:rsidR="00257DFF" w:rsidRDefault="00257DFF" w:rsidP="00116F6F">
            <w:pPr>
              <w:jc w:val="both"/>
              <w:rPr>
                <w:b/>
                <w:sz w:val="22"/>
                <w:szCs w:val="22"/>
                <w:shd w:val="clear" w:color="auto" w:fill="FFFFFF"/>
              </w:rPr>
            </w:pPr>
          </w:p>
          <w:p w14:paraId="5B9FB213" w14:textId="77777777" w:rsidR="00257DFF" w:rsidRDefault="00257DFF" w:rsidP="00116F6F">
            <w:pPr>
              <w:jc w:val="both"/>
              <w:rPr>
                <w:b/>
                <w:sz w:val="22"/>
                <w:szCs w:val="22"/>
                <w:shd w:val="clear" w:color="auto" w:fill="FFFFFF"/>
              </w:rPr>
            </w:pPr>
          </w:p>
          <w:p w14:paraId="187F5B2C" w14:textId="77777777" w:rsidR="00257DFF" w:rsidRDefault="00257DFF" w:rsidP="00116F6F">
            <w:pPr>
              <w:jc w:val="both"/>
              <w:rPr>
                <w:b/>
                <w:sz w:val="22"/>
                <w:szCs w:val="22"/>
                <w:shd w:val="clear" w:color="auto" w:fill="FFFFFF"/>
              </w:rPr>
            </w:pPr>
          </w:p>
          <w:p w14:paraId="68D95969" w14:textId="77777777" w:rsidR="00257DFF" w:rsidRDefault="00257DFF" w:rsidP="00116F6F">
            <w:pPr>
              <w:jc w:val="both"/>
              <w:rPr>
                <w:b/>
                <w:sz w:val="22"/>
                <w:szCs w:val="22"/>
                <w:shd w:val="clear" w:color="auto" w:fill="FFFFFF"/>
              </w:rPr>
            </w:pPr>
            <w:r>
              <w:rPr>
                <w:b/>
                <w:sz w:val="22"/>
                <w:szCs w:val="22"/>
                <w:shd w:val="clear" w:color="auto" w:fill="FFFFFF"/>
              </w:rPr>
              <w:t>Для обговорення</w:t>
            </w:r>
          </w:p>
          <w:p w14:paraId="7547F459" w14:textId="77777777" w:rsidR="00257DFF" w:rsidRDefault="00257DFF" w:rsidP="00116F6F">
            <w:pPr>
              <w:jc w:val="both"/>
              <w:rPr>
                <w:b/>
                <w:sz w:val="22"/>
                <w:szCs w:val="22"/>
                <w:shd w:val="clear" w:color="auto" w:fill="FFFFFF"/>
              </w:rPr>
            </w:pPr>
          </w:p>
          <w:p w14:paraId="6475E70D" w14:textId="77777777" w:rsidR="00257DFF" w:rsidRDefault="00BA3AA6" w:rsidP="00116F6F">
            <w:pPr>
              <w:jc w:val="both"/>
              <w:rPr>
                <w:sz w:val="22"/>
                <w:szCs w:val="22"/>
                <w:shd w:val="clear" w:color="auto" w:fill="FFFFFF"/>
              </w:rPr>
            </w:pPr>
            <w:r>
              <w:rPr>
                <w:sz w:val="22"/>
                <w:szCs w:val="22"/>
                <w:shd w:val="clear" w:color="auto" w:fill="FFFFFF"/>
              </w:rPr>
              <w:t>В частині р</w:t>
            </w:r>
            <w:r w:rsidR="00257DFF" w:rsidRPr="00264759">
              <w:rPr>
                <w:sz w:val="22"/>
                <w:szCs w:val="22"/>
                <w:shd w:val="clear" w:color="auto" w:fill="FFFFFF"/>
              </w:rPr>
              <w:t>едакці</w:t>
            </w:r>
            <w:r>
              <w:rPr>
                <w:sz w:val="22"/>
                <w:szCs w:val="22"/>
                <w:shd w:val="clear" w:color="auto" w:fill="FFFFFF"/>
              </w:rPr>
              <w:t>ї</w:t>
            </w:r>
            <w:r w:rsidR="00257DFF" w:rsidRPr="00264759">
              <w:rPr>
                <w:sz w:val="22"/>
                <w:szCs w:val="22"/>
                <w:shd w:val="clear" w:color="auto" w:fill="FFFFFF"/>
              </w:rPr>
              <w:t xml:space="preserve"> щодо порушен</w:t>
            </w:r>
            <w:r w:rsidR="00264759">
              <w:rPr>
                <w:sz w:val="22"/>
                <w:szCs w:val="22"/>
                <w:shd w:val="clear" w:color="auto" w:fill="FFFFFF"/>
              </w:rPr>
              <w:t xml:space="preserve">ь, </w:t>
            </w:r>
            <w:r w:rsidR="00257DFF" w:rsidRPr="00264759">
              <w:rPr>
                <w:sz w:val="22"/>
                <w:szCs w:val="22"/>
                <w:shd w:val="clear" w:color="auto" w:fill="FFFFFF"/>
              </w:rPr>
              <w:t>як</w:t>
            </w:r>
            <w:r w:rsidR="00264759">
              <w:rPr>
                <w:sz w:val="22"/>
                <w:szCs w:val="22"/>
                <w:shd w:val="clear" w:color="auto" w:fill="FFFFFF"/>
              </w:rPr>
              <w:t>і</w:t>
            </w:r>
            <w:r w:rsidR="00257DFF" w:rsidRPr="00264759">
              <w:rPr>
                <w:sz w:val="22"/>
                <w:szCs w:val="22"/>
                <w:shd w:val="clear" w:color="auto" w:fill="FFFFFF"/>
              </w:rPr>
              <w:t xml:space="preserve"> трива</w:t>
            </w:r>
            <w:r w:rsidR="00264759">
              <w:rPr>
                <w:sz w:val="22"/>
                <w:szCs w:val="22"/>
                <w:shd w:val="clear" w:color="auto" w:fill="FFFFFF"/>
              </w:rPr>
              <w:t>ють</w:t>
            </w:r>
            <w:r w:rsidR="00257DFF" w:rsidRPr="00264759">
              <w:rPr>
                <w:sz w:val="22"/>
                <w:szCs w:val="22"/>
                <w:shd w:val="clear" w:color="auto" w:fill="FFFFFF"/>
              </w:rPr>
              <w:t xml:space="preserve"> у двох та більше </w:t>
            </w:r>
            <w:r w:rsidR="00734F19" w:rsidRPr="00264759">
              <w:rPr>
                <w:sz w:val="22"/>
                <w:szCs w:val="22"/>
                <w:shd w:val="clear" w:color="auto" w:fill="FFFFFF"/>
              </w:rPr>
              <w:t>звітних роках</w:t>
            </w:r>
          </w:p>
          <w:p w14:paraId="1A2DCD25" w14:textId="77777777" w:rsidR="00264759" w:rsidRDefault="00264759" w:rsidP="00116F6F">
            <w:pPr>
              <w:jc w:val="both"/>
              <w:rPr>
                <w:sz w:val="22"/>
                <w:szCs w:val="22"/>
                <w:shd w:val="clear" w:color="auto" w:fill="FFFFFF"/>
              </w:rPr>
            </w:pPr>
          </w:p>
          <w:p w14:paraId="6A23BBBC" w14:textId="77777777" w:rsidR="00264759" w:rsidRDefault="00264759" w:rsidP="00116F6F">
            <w:pPr>
              <w:jc w:val="both"/>
              <w:rPr>
                <w:sz w:val="22"/>
                <w:szCs w:val="22"/>
                <w:shd w:val="clear" w:color="auto" w:fill="FFFFFF"/>
              </w:rPr>
            </w:pPr>
          </w:p>
          <w:p w14:paraId="77E61D72" w14:textId="77777777" w:rsidR="00264759" w:rsidRDefault="00264759" w:rsidP="00116F6F">
            <w:pPr>
              <w:jc w:val="both"/>
              <w:rPr>
                <w:sz w:val="22"/>
                <w:szCs w:val="22"/>
                <w:shd w:val="clear" w:color="auto" w:fill="FFFFFF"/>
              </w:rPr>
            </w:pPr>
          </w:p>
          <w:p w14:paraId="52048BCF" w14:textId="77777777" w:rsidR="00264759" w:rsidRDefault="00264759" w:rsidP="00116F6F">
            <w:pPr>
              <w:jc w:val="both"/>
              <w:rPr>
                <w:sz w:val="22"/>
                <w:szCs w:val="22"/>
                <w:shd w:val="clear" w:color="auto" w:fill="FFFFFF"/>
              </w:rPr>
            </w:pPr>
          </w:p>
          <w:p w14:paraId="13746589" w14:textId="77777777" w:rsidR="00264759" w:rsidRDefault="00264759" w:rsidP="00116F6F">
            <w:pPr>
              <w:jc w:val="both"/>
              <w:rPr>
                <w:sz w:val="22"/>
                <w:szCs w:val="22"/>
                <w:shd w:val="clear" w:color="auto" w:fill="FFFFFF"/>
              </w:rPr>
            </w:pPr>
          </w:p>
          <w:p w14:paraId="7367EA5F" w14:textId="77777777" w:rsidR="00264759" w:rsidRDefault="00264759" w:rsidP="00116F6F">
            <w:pPr>
              <w:jc w:val="both"/>
              <w:rPr>
                <w:sz w:val="22"/>
                <w:szCs w:val="22"/>
                <w:shd w:val="clear" w:color="auto" w:fill="FFFFFF"/>
              </w:rPr>
            </w:pPr>
          </w:p>
          <w:p w14:paraId="749721CA" w14:textId="77777777" w:rsidR="00264759" w:rsidRDefault="00264759" w:rsidP="00116F6F">
            <w:pPr>
              <w:jc w:val="both"/>
              <w:rPr>
                <w:sz w:val="22"/>
                <w:szCs w:val="22"/>
                <w:shd w:val="clear" w:color="auto" w:fill="FFFFFF"/>
              </w:rPr>
            </w:pPr>
          </w:p>
          <w:p w14:paraId="64F83625" w14:textId="77777777" w:rsidR="00264759" w:rsidRDefault="00264759" w:rsidP="00116F6F">
            <w:pPr>
              <w:jc w:val="both"/>
              <w:rPr>
                <w:sz w:val="22"/>
                <w:szCs w:val="22"/>
                <w:shd w:val="clear" w:color="auto" w:fill="FFFFFF"/>
              </w:rPr>
            </w:pPr>
          </w:p>
          <w:p w14:paraId="21421BB6" w14:textId="77777777" w:rsidR="00264759" w:rsidRDefault="00264759" w:rsidP="00116F6F">
            <w:pPr>
              <w:jc w:val="both"/>
              <w:rPr>
                <w:sz w:val="22"/>
                <w:szCs w:val="22"/>
                <w:shd w:val="clear" w:color="auto" w:fill="FFFFFF"/>
              </w:rPr>
            </w:pPr>
          </w:p>
          <w:p w14:paraId="002DC8AC" w14:textId="77777777" w:rsidR="00264759" w:rsidRDefault="00264759" w:rsidP="00116F6F">
            <w:pPr>
              <w:jc w:val="both"/>
              <w:rPr>
                <w:sz w:val="22"/>
                <w:szCs w:val="22"/>
                <w:shd w:val="clear" w:color="auto" w:fill="FFFFFF"/>
              </w:rPr>
            </w:pPr>
          </w:p>
          <w:p w14:paraId="777820C2" w14:textId="77777777" w:rsidR="00264759" w:rsidRDefault="00264759" w:rsidP="00116F6F">
            <w:pPr>
              <w:jc w:val="both"/>
              <w:rPr>
                <w:sz w:val="22"/>
                <w:szCs w:val="22"/>
                <w:shd w:val="clear" w:color="auto" w:fill="FFFFFF"/>
              </w:rPr>
            </w:pPr>
          </w:p>
          <w:p w14:paraId="568DAE1C" w14:textId="77777777" w:rsidR="00264759" w:rsidRDefault="00264759" w:rsidP="00116F6F">
            <w:pPr>
              <w:jc w:val="both"/>
              <w:rPr>
                <w:sz w:val="22"/>
                <w:szCs w:val="22"/>
                <w:shd w:val="clear" w:color="auto" w:fill="FFFFFF"/>
              </w:rPr>
            </w:pPr>
          </w:p>
          <w:p w14:paraId="145D4529" w14:textId="77777777" w:rsidR="00264759" w:rsidRDefault="00264759" w:rsidP="00116F6F">
            <w:pPr>
              <w:jc w:val="both"/>
              <w:rPr>
                <w:sz w:val="22"/>
                <w:szCs w:val="22"/>
                <w:shd w:val="clear" w:color="auto" w:fill="FFFFFF"/>
              </w:rPr>
            </w:pPr>
          </w:p>
          <w:p w14:paraId="5932F954" w14:textId="77777777" w:rsidR="00264759" w:rsidRDefault="00264759" w:rsidP="00116F6F">
            <w:pPr>
              <w:jc w:val="both"/>
              <w:rPr>
                <w:sz w:val="22"/>
                <w:szCs w:val="22"/>
                <w:shd w:val="clear" w:color="auto" w:fill="FFFFFF"/>
              </w:rPr>
            </w:pPr>
          </w:p>
          <w:p w14:paraId="1393F7A4" w14:textId="77777777" w:rsidR="00264759" w:rsidRDefault="00264759" w:rsidP="00116F6F">
            <w:pPr>
              <w:jc w:val="both"/>
              <w:rPr>
                <w:sz w:val="22"/>
                <w:szCs w:val="22"/>
                <w:shd w:val="clear" w:color="auto" w:fill="FFFFFF"/>
              </w:rPr>
            </w:pPr>
          </w:p>
          <w:p w14:paraId="2E90062D" w14:textId="77777777" w:rsidR="00264759" w:rsidRDefault="00264759" w:rsidP="00116F6F">
            <w:pPr>
              <w:jc w:val="both"/>
              <w:rPr>
                <w:sz w:val="22"/>
                <w:szCs w:val="22"/>
                <w:shd w:val="clear" w:color="auto" w:fill="FFFFFF"/>
              </w:rPr>
            </w:pPr>
          </w:p>
          <w:p w14:paraId="6649BDA5" w14:textId="77777777" w:rsidR="00264759" w:rsidRDefault="00264759" w:rsidP="00116F6F">
            <w:pPr>
              <w:jc w:val="both"/>
              <w:rPr>
                <w:sz w:val="22"/>
                <w:szCs w:val="22"/>
                <w:shd w:val="clear" w:color="auto" w:fill="FFFFFF"/>
              </w:rPr>
            </w:pPr>
          </w:p>
          <w:p w14:paraId="35FD3FDA" w14:textId="77777777" w:rsidR="00264759" w:rsidRDefault="00264759" w:rsidP="00116F6F">
            <w:pPr>
              <w:jc w:val="both"/>
              <w:rPr>
                <w:sz w:val="22"/>
                <w:szCs w:val="22"/>
                <w:shd w:val="clear" w:color="auto" w:fill="FFFFFF"/>
              </w:rPr>
            </w:pPr>
          </w:p>
          <w:p w14:paraId="4F877106" w14:textId="77777777" w:rsidR="00264759" w:rsidRDefault="00264759" w:rsidP="00116F6F">
            <w:pPr>
              <w:jc w:val="both"/>
              <w:rPr>
                <w:sz w:val="22"/>
                <w:szCs w:val="22"/>
                <w:shd w:val="clear" w:color="auto" w:fill="FFFFFF"/>
              </w:rPr>
            </w:pPr>
          </w:p>
          <w:p w14:paraId="1A07E36D" w14:textId="77777777" w:rsidR="00264759" w:rsidRDefault="00264759" w:rsidP="00116F6F">
            <w:pPr>
              <w:jc w:val="both"/>
              <w:rPr>
                <w:sz w:val="22"/>
                <w:szCs w:val="22"/>
                <w:shd w:val="clear" w:color="auto" w:fill="FFFFFF"/>
              </w:rPr>
            </w:pPr>
          </w:p>
          <w:p w14:paraId="3BAC83D2" w14:textId="77777777" w:rsidR="00264759" w:rsidRDefault="00264759" w:rsidP="00116F6F">
            <w:pPr>
              <w:jc w:val="both"/>
              <w:rPr>
                <w:sz w:val="22"/>
                <w:szCs w:val="22"/>
                <w:shd w:val="clear" w:color="auto" w:fill="FFFFFF"/>
              </w:rPr>
            </w:pPr>
          </w:p>
          <w:p w14:paraId="6449E41B" w14:textId="77777777" w:rsidR="00264759" w:rsidRDefault="00264759" w:rsidP="00116F6F">
            <w:pPr>
              <w:jc w:val="both"/>
              <w:rPr>
                <w:sz w:val="22"/>
                <w:szCs w:val="22"/>
                <w:shd w:val="clear" w:color="auto" w:fill="FFFFFF"/>
              </w:rPr>
            </w:pPr>
          </w:p>
          <w:p w14:paraId="01C0D154" w14:textId="77777777" w:rsidR="00264759" w:rsidRDefault="00264759" w:rsidP="00116F6F">
            <w:pPr>
              <w:jc w:val="both"/>
              <w:rPr>
                <w:sz w:val="22"/>
                <w:szCs w:val="22"/>
                <w:shd w:val="clear" w:color="auto" w:fill="FFFFFF"/>
              </w:rPr>
            </w:pPr>
          </w:p>
          <w:p w14:paraId="5D2B3E1C" w14:textId="77777777" w:rsidR="00264759" w:rsidRDefault="00264759" w:rsidP="00116F6F">
            <w:pPr>
              <w:jc w:val="both"/>
              <w:rPr>
                <w:sz w:val="22"/>
                <w:szCs w:val="22"/>
                <w:shd w:val="clear" w:color="auto" w:fill="FFFFFF"/>
              </w:rPr>
            </w:pPr>
          </w:p>
          <w:p w14:paraId="5EFA93A9" w14:textId="77777777" w:rsidR="00264759" w:rsidRDefault="00264759" w:rsidP="00116F6F">
            <w:pPr>
              <w:jc w:val="both"/>
              <w:rPr>
                <w:sz w:val="22"/>
                <w:szCs w:val="22"/>
                <w:shd w:val="clear" w:color="auto" w:fill="FFFFFF"/>
              </w:rPr>
            </w:pPr>
          </w:p>
          <w:p w14:paraId="4DFFA2EB" w14:textId="77777777" w:rsidR="00264759" w:rsidRDefault="00264759" w:rsidP="00116F6F">
            <w:pPr>
              <w:jc w:val="both"/>
              <w:rPr>
                <w:sz w:val="22"/>
                <w:szCs w:val="22"/>
                <w:shd w:val="clear" w:color="auto" w:fill="FFFFFF"/>
              </w:rPr>
            </w:pPr>
          </w:p>
          <w:p w14:paraId="6319FA1E" w14:textId="77777777" w:rsidR="00264759" w:rsidRDefault="00264759" w:rsidP="00116F6F">
            <w:pPr>
              <w:jc w:val="both"/>
              <w:rPr>
                <w:sz w:val="22"/>
                <w:szCs w:val="22"/>
                <w:shd w:val="clear" w:color="auto" w:fill="FFFFFF"/>
              </w:rPr>
            </w:pPr>
          </w:p>
          <w:p w14:paraId="769D4E8D" w14:textId="77777777" w:rsidR="00264759" w:rsidRDefault="00264759" w:rsidP="00116F6F">
            <w:pPr>
              <w:jc w:val="both"/>
              <w:rPr>
                <w:b/>
                <w:sz w:val="22"/>
                <w:szCs w:val="22"/>
                <w:shd w:val="clear" w:color="auto" w:fill="FFFFFF"/>
              </w:rPr>
            </w:pPr>
            <w:r>
              <w:rPr>
                <w:b/>
                <w:sz w:val="22"/>
                <w:szCs w:val="22"/>
                <w:shd w:val="clear" w:color="auto" w:fill="FFFFFF"/>
              </w:rPr>
              <w:t>Для обговорення</w:t>
            </w:r>
          </w:p>
          <w:p w14:paraId="0BDB6885" w14:textId="77777777" w:rsidR="00BA3AA6" w:rsidRDefault="00BA3AA6" w:rsidP="00116F6F">
            <w:pPr>
              <w:jc w:val="both"/>
              <w:rPr>
                <w:b/>
                <w:sz w:val="22"/>
                <w:szCs w:val="22"/>
                <w:shd w:val="clear" w:color="auto" w:fill="FFFFFF"/>
              </w:rPr>
            </w:pPr>
          </w:p>
          <w:p w14:paraId="7B455C01" w14:textId="77777777" w:rsidR="00BA3AA6" w:rsidRDefault="00BA3AA6" w:rsidP="00116F6F">
            <w:pPr>
              <w:jc w:val="both"/>
              <w:rPr>
                <w:sz w:val="22"/>
                <w:szCs w:val="22"/>
                <w:shd w:val="clear" w:color="auto" w:fill="FFFFFF"/>
              </w:rPr>
            </w:pPr>
            <w:r>
              <w:rPr>
                <w:sz w:val="22"/>
                <w:szCs w:val="22"/>
                <w:shd w:val="clear" w:color="auto" w:fill="FFFFFF"/>
              </w:rPr>
              <w:t>В частині р</w:t>
            </w:r>
            <w:r w:rsidRPr="00264759">
              <w:rPr>
                <w:sz w:val="22"/>
                <w:szCs w:val="22"/>
                <w:shd w:val="clear" w:color="auto" w:fill="FFFFFF"/>
              </w:rPr>
              <w:t>едакці</w:t>
            </w:r>
            <w:r>
              <w:rPr>
                <w:sz w:val="22"/>
                <w:szCs w:val="22"/>
                <w:shd w:val="clear" w:color="auto" w:fill="FFFFFF"/>
              </w:rPr>
              <w:t>ї</w:t>
            </w:r>
            <w:r w:rsidRPr="00264759">
              <w:rPr>
                <w:sz w:val="22"/>
                <w:szCs w:val="22"/>
                <w:shd w:val="clear" w:color="auto" w:fill="FFFFFF"/>
              </w:rPr>
              <w:t xml:space="preserve"> щодо порушен</w:t>
            </w:r>
            <w:r>
              <w:rPr>
                <w:sz w:val="22"/>
                <w:szCs w:val="22"/>
                <w:shd w:val="clear" w:color="auto" w:fill="FFFFFF"/>
              </w:rPr>
              <w:t xml:space="preserve">ь, </w:t>
            </w:r>
            <w:r w:rsidRPr="00264759">
              <w:rPr>
                <w:sz w:val="22"/>
                <w:szCs w:val="22"/>
                <w:shd w:val="clear" w:color="auto" w:fill="FFFFFF"/>
              </w:rPr>
              <w:t>як</w:t>
            </w:r>
            <w:r>
              <w:rPr>
                <w:sz w:val="22"/>
                <w:szCs w:val="22"/>
                <w:shd w:val="clear" w:color="auto" w:fill="FFFFFF"/>
              </w:rPr>
              <w:t>і</w:t>
            </w:r>
            <w:r w:rsidRPr="00264759">
              <w:rPr>
                <w:sz w:val="22"/>
                <w:szCs w:val="22"/>
                <w:shd w:val="clear" w:color="auto" w:fill="FFFFFF"/>
              </w:rPr>
              <w:t xml:space="preserve"> трива</w:t>
            </w:r>
            <w:r>
              <w:rPr>
                <w:sz w:val="22"/>
                <w:szCs w:val="22"/>
                <w:shd w:val="clear" w:color="auto" w:fill="FFFFFF"/>
              </w:rPr>
              <w:t>ють</w:t>
            </w:r>
            <w:r w:rsidRPr="00264759">
              <w:rPr>
                <w:sz w:val="22"/>
                <w:szCs w:val="22"/>
                <w:shd w:val="clear" w:color="auto" w:fill="FFFFFF"/>
              </w:rPr>
              <w:t xml:space="preserve"> у двох та більше звітних роках</w:t>
            </w:r>
          </w:p>
          <w:p w14:paraId="2EE77A37" w14:textId="77777777" w:rsidR="009C6C08" w:rsidRDefault="009C6C08" w:rsidP="00116F6F">
            <w:pPr>
              <w:jc w:val="both"/>
              <w:rPr>
                <w:sz w:val="22"/>
                <w:szCs w:val="22"/>
                <w:shd w:val="clear" w:color="auto" w:fill="FFFFFF"/>
              </w:rPr>
            </w:pPr>
          </w:p>
          <w:p w14:paraId="01486088" w14:textId="77777777" w:rsidR="009C6C08" w:rsidRDefault="009C6C08" w:rsidP="00116F6F">
            <w:pPr>
              <w:jc w:val="both"/>
              <w:rPr>
                <w:sz w:val="22"/>
                <w:szCs w:val="22"/>
                <w:shd w:val="clear" w:color="auto" w:fill="FFFFFF"/>
              </w:rPr>
            </w:pPr>
          </w:p>
          <w:p w14:paraId="50ABFEFF" w14:textId="77777777" w:rsidR="009C6C08" w:rsidRDefault="009C6C08" w:rsidP="00116F6F">
            <w:pPr>
              <w:jc w:val="both"/>
              <w:rPr>
                <w:sz w:val="22"/>
                <w:szCs w:val="22"/>
                <w:shd w:val="clear" w:color="auto" w:fill="FFFFFF"/>
              </w:rPr>
            </w:pPr>
          </w:p>
          <w:p w14:paraId="71626250" w14:textId="77777777" w:rsidR="009C6C08" w:rsidRDefault="009C6C08" w:rsidP="00116F6F">
            <w:pPr>
              <w:jc w:val="both"/>
              <w:rPr>
                <w:sz w:val="22"/>
                <w:szCs w:val="22"/>
                <w:shd w:val="clear" w:color="auto" w:fill="FFFFFF"/>
              </w:rPr>
            </w:pPr>
          </w:p>
          <w:p w14:paraId="66628F05" w14:textId="77777777" w:rsidR="009C6C08" w:rsidRDefault="009C6C08" w:rsidP="00116F6F">
            <w:pPr>
              <w:jc w:val="both"/>
              <w:rPr>
                <w:sz w:val="22"/>
                <w:szCs w:val="22"/>
                <w:shd w:val="clear" w:color="auto" w:fill="FFFFFF"/>
              </w:rPr>
            </w:pPr>
          </w:p>
          <w:p w14:paraId="6E15ABAC" w14:textId="77777777" w:rsidR="009C6C08" w:rsidRDefault="009C6C08" w:rsidP="00116F6F">
            <w:pPr>
              <w:jc w:val="both"/>
              <w:rPr>
                <w:sz w:val="22"/>
                <w:szCs w:val="22"/>
                <w:shd w:val="clear" w:color="auto" w:fill="FFFFFF"/>
              </w:rPr>
            </w:pPr>
          </w:p>
          <w:p w14:paraId="5067E529" w14:textId="77777777" w:rsidR="009C6C08" w:rsidRDefault="009C6C08" w:rsidP="00116F6F">
            <w:pPr>
              <w:jc w:val="both"/>
              <w:rPr>
                <w:sz w:val="22"/>
                <w:szCs w:val="22"/>
                <w:shd w:val="clear" w:color="auto" w:fill="FFFFFF"/>
              </w:rPr>
            </w:pPr>
          </w:p>
          <w:p w14:paraId="3CCF4384" w14:textId="77777777" w:rsidR="009C6C08" w:rsidRDefault="009C6C08" w:rsidP="00116F6F">
            <w:pPr>
              <w:jc w:val="both"/>
              <w:rPr>
                <w:sz w:val="22"/>
                <w:szCs w:val="22"/>
                <w:shd w:val="clear" w:color="auto" w:fill="FFFFFF"/>
              </w:rPr>
            </w:pPr>
          </w:p>
          <w:p w14:paraId="765DEED3" w14:textId="77777777" w:rsidR="009C6C08" w:rsidRDefault="009C6C08" w:rsidP="00116F6F">
            <w:pPr>
              <w:jc w:val="both"/>
              <w:rPr>
                <w:sz w:val="22"/>
                <w:szCs w:val="22"/>
                <w:shd w:val="clear" w:color="auto" w:fill="FFFFFF"/>
              </w:rPr>
            </w:pPr>
          </w:p>
          <w:p w14:paraId="0CA0069F" w14:textId="77777777" w:rsidR="009C6C08" w:rsidRDefault="009C6C08" w:rsidP="00116F6F">
            <w:pPr>
              <w:jc w:val="both"/>
              <w:rPr>
                <w:sz w:val="22"/>
                <w:szCs w:val="22"/>
                <w:shd w:val="clear" w:color="auto" w:fill="FFFFFF"/>
              </w:rPr>
            </w:pPr>
          </w:p>
          <w:p w14:paraId="722ABFE0" w14:textId="77777777" w:rsidR="009C6C08" w:rsidRDefault="009C6C08" w:rsidP="00116F6F">
            <w:pPr>
              <w:jc w:val="both"/>
              <w:rPr>
                <w:sz w:val="22"/>
                <w:szCs w:val="22"/>
                <w:shd w:val="clear" w:color="auto" w:fill="FFFFFF"/>
              </w:rPr>
            </w:pPr>
          </w:p>
          <w:p w14:paraId="6D0FE477" w14:textId="77777777" w:rsidR="009C6C08" w:rsidRDefault="009C6C08" w:rsidP="00116F6F">
            <w:pPr>
              <w:jc w:val="both"/>
              <w:rPr>
                <w:sz w:val="22"/>
                <w:szCs w:val="22"/>
                <w:shd w:val="clear" w:color="auto" w:fill="FFFFFF"/>
              </w:rPr>
            </w:pPr>
          </w:p>
          <w:p w14:paraId="15BC9F3F" w14:textId="77777777" w:rsidR="009C6C08" w:rsidRDefault="009C6C08" w:rsidP="00116F6F">
            <w:pPr>
              <w:jc w:val="both"/>
              <w:rPr>
                <w:sz w:val="22"/>
                <w:szCs w:val="22"/>
                <w:shd w:val="clear" w:color="auto" w:fill="FFFFFF"/>
              </w:rPr>
            </w:pPr>
          </w:p>
          <w:p w14:paraId="0035EAAA" w14:textId="77777777" w:rsidR="009C6C08" w:rsidRDefault="009C6C08" w:rsidP="00116F6F">
            <w:pPr>
              <w:jc w:val="both"/>
              <w:rPr>
                <w:sz w:val="22"/>
                <w:szCs w:val="22"/>
                <w:shd w:val="clear" w:color="auto" w:fill="FFFFFF"/>
              </w:rPr>
            </w:pPr>
          </w:p>
          <w:p w14:paraId="2F7826C5" w14:textId="77777777" w:rsidR="009C6C08" w:rsidRDefault="009C6C08" w:rsidP="00116F6F">
            <w:pPr>
              <w:jc w:val="both"/>
              <w:rPr>
                <w:sz w:val="22"/>
                <w:szCs w:val="22"/>
                <w:shd w:val="clear" w:color="auto" w:fill="FFFFFF"/>
              </w:rPr>
            </w:pPr>
          </w:p>
          <w:p w14:paraId="2F741116" w14:textId="77777777" w:rsidR="009C6C08" w:rsidRDefault="009C6C08" w:rsidP="00116F6F">
            <w:pPr>
              <w:jc w:val="both"/>
              <w:rPr>
                <w:sz w:val="22"/>
                <w:szCs w:val="22"/>
                <w:shd w:val="clear" w:color="auto" w:fill="FFFFFF"/>
              </w:rPr>
            </w:pPr>
          </w:p>
          <w:p w14:paraId="12C03FBA" w14:textId="77777777" w:rsidR="009C6C08" w:rsidRDefault="009C6C08" w:rsidP="00116F6F">
            <w:pPr>
              <w:jc w:val="both"/>
              <w:rPr>
                <w:sz w:val="22"/>
                <w:szCs w:val="22"/>
                <w:shd w:val="clear" w:color="auto" w:fill="FFFFFF"/>
              </w:rPr>
            </w:pPr>
          </w:p>
          <w:p w14:paraId="74598807" w14:textId="77777777" w:rsidR="009C6C08" w:rsidRDefault="009C6C08" w:rsidP="00116F6F">
            <w:pPr>
              <w:jc w:val="both"/>
              <w:rPr>
                <w:sz w:val="22"/>
                <w:szCs w:val="22"/>
                <w:shd w:val="clear" w:color="auto" w:fill="FFFFFF"/>
              </w:rPr>
            </w:pPr>
          </w:p>
          <w:p w14:paraId="29C45CFF" w14:textId="77777777" w:rsidR="009C6C08" w:rsidRDefault="009C6C08" w:rsidP="00116F6F">
            <w:pPr>
              <w:jc w:val="both"/>
              <w:rPr>
                <w:sz w:val="22"/>
                <w:szCs w:val="22"/>
                <w:shd w:val="clear" w:color="auto" w:fill="FFFFFF"/>
              </w:rPr>
            </w:pPr>
          </w:p>
          <w:p w14:paraId="6D305E34" w14:textId="77777777" w:rsidR="009C6C08" w:rsidRDefault="009C6C08" w:rsidP="00116F6F">
            <w:pPr>
              <w:jc w:val="both"/>
              <w:rPr>
                <w:sz w:val="22"/>
                <w:szCs w:val="22"/>
                <w:shd w:val="clear" w:color="auto" w:fill="FFFFFF"/>
              </w:rPr>
            </w:pPr>
          </w:p>
          <w:p w14:paraId="739ADA3D" w14:textId="77777777" w:rsidR="009C6C08" w:rsidRDefault="009C6C08" w:rsidP="00116F6F">
            <w:pPr>
              <w:jc w:val="both"/>
              <w:rPr>
                <w:sz w:val="22"/>
                <w:szCs w:val="22"/>
                <w:shd w:val="clear" w:color="auto" w:fill="FFFFFF"/>
              </w:rPr>
            </w:pPr>
          </w:p>
          <w:p w14:paraId="16B33EFD" w14:textId="77777777" w:rsidR="009C6C08" w:rsidRDefault="009C6C08" w:rsidP="00116F6F">
            <w:pPr>
              <w:jc w:val="both"/>
              <w:rPr>
                <w:sz w:val="22"/>
                <w:szCs w:val="22"/>
                <w:shd w:val="clear" w:color="auto" w:fill="FFFFFF"/>
              </w:rPr>
            </w:pPr>
          </w:p>
          <w:p w14:paraId="758427E1" w14:textId="77777777" w:rsidR="009C6C08" w:rsidRDefault="009C6C08" w:rsidP="00116F6F">
            <w:pPr>
              <w:jc w:val="both"/>
              <w:rPr>
                <w:sz w:val="22"/>
                <w:szCs w:val="22"/>
                <w:shd w:val="clear" w:color="auto" w:fill="FFFFFF"/>
              </w:rPr>
            </w:pPr>
          </w:p>
          <w:p w14:paraId="69FAD6E0" w14:textId="77777777" w:rsidR="009C6C08" w:rsidRDefault="009C6C08" w:rsidP="00116F6F">
            <w:pPr>
              <w:jc w:val="both"/>
              <w:rPr>
                <w:sz w:val="22"/>
                <w:szCs w:val="22"/>
                <w:shd w:val="clear" w:color="auto" w:fill="FFFFFF"/>
              </w:rPr>
            </w:pPr>
          </w:p>
          <w:p w14:paraId="57123E31" w14:textId="77777777" w:rsidR="009C6C08" w:rsidRDefault="009C6C08" w:rsidP="00116F6F">
            <w:pPr>
              <w:jc w:val="both"/>
              <w:rPr>
                <w:sz w:val="22"/>
                <w:szCs w:val="22"/>
                <w:shd w:val="clear" w:color="auto" w:fill="FFFFFF"/>
              </w:rPr>
            </w:pPr>
          </w:p>
          <w:p w14:paraId="71E8D070" w14:textId="77777777" w:rsidR="009C6C08" w:rsidRDefault="009C6C08" w:rsidP="00116F6F">
            <w:pPr>
              <w:jc w:val="both"/>
              <w:rPr>
                <w:sz w:val="22"/>
                <w:szCs w:val="22"/>
                <w:shd w:val="clear" w:color="auto" w:fill="FFFFFF"/>
              </w:rPr>
            </w:pPr>
          </w:p>
          <w:p w14:paraId="0B915572" w14:textId="77777777" w:rsidR="009C6C08" w:rsidRDefault="009C6C08" w:rsidP="00116F6F">
            <w:pPr>
              <w:jc w:val="both"/>
              <w:rPr>
                <w:sz w:val="22"/>
                <w:szCs w:val="22"/>
                <w:shd w:val="clear" w:color="auto" w:fill="FFFFFF"/>
              </w:rPr>
            </w:pPr>
          </w:p>
          <w:p w14:paraId="6187BA86" w14:textId="77777777" w:rsidR="009C6C08" w:rsidRDefault="009C6C08" w:rsidP="00116F6F">
            <w:pPr>
              <w:jc w:val="both"/>
              <w:rPr>
                <w:sz w:val="22"/>
                <w:szCs w:val="22"/>
                <w:shd w:val="clear" w:color="auto" w:fill="FFFFFF"/>
              </w:rPr>
            </w:pPr>
          </w:p>
          <w:p w14:paraId="2F0B84CA" w14:textId="77777777" w:rsidR="009C6C08" w:rsidRDefault="009C6C08" w:rsidP="00116F6F">
            <w:pPr>
              <w:jc w:val="both"/>
              <w:rPr>
                <w:sz w:val="22"/>
                <w:szCs w:val="22"/>
                <w:shd w:val="clear" w:color="auto" w:fill="FFFFFF"/>
              </w:rPr>
            </w:pPr>
          </w:p>
          <w:p w14:paraId="67F2189D" w14:textId="77777777" w:rsidR="009C6C08" w:rsidRDefault="009C6C08" w:rsidP="00116F6F">
            <w:pPr>
              <w:jc w:val="both"/>
              <w:rPr>
                <w:sz w:val="22"/>
                <w:szCs w:val="22"/>
                <w:shd w:val="clear" w:color="auto" w:fill="FFFFFF"/>
              </w:rPr>
            </w:pPr>
          </w:p>
          <w:p w14:paraId="4DA73A11" w14:textId="77777777" w:rsidR="009C6C08" w:rsidRDefault="009C6C08" w:rsidP="00116F6F">
            <w:pPr>
              <w:jc w:val="both"/>
              <w:rPr>
                <w:sz w:val="22"/>
                <w:szCs w:val="22"/>
                <w:shd w:val="clear" w:color="auto" w:fill="FFFFFF"/>
              </w:rPr>
            </w:pPr>
          </w:p>
          <w:p w14:paraId="236B81C2" w14:textId="77777777" w:rsidR="009C6C08" w:rsidRDefault="009C6C08" w:rsidP="00116F6F">
            <w:pPr>
              <w:jc w:val="both"/>
              <w:rPr>
                <w:sz w:val="22"/>
                <w:szCs w:val="22"/>
                <w:shd w:val="clear" w:color="auto" w:fill="FFFFFF"/>
              </w:rPr>
            </w:pPr>
          </w:p>
          <w:p w14:paraId="6E5DB24F" w14:textId="77777777" w:rsidR="009C6C08" w:rsidRDefault="009C6C08" w:rsidP="00116F6F">
            <w:pPr>
              <w:jc w:val="both"/>
              <w:rPr>
                <w:sz w:val="22"/>
                <w:szCs w:val="22"/>
                <w:shd w:val="clear" w:color="auto" w:fill="FFFFFF"/>
              </w:rPr>
            </w:pPr>
          </w:p>
          <w:p w14:paraId="1B8E81CE" w14:textId="77777777" w:rsidR="009C6C08" w:rsidRDefault="009C6C08" w:rsidP="00116F6F">
            <w:pPr>
              <w:jc w:val="both"/>
              <w:rPr>
                <w:sz w:val="22"/>
                <w:szCs w:val="22"/>
                <w:shd w:val="clear" w:color="auto" w:fill="FFFFFF"/>
              </w:rPr>
            </w:pPr>
          </w:p>
          <w:p w14:paraId="45166E1D" w14:textId="77777777" w:rsidR="009C6C08" w:rsidRDefault="009C6C08" w:rsidP="00116F6F">
            <w:pPr>
              <w:jc w:val="both"/>
              <w:rPr>
                <w:sz w:val="22"/>
                <w:szCs w:val="22"/>
                <w:shd w:val="clear" w:color="auto" w:fill="FFFFFF"/>
              </w:rPr>
            </w:pPr>
          </w:p>
          <w:p w14:paraId="088B23CF" w14:textId="77777777" w:rsidR="009C6C08" w:rsidRDefault="009C6C08" w:rsidP="00116F6F">
            <w:pPr>
              <w:jc w:val="both"/>
              <w:rPr>
                <w:sz w:val="22"/>
                <w:szCs w:val="22"/>
                <w:shd w:val="clear" w:color="auto" w:fill="FFFFFF"/>
              </w:rPr>
            </w:pPr>
          </w:p>
          <w:p w14:paraId="5CE9646F" w14:textId="77777777" w:rsidR="009C6C08" w:rsidRDefault="009C6C08" w:rsidP="00116F6F">
            <w:pPr>
              <w:jc w:val="both"/>
              <w:rPr>
                <w:sz w:val="22"/>
                <w:szCs w:val="22"/>
                <w:shd w:val="clear" w:color="auto" w:fill="FFFFFF"/>
              </w:rPr>
            </w:pPr>
          </w:p>
          <w:p w14:paraId="00BEE4EC" w14:textId="77777777" w:rsidR="009C6C08" w:rsidRDefault="009C6C08" w:rsidP="00116F6F">
            <w:pPr>
              <w:jc w:val="both"/>
              <w:rPr>
                <w:sz w:val="22"/>
                <w:szCs w:val="22"/>
                <w:shd w:val="clear" w:color="auto" w:fill="FFFFFF"/>
              </w:rPr>
            </w:pPr>
          </w:p>
          <w:p w14:paraId="3660E91B" w14:textId="77777777" w:rsidR="009C6C08" w:rsidRDefault="009C6C08" w:rsidP="00116F6F">
            <w:pPr>
              <w:jc w:val="both"/>
              <w:rPr>
                <w:sz w:val="22"/>
                <w:szCs w:val="22"/>
                <w:shd w:val="clear" w:color="auto" w:fill="FFFFFF"/>
              </w:rPr>
            </w:pPr>
          </w:p>
          <w:p w14:paraId="3EDB9391" w14:textId="77777777" w:rsidR="009C6C08" w:rsidRDefault="009C6C08" w:rsidP="00116F6F">
            <w:pPr>
              <w:jc w:val="both"/>
              <w:rPr>
                <w:sz w:val="22"/>
                <w:szCs w:val="22"/>
                <w:shd w:val="clear" w:color="auto" w:fill="FFFFFF"/>
              </w:rPr>
            </w:pPr>
          </w:p>
          <w:p w14:paraId="08B8F00E" w14:textId="77777777" w:rsidR="009C6C08" w:rsidRDefault="009C6C08" w:rsidP="00116F6F">
            <w:pPr>
              <w:jc w:val="both"/>
              <w:rPr>
                <w:sz w:val="22"/>
                <w:szCs w:val="22"/>
                <w:shd w:val="clear" w:color="auto" w:fill="FFFFFF"/>
              </w:rPr>
            </w:pPr>
          </w:p>
          <w:p w14:paraId="39DDFC6A" w14:textId="77777777" w:rsidR="009C6C08" w:rsidRDefault="009C6C08" w:rsidP="00116F6F">
            <w:pPr>
              <w:jc w:val="both"/>
              <w:rPr>
                <w:sz w:val="22"/>
                <w:szCs w:val="22"/>
                <w:shd w:val="clear" w:color="auto" w:fill="FFFFFF"/>
              </w:rPr>
            </w:pPr>
          </w:p>
          <w:p w14:paraId="1429323F" w14:textId="77777777" w:rsidR="009C6C08" w:rsidRDefault="009C6C08" w:rsidP="00116F6F">
            <w:pPr>
              <w:jc w:val="both"/>
              <w:rPr>
                <w:sz w:val="22"/>
                <w:szCs w:val="22"/>
                <w:shd w:val="clear" w:color="auto" w:fill="FFFFFF"/>
              </w:rPr>
            </w:pPr>
          </w:p>
          <w:p w14:paraId="0B795629" w14:textId="77777777" w:rsidR="009C6C08" w:rsidRDefault="009C6C08" w:rsidP="00116F6F">
            <w:pPr>
              <w:jc w:val="both"/>
              <w:rPr>
                <w:sz w:val="22"/>
                <w:szCs w:val="22"/>
                <w:shd w:val="clear" w:color="auto" w:fill="FFFFFF"/>
              </w:rPr>
            </w:pPr>
          </w:p>
          <w:p w14:paraId="48EB0A02" w14:textId="77777777" w:rsidR="009C6C08" w:rsidRDefault="009C6C08" w:rsidP="00116F6F">
            <w:pPr>
              <w:jc w:val="both"/>
              <w:rPr>
                <w:sz w:val="22"/>
                <w:szCs w:val="22"/>
                <w:shd w:val="clear" w:color="auto" w:fill="FFFFFF"/>
              </w:rPr>
            </w:pPr>
          </w:p>
          <w:p w14:paraId="7BEBC185" w14:textId="77777777" w:rsidR="009C6C08" w:rsidRDefault="009C6C08" w:rsidP="00116F6F">
            <w:pPr>
              <w:jc w:val="both"/>
              <w:rPr>
                <w:sz w:val="22"/>
                <w:szCs w:val="22"/>
                <w:shd w:val="clear" w:color="auto" w:fill="FFFFFF"/>
              </w:rPr>
            </w:pPr>
          </w:p>
          <w:p w14:paraId="1E6C0082" w14:textId="77777777" w:rsidR="009C6C08" w:rsidRDefault="009C6C08" w:rsidP="00116F6F">
            <w:pPr>
              <w:jc w:val="both"/>
              <w:rPr>
                <w:sz w:val="22"/>
                <w:szCs w:val="22"/>
                <w:shd w:val="clear" w:color="auto" w:fill="FFFFFF"/>
              </w:rPr>
            </w:pPr>
          </w:p>
          <w:p w14:paraId="305C3200" w14:textId="77777777" w:rsidR="009C6C08" w:rsidRDefault="009C6C08" w:rsidP="00116F6F">
            <w:pPr>
              <w:jc w:val="both"/>
              <w:rPr>
                <w:sz w:val="22"/>
                <w:szCs w:val="22"/>
                <w:shd w:val="clear" w:color="auto" w:fill="FFFFFF"/>
              </w:rPr>
            </w:pPr>
          </w:p>
          <w:p w14:paraId="5BF6FB5F" w14:textId="77777777" w:rsidR="009C6C08" w:rsidRDefault="009C6C08" w:rsidP="00116F6F">
            <w:pPr>
              <w:jc w:val="both"/>
              <w:rPr>
                <w:sz w:val="22"/>
                <w:szCs w:val="22"/>
                <w:shd w:val="clear" w:color="auto" w:fill="FFFFFF"/>
              </w:rPr>
            </w:pPr>
          </w:p>
          <w:p w14:paraId="2D164F65" w14:textId="77777777" w:rsidR="009C6C08" w:rsidRDefault="009C6C08" w:rsidP="00116F6F">
            <w:pPr>
              <w:jc w:val="both"/>
              <w:rPr>
                <w:sz w:val="22"/>
                <w:szCs w:val="22"/>
                <w:shd w:val="clear" w:color="auto" w:fill="FFFFFF"/>
              </w:rPr>
            </w:pPr>
          </w:p>
          <w:p w14:paraId="4BF08E09" w14:textId="77777777" w:rsidR="009C6C08" w:rsidRDefault="009C6C08" w:rsidP="00116F6F">
            <w:pPr>
              <w:jc w:val="both"/>
              <w:rPr>
                <w:sz w:val="22"/>
                <w:szCs w:val="22"/>
                <w:shd w:val="clear" w:color="auto" w:fill="FFFFFF"/>
              </w:rPr>
            </w:pPr>
          </w:p>
          <w:p w14:paraId="6685DFE2" w14:textId="77777777" w:rsidR="009C6C08" w:rsidRDefault="009C6C08" w:rsidP="00116F6F">
            <w:pPr>
              <w:jc w:val="both"/>
              <w:rPr>
                <w:sz w:val="22"/>
                <w:szCs w:val="22"/>
                <w:shd w:val="clear" w:color="auto" w:fill="FFFFFF"/>
              </w:rPr>
            </w:pPr>
          </w:p>
          <w:p w14:paraId="38EAE188" w14:textId="77777777" w:rsidR="009C6C08" w:rsidRDefault="009C6C08" w:rsidP="00116F6F">
            <w:pPr>
              <w:jc w:val="both"/>
              <w:rPr>
                <w:sz w:val="22"/>
                <w:szCs w:val="22"/>
                <w:shd w:val="clear" w:color="auto" w:fill="FFFFFF"/>
              </w:rPr>
            </w:pPr>
          </w:p>
          <w:p w14:paraId="25DADE9F" w14:textId="77777777" w:rsidR="009C6C08" w:rsidRDefault="009C6C08" w:rsidP="00116F6F">
            <w:pPr>
              <w:jc w:val="both"/>
              <w:rPr>
                <w:sz w:val="22"/>
                <w:szCs w:val="22"/>
                <w:shd w:val="clear" w:color="auto" w:fill="FFFFFF"/>
              </w:rPr>
            </w:pPr>
          </w:p>
          <w:p w14:paraId="589B46C9" w14:textId="77777777" w:rsidR="009C6C08" w:rsidRDefault="009C6C08" w:rsidP="00116F6F">
            <w:pPr>
              <w:jc w:val="both"/>
              <w:rPr>
                <w:sz w:val="22"/>
                <w:szCs w:val="22"/>
                <w:shd w:val="clear" w:color="auto" w:fill="FFFFFF"/>
              </w:rPr>
            </w:pPr>
          </w:p>
          <w:p w14:paraId="57F782BB" w14:textId="77777777" w:rsidR="009C6C08" w:rsidRDefault="009C6C08" w:rsidP="00116F6F">
            <w:pPr>
              <w:jc w:val="both"/>
              <w:rPr>
                <w:sz w:val="22"/>
                <w:szCs w:val="22"/>
                <w:shd w:val="clear" w:color="auto" w:fill="FFFFFF"/>
              </w:rPr>
            </w:pPr>
          </w:p>
          <w:p w14:paraId="4D5F277C" w14:textId="77777777" w:rsidR="009C6C08" w:rsidRDefault="009C6C08" w:rsidP="00116F6F">
            <w:pPr>
              <w:jc w:val="both"/>
              <w:rPr>
                <w:sz w:val="22"/>
                <w:szCs w:val="22"/>
                <w:shd w:val="clear" w:color="auto" w:fill="FFFFFF"/>
              </w:rPr>
            </w:pPr>
          </w:p>
          <w:p w14:paraId="567A9AEF" w14:textId="77777777" w:rsidR="009C6C08" w:rsidRDefault="009C6C08" w:rsidP="00116F6F">
            <w:pPr>
              <w:jc w:val="both"/>
              <w:rPr>
                <w:sz w:val="22"/>
                <w:szCs w:val="22"/>
                <w:shd w:val="clear" w:color="auto" w:fill="FFFFFF"/>
              </w:rPr>
            </w:pPr>
          </w:p>
          <w:p w14:paraId="3896A954" w14:textId="77777777" w:rsidR="009C6C08" w:rsidRDefault="009C6C08" w:rsidP="00116F6F">
            <w:pPr>
              <w:jc w:val="both"/>
              <w:rPr>
                <w:sz w:val="22"/>
                <w:szCs w:val="22"/>
                <w:shd w:val="clear" w:color="auto" w:fill="FFFFFF"/>
              </w:rPr>
            </w:pPr>
          </w:p>
          <w:p w14:paraId="06EAC194" w14:textId="77777777" w:rsidR="009C6C08" w:rsidRDefault="009C6C08" w:rsidP="00116F6F">
            <w:pPr>
              <w:jc w:val="both"/>
              <w:rPr>
                <w:sz w:val="22"/>
                <w:szCs w:val="22"/>
                <w:shd w:val="clear" w:color="auto" w:fill="FFFFFF"/>
              </w:rPr>
            </w:pPr>
          </w:p>
          <w:p w14:paraId="7710F7DF" w14:textId="77777777" w:rsidR="009C6C08" w:rsidRDefault="009C6C08" w:rsidP="00116F6F">
            <w:pPr>
              <w:jc w:val="both"/>
              <w:rPr>
                <w:sz w:val="22"/>
                <w:szCs w:val="22"/>
                <w:shd w:val="clear" w:color="auto" w:fill="FFFFFF"/>
              </w:rPr>
            </w:pPr>
          </w:p>
          <w:p w14:paraId="61020D30" w14:textId="77777777" w:rsidR="009C6C08" w:rsidRDefault="009C6C08" w:rsidP="00116F6F">
            <w:pPr>
              <w:jc w:val="both"/>
              <w:rPr>
                <w:sz w:val="22"/>
                <w:szCs w:val="22"/>
                <w:shd w:val="clear" w:color="auto" w:fill="FFFFFF"/>
              </w:rPr>
            </w:pPr>
          </w:p>
          <w:p w14:paraId="26C0C8ED" w14:textId="77777777" w:rsidR="009C6C08" w:rsidRDefault="009C6C08" w:rsidP="00116F6F">
            <w:pPr>
              <w:jc w:val="both"/>
              <w:rPr>
                <w:sz w:val="22"/>
                <w:szCs w:val="22"/>
                <w:shd w:val="clear" w:color="auto" w:fill="FFFFFF"/>
              </w:rPr>
            </w:pPr>
          </w:p>
          <w:p w14:paraId="4CE8E172" w14:textId="77777777" w:rsidR="009C6C08" w:rsidRDefault="009C6C08" w:rsidP="00116F6F">
            <w:pPr>
              <w:jc w:val="both"/>
              <w:rPr>
                <w:sz w:val="22"/>
                <w:szCs w:val="22"/>
                <w:shd w:val="clear" w:color="auto" w:fill="FFFFFF"/>
              </w:rPr>
            </w:pPr>
          </w:p>
          <w:p w14:paraId="1D1DB8D8" w14:textId="77777777" w:rsidR="009C6C08" w:rsidRDefault="009C6C08" w:rsidP="00116F6F">
            <w:pPr>
              <w:jc w:val="both"/>
              <w:rPr>
                <w:sz w:val="22"/>
                <w:szCs w:val="22"/>
                <w:shd w:val="clear" w:color="auto" w:fill="FFFFFF"/>
              </w:rPr>
            </w:pPr>
          </w:p>
          <w:p w14:paraId="1848F590" w14:textId="77777777" w:rsidR="009C6C08" w:rsidRDefault="009C6C08" w:rsidP="00116F6F">
            <w:pPr>
              <w:jc w:val="both"/>
              <w:rPr>
                <w:sz w:val="22"/>
                <w:szCs w:val="22"/>
                <w:shd w:val="clear" w:color="auto" w:fill="FFFFFF"/>
              </w:rPr>
            </w:pPr>
          </w:p>
          <w:p w14:paraId="4201468A" w14:textId="77777777" w:rsidR="009C6C08" w:rsidRDefault="009C6C08" w:rsidP="00116F6F">
            <w:pPr>
              <w:jc w:val="both"/>
              <w:rPr>
                <w:sz w:val="22"/>
                <w:szCs w:val="22"/>
                <w:shd w:val="clear" w:color="auto" w:fill="FFFFFF"/>
              </w:rPr>
            </w:pPr>
          </w:p>
          <w:p w14:paraId="45FC02EF" w14:textId="77777777" w:rsidR="009C6C08" w:rsidRDefault="009C6C08" w:rsidP="00116F6F">
            <w:pPr>
              <w:jc w:val="both"/>
              <w:rPr>
                <w:sz w:val="22"/>
                <w:szCs w:val="22"/>
                <w:shd w:val="clear" w:color="auto" w:fill="FFFFFF"/>
              </w:rPr>
            </w:pPr>
          </w:p>
          <w:p w14:paraId="70096CC1" w14:textId="77777777" w:rsidR="009C6C08" w:rsidRDefault="009C6C08" w:rsidP="00116F6F">
            <w:pPr>
              <w:jc w:val="both"/>
              <w:rPr>
                <w:sz w:val="22"/>
                <w:szCs w:val="22"/>
                <w:shd w:val="clear" w:color="auto" w:fill="FFFFFF"/>
              </w:rPr>
            </w:pPr>
          </w:p>
          <w:p w14:paraId="349E1177" w14:textId="77777777" w:rsidR="009C6C08" w:rsidRDefault="009C6C08" w:rsidP="00116F6F">
            <w:pPr>
              <w:jc w:val="both"/>
              <w:rPr>
                <w:sz w:val="22"/>
                <w:szCs w:val="22"/>
                <w:shd w:val="clear" w:color="auto" w:fill="FFFFFF"/>
              </w:rPr>
            </w:pPr>
          </w:p>
          <w:p w14:paraId="2F10C4B1" w14:textId="77777777" w:rsidR="009C6C08" w:rsidRDefault="009C6C08" w:rsidP="00116F6F">
            <w:pPr>
              <w:jc w:val="both"/>
              <w:rPr>
                <w:sz w:val="22"/>
                <w:szCs w:val="22"/>
                <w:shd w:val="clear" w:color="auto" w:fill="FFFFFF"/>
              </w:rPr>
            </w:pPr>
          </w:p>
          <w:p w14:paraId="31569890" w14:textId="77777777" w:rsidR="009C6C08" w:rsidRDefault="009C6C08" w:rsidP="00116F6F">
            <w:pPr>
              <w:jc w:val="both"/>
              <w:rPr>
                <w:sz w:val="22"/>
                <w:szCs w:val="22"/>
                <w:shd w:val="clear" w:color="auto" w:fill="FFFFFF"/>
              </w:rPr>
            </w:pPr>
          </w:p>
          <w:p w14:paraId="6227931E" w14:textId="77777777" w:rsidR="009C6C08" w:rsidRDefault="009C6C08" w:rsidP="00116F6F">
            <w:pPr>
              <w:jc w:val="both"/>
              <w:rPr>
                <w:b/>
                <w:sz w:val="22"/>
                <w:szCs w:val="22"/>
                <w:shd w:val="clear" w:color="auto" w:fill="FFFFFF"/>
              </w:rPr>
            </w:pPr>
            <w:r>
              <w:rPr>
                <w:b/>
                <w:sz w:val="22"/>
                <w:szCs w:val="22"/>
                <w:shd w:val="clear" w:color="auto" w:fill="FFFFFF"/>
              </w:rPr>
              <w:t>Для обговорення</w:t>
            </w:r>
          </w:p>
          <w:p w14:paraId="2343D8B1" w14:textId="77777777" w:rsidR="00BA3AA6" w:rsidRDefault="00BA3AA6" w:rsidP="00116F6F">
            <w:pPr>
              <w:jc w:val="both"/>
              <w:rPr>
                <w:b/>
                <w:sz w:val="22"/>
                <w:szCs w:val="22"/>
                <w:shd w:val="clear" w:color="auto" w:fill="FFFFFF"/>
              </w:rPr>
            </w:pPr>
          </w:p>
          <w:p w14:paraId="7CDCBC43" w14:textId="77777777" w:rsidR="00BA3AA6" w:rsidRDefault="00BA3AA6" w:rsidP="00116F6F">
            <w:pPr>
              <w:jc w:val="both"/>
              <w:rPr>
                <w:sz w:val="22"/>
                <w:szCs w:val="22"/>
                <w:shd w:val="clear" w:color="auto" w:fill="FFFFFF"/>
              </w:rPr>
            </w:pPr>
            <w:r>
              <w:rPr>
                <w:sz w:val="22"/>
                <w:szCs w:val="22"/>
                <w:shd w:val="clear" w:color="auto" w:fill="FFFFFF"/>
              </w:rPr>
              <w:t>В частині р</w:t>
            </w:r>
            <w:r w:rsidRPr="00264759">
              <w:rPr>
                <w:sz w:val="22"/>
                <w:szCs w:val="22"/>
                <w:shd w:val="clear" w:color="auto" w:fill="FFFFFF"/>
              </w:rPr>
              <w:t>едакці</w:t>
            </w:r>
            <w:r>
              <w:rPr>
                <w:sz w:val="22"/>
                <w:szCs w:val="22"/>
                <w:shd w:val="clear" w:color="auto" w:fill="FFFFFF"/>
              </w:rPr>
              <w:t>ї</w:t>
            </w:r>
            <w:r w:rsidRPr="00264759">
              <w:rPr>
                <w:sz w:val="22"/>
                <w:szCs w:val="22"/>
                <w:shd w:val="clear" w:color="auto" w:fill="FFFFFF"/>
              </w:rPr>
              <w:t xml:space="preserve"> щодо порушен</w:t>
            </w:r>
            <w:r>
              <w:rPr>
                <w:sz w:val="22"/>
                <w:szCs w:val="22"/>
                <w:shd w:val="clear" w:color="auto" w:fill="FFFFFF"/>
              </w:rPr>
              <w:t xml:space="preserve">ь, </w:t>
            </w:r>
            <w:r w:rsidRPr="00264759">
              <w:rPr>
                <w:sz w:val="22"/>
                <w:szCs w:val="22"/>
                <w:shd w:val="clear" w:color="auto" w:fill="FFFFFF"/>
              </w:rPr>
              <w:t>як</w:t>
            </w:r>
            <w:r>
              <w:rPr>
                <w:sz w:val="22"/>
                <w:szCs w:val="22"/>
                <w:shd w:val="clear" w:color="auto" w:fill="FFFFFF"/>
              </w:rPr>
              <w:t>і</w:t>
            </w:r>
            <w:r w:rsidRPr="00264759">
              <w:rPr>
                <w:sz w:val="22"/>
                <w:szCs w:val="22"/>
                <w:shd w:val="clear" w:color="auto" w:fill="FFFFFF"/>
              </w:rPr>
              <w:t xml:space="preserve"> трива</w:t>
            </w:r>
            <w:r>
              <w:rPr>
                <w:sz w:val="22"/>
                <w:szCs w:val="22"/>
                <w:shd w:val="clear" w:color="auto" w:fill="FFFFFF"/>
              </w:rPr>
              <w:t>ють</w:t>
            </w:r>
            <w:r w:rsidRPr="00264759">
              <w:rPr>
                <w:sz w:val="22"/>
                <w:szCs w:val="22"/>
                <w:shd w:val="clear" w:color="auto" w:fill="FFFFFF"/>
              </w:rPr>
              <w:t xml:space="preserve"> у двох та більше звітних роках</w:t>
            </w:r>
          </w:p>
          <w:p w14:paraId="3B2F5EDC" w14:textId="77777777" w:rsidR="00BA3AA6" w:rsidRDefault="00BA3AA6" w:rsidP="00116F6F">
            <w:pPr>
              <w:jc w:val="both"/>
              <w:rPr>
                <w:sz w:val="22"/>
                <w:szCs w:val="22"/>
                <w:shd w:val="clear" w:color="auto" w:fill="FFFFFF"/>
              </w:rPr>
            </w:pPr>
          </w:p>
          <w:p w14:paraId="2356F5F7" w14:textId="77777777" w:rsidR="00BA3AA6" w:rsidRDefault="00BA3AA6" w:rsidP="00116F6F">
            <w:pPr>
              <w:jc w:val="both"/>
              <w:rPr>
                <w:sz w:val="22"/>
                <w:szCs w:val="22"/>
                <w:shd w:val="clear" w:color="auto" w:fill="FFFFFF"/>
              </w:rPr>
            </w:pPr>
          </w:p>
          <w:p w14:paraId="5A26C89D" w14:textId="77777777" w:rsidR="00BA3AA6" w:rsidRDefault="00BA3AA6" w:rsidP="00116F6F">
            <w:pPr>
              <w:jc w:val="both"/>
              <w:rPr>
                <w:sz w:val="22"/>
                <w:szCs w:val="22"/>
                <w:shd w:val="clear" w:color="auto" w:fill="FFFFFF"/>
              </w:rPr>
            </w:pPr>
          </w:p>
          <w:p w14:paraId="1CEB1E9B" w14:textId="77777777" w:rsidR="00BA3AA6" w:rsidRDefault="00BA3AA6" w:rsidP="00116F6F">
            <w:pPr>
              <w:jc w:val="both"/>
              <w:rPr>
                <w:sz w:val="22"/>
                <w:szCs w:val="22"/>
                <w:shd w:val="clear" w:color="auto" w:fill="FFFFFF"/>
              </w:rPr>
            </w:pPr>
          </w:p>
          <w:p w14:paraId="0301E58C" w14:textId="77777777" w:rsidR="00BA3AA6" w:rsidRDefault="00BA3AA6" w:rsidP="00116F6F">
            <w:pPr>
              <w:jc w:val="both"/>
              <w:rPr>
                <w:sz w:val="22"/>
                <w:szCs w:val="22"/>
                <w:shd w:val="clear" w:color="auto" w:fill="FFFFFF"/>
              </w:rPr>
            </w:pPr>
          </w:p>
          <w:p w14:paraId="7ACFD90A" w14:textId="77777777" w:rsidR="00BA3AA6" w:rsidRDefault="00BA3AA6" w:rsidP="00116F6F">
            <w:pPr>
              <w:jc w:val="both"/>
              <w:rPr>
                <w:sz w:val="22"/>
                <w:szCs w:val="22"/>
                <w:shd w:val="clear" w:color="auto" w:fill="FFFFFF"/>
              </w:rPr>
            </w:pPr>
          </w:p>
          <w:p w14:paraId="12C642C8" w14:textId="77777777" w:rsidR="00BA3AA6" w:rsidRDefault="00BA3AA6" w:rsidP="00116F6F">
            <w:pPr>
              <w:jc w:val="both"/>
              <w:rPr>
                <w:sz w:val="22"/>
                <w:szCs w:val="22"/>
                <w:shd w:val="clear" w:color="auto" w:fill="FFFFFF"/>
              </w:rPr>
            </w:pPr>
          </w:p>
          <w:p w14:paraId="5AFCBDA8" w14:textId="77777777" w:rsidR="00BA3AA6" w:rsidRDefault="00BA3AA6" w:rsidP="00116F6F">
            <w:pPr>
              <w:jc w:val="both"/>
              <w:rPr>
                <w:sz w:val="22"/>
                <w:szCs w:val="22"/>
                <w:shd w:val="clear" w:color="auto" w:fill="FFFFFF"/>
              </w:rPr>
            </w:pPr>
          </w:p>
          <w:p w14:paraId="2D04CF6B" w14:textId="77777777" w:rsidR="00BA3AA6" w:rsidRDefault="00BA3AA6" w:rsidP="00116F6F">
            <w:pPr>
              <w:jc w:val="both"/>
              <w:rPr>
                <w:sz w:val="22"/>
                <w:szCs w:val="22"/>
                <w:shd w:val="clear" w:color="auto" w:fill="FFFFFF"/>
              </w:rPr>
            </w:pPr>
          </w:p>
          <w:p w14:paraId="2C95F93D" w14:textId="77777777" w:rsidR="00BA3AA6" w:rsidRDefault="00BA3AA6" w:rsidP="00116F6F">
            <w:pPr>
              <w:jc w:val="both"/>
              <w:rPr>
                <w:sz w:val="22"/>
                <w:szCs w:val="22"/>
                <w:shd w:val="clear" w:color="auto" w:fill="FFFFFF"/>
              </w:rPr>
            </w:pPr>
          </w:p>
          <w:p w14:paraId="108769F0" w14:textId="77777777" w:rsidR="00BA3AA6" w:rsidRDefault="00BA3AA6" w:rsidP="00116F6F">
            <w:pPr>
              <w:jc w:val="both"/>
              <w:rPr>
                <w:sz w:val="22"/>
                <w:szCs w:val="22"/>
                <w:shd w:val="clear" w:color="auto" w:fill="FFFFFF"/>
              </w:rPr>
            </w:pPr>
          </w:p>
          <w:p w14:paraId="35F7C852" w14:textId="77777777" w:rsidR="00BA3AA6" w:rsidRDefault="00BA3AA6" w:rsidP="00116F6F">
            <w:pPr>
              <w:jc w:val="both"/>
              <w:rPr>
                <w:sz w:val="22"/>
                <w:szCs w:val="22"/>
                <w:shd w:val="clear" w:color="auto" w:fill="FFFFFF"/>
              </w:rPr>
            </w:pPr>
          </w:p>
          <w:p w14:paraId="7DCCCB1A" w14:textId="77777777" w:rsidR="00BA3AA6" w:rsidRDefault="00BA3AA6" w:rsidP="00116F6F">
            <w:pPr>
              <w:jc w:val="both"/>
              <w:rPr>
                <w:sz w:val="22"/>
                <w:szCs w:val="22"/>
                <w:shd w:val="clear" w:color="auto" w:fill="FFFFFF"/>
              </w:rPr>
            </w:pPr>
          </w:p>
          <w:p w14:paraId="34989211" w14:textId="77777777" w:rsidR="00BA3AA6" w:rsidRDefault="00BA3AA6" w:rsidP="00116F6F">
            <w:pPr>
              <w:jc w:val="both"/>
              <w:rPr>
                <w:b/>
                <w:sz w:val="22"/>
                <w:szCs w:val="22"/>
                <w:shd w:val="clear" w:color="auto" w:fill="FFFFFF"/>
              </w:rPr>
            </w:pPr>
            <w:r>
              <w:rPr>
                <w:b/>
                <w:sz w:val="22"/>
                <w:szCs w:val="22"/>
                <w:shd w:val="clear" w:color="auto" w:fill="FFFFFF"/>
              </w:rPr>
              <w:t>Не враховано</w:t>
            </w:r>
          </w:p>
          <w:p w14:paraId="5C28661F" w14:textId="77777777" w:rsidR="00BA3AA6" w:rsidRDefault="00BA3AA6" w:rsidP="00116F6F">
            <w:pPr>
              <w:jc w:val="both"/>
              <w:rPr>
                <w:b/>
                <w:sz w:val="22"/>
                <w:szCs w:val="22"/>
                <w:shd w:val="clear" w:color="auto" w:fill="FFFFFF"/>
              </w:rPr>
            </w:pPr>
          </w:p>
          <w:p w14:paraId="14E2AC33" w14:textId="77777777" w:rsidR="001066BA" w:rsidRDefault="00BA3AA6" w:rsidP="00116F6F">
            <w:pPr>
              <w:jc w:val="both"/>
              <w:rPr>
                <w:sz w:val="22"/>
                <w:szCs w:val="22"/>
                <w:shd w:val="clear" w:color="auto" w:fill="FFFFFF"/>
              </w:rPr>
            </w:pPr>
            <w:r>
              <w:rPr>
                <w:sz w:val="22"/>
                <w:szCs w:val="22"/>
                <w:shd w:val="clear" w:color="auto" w:fill="FFFFFF"/>
              </w:rPr>
              <w:t>Якщо порушення триваюче, розмір штрафу буде визначено з урахуванням положень глави 2.3 Порядку.</w:t>
            </w:r>
          </w:p>
          <w:p w14:paraId="56F4DA72" w14:textId="77777777" w:rsidR="00BA3AA6" w:rsidRDefault="00BA3AA6" w:rsidP="00116F6F">
            <w:pPr>
              <w:jc w:val="both"/>
              <w:rPr>
                <w:sz w:val="22"/>
                <w:szCs w:val="22"/>
                <w:shd w:val="clear" w:color="auto" w:fill="FFFFFF"/>
              </w:rPr>
            </w:pPr>
            <w:r w:rsidRPr="00BA3AA6">
              <w:rPr>
                <w:sz w:val="22"/>
                <w:szCs w:val="22"/>
                <w:shd w:val="clear" w:color="auto" w:fill="FFFFFF"/>
              </w:rPr>
              <w:t xml:space="preserve">В частині редакції щодо порушень, які тривають у двох та більше </w:t>
            </w:r>
            <w:r w:rsidRPr="00BA3AA6">
              <w:rPr>
                <w:sz w:val="22"/>
                <w:szCs w:val="22"/>
                <w:shd w:val="clear" w:color="auto" w:fill="FFFFFF"/>
              </w:rPr>
              <w:lastRenderedPageBreak/>
              <w:t>звітних роках</w:t>
            </w:r>
            <w:r w:rsidR="001066BA">
              <w:rPr>
                <w:sz w:val="22"/>
                <w:szCs w:val="22"/>
                <w:shd w:val="clear" w:color="auto" w:fill="FFFFFF"/>
              </w:rPr>
              <w:t xml:space="preserve"> – пропонується до обговорення</w:t>
            </w:r>
          </w:p>
          <w:p w14:paraId="0A6D30EB" w14:textId="77777777" w:rsidR="0030207B" w:rsidRDefault="0030207B" w:rsidP="00116F6F">
            <w:pPr>
              <w:jc w:val="both"/>
              <w:rPr>
                <w:sz w:val="22"/>
                <w:szCs w:val="22"/>
                <w:shd w:val="clear" w:color="auto" w:fill="FFFFFF"/>
              </w:rPr>
            </w:pPr>
          </w:p>
          <w:p w14:paraId="19FA5142" w14:textId="77777777" w:rsidR="0030207B" w:rsidRDefault="0030207B" w:rsidP="00116F6F">
            <w:pPr>
              <w:jc w:val="both"/>
              <w:rPr>
                <w:sz w:val="22"/>
                <w:szCs w:val="22"/>
                <w:shd w:val="clear" w:color="auto" w:fill="FFFFFF"/>
              </w:rPr>
            </w:pPr>
          </w:p>
          <w:p w14:paraId="330C190F" w14:textId="77777777" w:rsidR="0030207B" w:rsidRDefault="0030207B" w:rsidP="00116F6F">
            <w:pPr>
              <w:jc w:val="both"/>
              <w:rPr>
                <w:sz w:val="22"/>
                <w:szCs w:val="22"/>
                <w:shd w:val="clear" w:color="auto" w:fill="FFFFFF"/>
              </w:rPr>
            </w:pPr>
          </w:p>
          <w:p w14:paraId="722A243F" w14:textId="77777777" w:rsidR="0030207B" w:rsidRDefault="0030207B" w:rsidP="00116F6F">
            <w:pPr>
              <w:jc w:val="both"/>
              <w:rPr>
                <w:sz w:val="22"/>
                <w:szCs w:val="22"/>
                <w:shd w:val="clear" w:color="auto" w:fill="FFFFFF"/>
              </w:rPr>
            </w:pPr>
          </w:p>
          <w:p w14:paraId="55BD6FE2" w14:textId="77777777" w:rsidR="0030207B" w:rsidRDefault="0030207B" w:rsidP="00116F6F">
            <w:pPr>
              <w:jc w:val="both"/>
              <w:rPr>
                <w:sz w:val="22"/>
                <w:szCs w:val="22"/>
                <w:shd w:val="clear" w:color="auto" w:fill="FFFFFF"/>
              </w:rPr>
            </w:pPr>
          </w:p>
          <w:p w14:paraId="5F7A19A0" w14:textId="77777777" w:rsidR="0030207B" w:rsidRDefault="0030207B" w:rsidP="00116F6F">
            <w:pPr>
              <w:jc w:val="both"/>
              <w:rPr>
                <w:sz w:val="22"/>
                <w:szCs w:val="22"/>
                <w:shd w:val="clear" w:color="auto" w:fill="FFFFFF"/>
              </w:rPr>
            </w:pPr>
          </w:p>
          <w:p w14:paraId="6A35F7DF" w14:textId="77777777" w:rsidR="0030207B" w:rsidRDefault="0030207B" w:rsidP="00116F6F">
            <w:pPr>
              <w:jc w:val="both"/>
              <w:rPr>
                <w:sz w:val="22"/>
                <w:szCs w:val="22"/>
                <w:shd w:val="clear" w:color="auto" w:fill="FFFFFF"/>
              </w:rPr>
            </w:pPr>
          </w:p>
          <w:p w14:paraId="337323AB" w14:textId="77777777" w:rsidR="0030207B" w:rsidRDefault="0030207B" w:rsidP="00116F6F">
            <w:pPr>
              <w:jc w:val="both"/>
              <w:rPr>
                <w:sz w:val="22"/>
                <w:szCs w:val="22"/>
                <w:shd w:val="clear" w:color="auto" w:fill="FFFFFF"/>
              </w:rPr>
            </w:pPr>
          </w:p>
          <w:p w14:paraId="632C220C" w14:textId="77777777" w:rsidR="0030207B" w:rsidRDefault="0030207B" w:rsidP="00116F6F">
            <w:pPr>
              <w:jc w:val="both"/>
              <w:rPr>
                <w:sz w:val="22"/>
                <w:szCs w:val="22"/>
                <w:shd w:val="clear" w:color="auto" w:fill="FFFFFF"/>
              </w:rPr>
            </w:pPr>
          </w:p>
          <w:p w14:paraId="2F2318C7" w14:textId="77777777" w:rsidR="0030207B" w:rsidRDefault="0030207B" w:rsidP="00116F6F">
            <w:pPr>
              <w:jc w:val="both"/>
              <w:rPr>
                <w:sz w:val="22"/>
                <w:szCs w:val="22"/>
                <w:shd w:val="clear" w:color="auto" w:fill="FFFFFF"/>
              </w:rPr>
            </w:pPr>
          </w:p>
          <w:p w14:paraId="707A4BC7" w14:textId="77777777" w:rsidR="0030207B" w:rsidRDefault="0030207B" w:rsidP="00116F6F">
            <w:pPr>
              <w:jc w:val="both"/>
              <w:rPr>
                <w:sz w:val="22"/>
                <w:szCs w:val="22"/>
                <w:shd w:val="clear" w:color="auto" w:fill="FFFFFF"/>
              </w:rPr>
            </w:pPr>
          </w:p>
          <w:p w14:paraId="1EBA080F" w14:textId="77777777" w:rsidR="0030207B" w:rsidRDefault="0030207B" w:rsidP="00116F6F">
            <w:pPr>
              <w:jc w:val="both"/>
              <w:rPr>
                <w:sz w:val="22"/>
                <w:szCs w:val="22"/>
                <w:shd w:val="clear" w:color="auto" w:fill="FFFFFF"/>
              </w:rPr>
            </w:pPr>
          </w:p>
          <w:p w14:paraId="61D3D72D" w14:textId="77777777" w:rsidR="0030207B" w:rsidRDefault="0030207B" w:rsidP="00116F6F">
            <w:pPr>
              <w:jc w:val="both"/>
              <w:rPr>
                <w:sz w:val="22"/>
                <w:szCs w:val="22"/>
                <w:shd w:val="clear" w:color="auto" w:fill="FFFFFF"/>
              </w:rPr>
            </w:pPr>
          </w:p>
          <w:p w14:paraId="16F2CE3D" w14:textId="77777777" w:rsidR="0030207B" w:rsidRDefault="0030207B" w:rsidP="00116F6F">
            <w:pPr>
              <w:jc w:val="both"/>
              <w:rPr>
                <w:sz w:val="22"/>
                <w:szCs w:val="22"/>
                <w:shd w:val="clear" w:color="auto" w:fill="FFFFFF"/>
              </w:rPr>
            </w:pPr>
          </w:p>
          <w:p w14:paraId="7BDEBB6B" w14:textId="77777777" w:rsidR="0030207B" w:rsidRDefault="0030207B" w:rsidP="00116F6F">
            <w:pPr>
              <w:jc w:val="both"/>
              <w:rPr>
                <w:sz w:val="22"/>
                <w:szCs w:val="22"/>
                <w:shd w:val="clear" w:color="auto" w:fill="FFFFFF"/>
              </w:rPr>
            </w:pPr>
          </w:p>
          <w:p w14:paraId="2AC90018" w14:textId="77777777" w:rsidR="0030207B" w:rsidRDefault="0030207B" w:rsidP="00116F6F">
            <w:pPr>
              <w:jc w:val="both"/>
              <w:rPr>
                <w:sz w:val="22"/>
                <w:szCs w:val="22"/>
                <w:shd w:val="clear" w:color="auto" w:fill="FFFFFF"/>
              </w:rPr>
            </w:pPr>
          </w:p>
          <w:p w14:paraId="7C1554E2" w14:textId="77777777" w:rsidR="0030207B" w:rsidRDefault="0030207B" w:rsidP="00116F6F">
            <w:pPr>
              <w:jc w:val="both"/>
              <w:rPr>
                <w:sz w:val="22"/>
                <w:szCs w:val="22"/>
                <w:shd w:val="clear" w:color="auto" w:fill="FFFFFF"/>
              </w:rPr>
            </w:pPr>
          </w:p>
          <w:p w14:paraId="59665CD5" w14:textId="77777777" w:rsidR="0030207B" w:rsidRDefault="0030207B" w:rsidP="00116F6F">
            <w:pPr>
              <w:jc w:val="both"/>
              <w:rPr>
                <w:sz w:val="22"/>
                <w:szCs w:val="22"/>
                <w:shd w:val="clear" w:color="auto" w:fill="FFFFFF"/>
              </w:rPr>
            </w:pPr>
          </w:p>
          <w:p w14:paraId="47044599" w14:textId="77777777" w:rsidR="0030207B" w:rsidRDefault="0030207B" w:rsidP="00116F6F">
            <w:pPr>
              <w:jc w:val="both"/>
              <w:rPr>
                <w:sz w:val="22"/>
                <w:szCs w:val="22"/>
                <w:shd w:val="clear" w:color="auto" w:fill="FFFFFF"/>
              </w:rPr>
            </w:pPr>
          </w:p>
          <w:p w14:paraId="09EEDFD8" w14:textId="77777777" w:rsidR="0030207B" w:rsidRDefault="0030207B" w:rsidP="00116F6F">
            <w:pPr>
              <w:jc w:val="both"/>
              <w:rPr>
                <w:sz w:val="22"/>
                <w:szCs w:val="22"/>
                <w:shd w:val="clear" w:color="auto" w:fill="FFFFFF"/>
              </w:rPr>
            </w:pPr>
          </w:p>
          <w:p w14:paraId="2C0E0C1B" w14:textId="77777777" w:rsidR="0030207B" w:rsidRDefault="0030207B" w:rsidP="00116F6F">
            <w:pPr>
              <w:jc w:val="both"/>
              <w:rPr>
                <w:sz w:val="22"/>
                <w:szCs w:val="22"/>
                <w:shd w:val="clear" w:color="auto" w:fill="FFFFFF"/>
              </w:rPr>
            </w:pPr>
          </w:p>
          <w:p w14:paraId="31F328D9" w14:textId="77777777" w:rsidR="0030207B" w:rsidRDefault="0030207B" w:rsidP="00116F6F">
            <w:pPr>
              <w:jc w:val="both"/>
              <w:rPr>
                <w:sz w:val="22"/>
                <w:szCs w:val="22"/>
                <w:shd w:val="clear" w:color="auto" w:fill="FFFFFF"/>
              </w:rPr>
            </w:pPr>
          </w:p>
          <w:p w14:paraId="5872D9C8" w14:textId="77777777" w:rsidR="0030207B" w:rsidRDefault="0030207B" w:rsidP="00116F6F">
            <w:pPr>
              <w:jc w:val="both"/>
              <w:rPr>
                <w:sz w:val="22"/>
                <w:szCs w:val="22"/>
                <w:shd w:val="clear" w:color="auto" w:fill="FFFFFF"/>
              </w:rPr>
            </w:pPr>
          </w:p>
          <w:p w14:paraId="4919BC66" w14:textId="77777777" w:rsidR="0030207B" w:rsidRDefault="0030207B" w:rsidP="00116F6F">
            <w:pPr>
              <w:jc w:val="both"/>
              <w:rPr>
                <w:sz w:val="22"/>
                <w:szCs w:val="22"/>
                <w:shd w:val="clear" w:color="auto" w:fill="FFFFFF"/>
              </w:rPr>
            </w:pPr>
          </w:p>
          <w:p w14:paraId="7B5D80B9" w14:textId="77777777" w:rsidR="0030207B" w:rsidRDefault="0030207B" w:rsidP="00116F6F">
            <w:pPr>
              <w:jc w:val="both"/>
              <w:rPr>
                <w:sz w:val="22"/>
                <w:szCs w:val="22"/>
                <w:shd w:val="clear" w:color="auto" w:fill="FFFFFF"/>
              </w:rPr>
            </w:pPr>
          </w:p>
          <w:p w14:paraId="4D203A15" w14:textId="77777777" w:rsidR="0030207B" w:rsidRDefault="0030207B" w:rsidP="00116F6F">
            <w:pPr>
              <w:jc w:val="both"/>
              <w:rPr>
                <w:sz w:val="22"/>
                <w:szCs w:val="22"/>
                <w:shd w:val="clear" w:color="auto" w:fill="FFFFFF"/>
              </w:rPr>
            </w:pPr>
          </w:p>
          <w:p w14:paraId="686121A6" w14:textId="77777777" w:rsidR="0030207B" w:rsidRDefault="0030207B" w:rsidP="00116F6F">
            <w:pPr>
              <w:jc w:val="both"/>
              <w:rPr>
                <w:sz w:val="22"/>
                <w:szCs w:val="22"/>
                <w:shd w:val="clear" w:color="auto" w:fill="FFFFFF"/>
              </w:rPr>
            </w:pPr>
          </w:p>
          <w:p w14:paraId="7154DE54" w14:textId="77777777" w:rsidR="0030207B" w:rsidRDefault="0030207B" w:rsidP="00116F6F">
            <w:pPr>
              <w:jc w:val="both"/>
              <w:rPr>
                <w:sz w:val="22"/>
                <w:szCs w:val="22"/>
                <w:shd w:val="clear" w:color="auto" w:fill="FFFFFF"/>
              </w:rPr>
            </w:pPr>
          </w:p>
          <w:p w14:paraId="5FE23479" w14:textId="77777777" w:rsidR="0030207B" w:rsidRDefault="0030207B" w:rsidP="00116F6F">
            <w:pPr>
              <w:jc w:val="both"/>
              <w:rPr>
                <w:sz w:val="22"/>
                <w:szCs w:val="22"/>
                <w:shd w:val="clear" w:color="auto" w:fill="FFFFFF"/>
              </w:rPr>
            </w:pPr>
          </w:p>
          <w:p w14:paraId="0403FED2" w14:textId="77777777" w:rsidR="0030207B" w:rsidRDefault="0030207B" w:rsidP="00116F6F">
            <w:pPr>
              <w:jc w:val="both"/>
              <w:rPr>
                <w:sz w:val="22"/>
                <w:szCs w:val="22"/>
                <w:shd w:val="clear" w:color="auto" w:fill="FFFFFF"/>
              </w:rPr>
            </w:pPr>
          </w:p>
          <w:p w14:paraId="2853713E" w14:textId="77777777" w:rsidR="0030207B" w:rsidRDefault="0030207B" w:rsidP="00116F6F">
            <w:pPr>
              <w:jc w:val="both"/>
              <w:rPr>
                <w:sz w:val="22"/>
                <w:szCs w:val="22"/>
                <w:shd w:val="clear" w:color="auto" w:fill="FFFFFF"/>
              </w:rPr>
            </w:pPr>
          </w:p>
          <w:p w14:paraId="242C1EC8" w14:textId="77777777" w:rsidR="0030207B" w:rsidRDefault="0030207B" w:rsidP="00116F6F">
            <w:pPr>
              <w:jc w:val="both"/>
              <w:rPr>
                <w:sz w:val="22"/>
                <w:szCs w:val="22"/>
                <w:shd w:val="clear" w:color="auto" w:fill="FFFFFF"/>
              </w:rPr>
            </w:pPr>
          </w:p>
          <w:p w14:paraId="4BA5AE88" w14:textId="77777777" w:rsidR="0030207B" w:rsidRDefault="0030207B" w:rsidP="00116F6F">
            <w:pPr>
              <w:jc w:val="both"/>
              <w:rPr>
                <w:sz w:val="22"/>
                <w:szCs w:val="22"/>
                <w:shd w:val="clear" w:color="auto" w:fill="FFFFFF"/>
              </w:rPr>
            </w:pPr>
          </w:p>
          <w:p w14:paraId="2E256303" w14:textId="77777777" w:rsidR="0030207B" w:rsidRDefault="0030207B" w:rsidP="00116F6F">
            <w:pPr>
              <w:jc w:val="both"/>
              <w:rPr>
                <w:sz w:val="22"/>
                <w:szCs w:val="22"/>
                <w:shd w:val="clear" w:color="auto" w:fill="FFFFFF"/>
              </w:rPr>
            </w:pPr>
          </w:p>
          <w:p w14:paraId="6B542821" w14:textId="77777777" w:rsidR="0030207B" w:rsidRDefault="0030207B" w:rsidP="00116F6F">
            <w:pPr>
              <w:jc w:val="both"/>
              <w:rPr>
                <w:sz w:val="22"/>
                <w:szCs w:val="22"/>
                <w:shd w:val="clear" w:color="auto" w:fill="FFFFFF"/>
              </w:rPr>
            </w:pPr>
          </w:p>
          <w:p w14:paraId="1694631E" w14:textId="77777777" w:rsidR="0030207B" w:rsidRDefault="0030207B" w:rsidP="00116F6F">
            <w:pPr>
              <w:jc w:val="both"/>
              <w:rPr>
                <w:sz w:val="22"/>
                <w:szCs w:val="22"/>
                <w:shd w:val="clear" w:color="auto" w:fill="FFFFFF"/>
              </w:rPr>
            </w:pPr>
          </w:p>
          <w:p w14:paraId="55AB2361" w14:textId="77777777" w:rsidR="0030207B" w:rsidRDefault="0030207B" w:rsidP="00116F6F">
            <w:pPr>
              <w:jc w:val="both"/>
              <w:rPr>
                <w:sz w:val="22"/>
                <w:szCs w:val="22"/>
                <w:shd w:val="clear" w:color="auto" w:fill="FFFFFF"/>
              </w:rPr>
            </w:pPr>
          </w:p>
          <w:p w14:paraId="217923E5" w14:textId="77777777" w:rsidR="0030207B" w:rsidRDefault="0030207B" w:rsidP="00116F6F">
            <w:pPr>
              <w:jc w:val="both"/>
              <w:rPr>
                <w:sz w:val="22"/>
                <w:szCs w:val="22"/>
                <w:shd w:val="clear" w:color="auto" w:fill="FFFFFF"/>
              </w:rPr>
            </w:pPr>
          </w:p>
          <w:p w14:paraId="3F62D1FF" w14:textId="77777777" w:rsidR="0030207B" w:rsidRDefault="0030207B" w:rsidP="00116F6F">
            <w:pPr>
              <w:jc w:val="both"/>
              <w:rPr>
                <w:sz w:val="22"/>
                <w:szCs w:val="22"/>
                <w:shd w:val="clear" w:color="auto" w:fill="FFFFFF"/>
              </w:rPr>
            </w:pPr>
          </w:p>
          <w:p w14:paraId="4D1EFA41" w14:textId="77777777" w:rsidR="0030207B" w:rsidRDefault="0030207B" w:rsidP="00116F6F">
            <w:pPr>
              <w:jc w:val="both"/>
              <w:rPr>
                <w:sz w:val="22"/>
                <w:szCs w:val="22"/>
                <w:shd w:val="clear" w:color="auto" w:fill="FFFFFF"/>
              </w:rPr>
            </w:pPr>
          </w:p>
          <w:p w14:paraId="3873688E" w14:textId="77777777" w:rsidR="0030207B" w:rsidRDefault="0030207B" w:rsidP="00116F6F">
            <w:pPr>
              <w:jc w:val="both"/>
              <w:rPr>
                <w:sz w:val="22"/>
                <w:szCs w:val="22"/>
                <w:shd w:val="clear" w:color="auto" w:fill="FFFFFF"/>
              </w:rPr>
            </w:pPr>
          </w:p>
          <w:p w14:paraId="3E7EDA5D" w14:textId="77777777" w:rsidR="0030207B" w:rsidRDefault="0030207B" w:rsidP="00116F6F">
            <w:pPr>
              <w:jc w:val="both"/>
              <w:rPr>
                <w:sz w:val="22"/>
                <w:szCs w:val="22"/>
                <w:shd w:val="clear" w:color="auto" w:fill="FFFFFF"/>
              </w:rPr>
            </w:pPr>
          </w:p>
          <w:p w14:paraId="238C0644" w14:textId="77777777" w:rsidR="0030207B" w:rsidRDefault="0030207B" w:rsidP="00116F6F">
            <w:pPr>
              <w:jc w:val="both"/>
              <w:rPr>
                <w:sz w:val="22"/>
                <w:szCs w:val="22"/>
                <w:shd w:val="clear" w:color="auto" w:fill="FFFFFF"/>
              </w:rPr>
            </w:pPr>
          </w:p>
          <w:p w14:paraId="4DD9286F" w14:textId="77777777" w:rsidR="0030207B" w:rsidRDefault="0030207B" w:rsidP="00116F6F">
            <w:pPr>
              <w:jc w:val="both"/>
              <w:rPr>
                <w:sz w:val="22"/>
                <w:szCs w:val="22"/>
                <w:shd w:val="clear" w:color="auto" w:fill="FFFFFF"/>
              </w:rPr>
            </w:pPr>
          </w:p>
          <w:p w14:paraId="1EF0F9FA" w14:textId="77777777" w:rsidR="0030207B" w:rsidRDefault="0030207B" w:rsidP="00116F6F">
            <w:pPr>
              <w:jc w:val="both"/>
              <w:rPr>
                <w:sz w:val="22"/>
                <w:szCs w:val="22"/>
                <w:shd w:val="clear" w:color="auto" w:fill="FFFFFF"/>
              </w:rPr>
            </w:pPr>
          </w:p>
          <w:p w14:paraId="1DB2A285" w14:textId="77777777" w:rsidR="0030207B" w:rsidRDefault="0030207B" w:rsidP="00116F6F">
            <w:pPr>
              <w:jc w:val="both"/>
              <w:rPr>
                <w:sz w:val="22"/>
                <w:szCs w:val="22"/>
                <w:shd w:val="clear" w:color="auto" w:fill="FFFFFF"/>
              </w:rPr>
            </w:pPr>
          </w:p>
          <w:p w14:paraId="691192B8" w14:textId="77777777" w:rsidR="0030207B" w:rsidRDefault="0030207B" w:rsidP="00116F6F">
            <w:pPr>
              <w:jc w:val="both"/>
              <w:rPr>
                <w:sz w:val="22"/>
                <w:szCs w:val="22"/>
                <w:shd w:val="clear" w:color="auto" w:fill="FFFFFF"/>
              </w:rPr>
            </w:pPr>
          </w:p>
          <w:p w14:paraId="623684D8" w14:textId="77777777" w:rsidR="0030207B" w:rsidRDefault="0030207B" w:rsidP="00116F6F">
            <w:pPr>
              <w:jc w:val="both"/>
              <w:rPr>
                <w:sz w:val="22"/>
                <w:szCs w:val="22"/>
                <w:shd w:val="clear" w:color="auto" w:fill="FFFFFF"/>
              </w:rPr>
            </w:pPr>
          </w:p>
          <w:p w14:paraId="609330CD" w14:textId="77777777" w:rsidR="00B93205" w:rsidRDefault="00B93205" w:rsidP="00116F6F">
            <w:pPr>
              <w:jc w:val="both"/>
              <w:rPr>
                <w:sz w:val="22"/>
                <w:szCs w:val="22"/>
                <w:shd w:val="clear" w:color="auto" w:fill="FFFFFF"/>
              </w:rPr>
            </w:pPr>
          </w:p>
          <w:p w14:paraId="09C41C9D" w14:textId="77777777" w:rsidR="00B93205" w:rsidRDefault="00B93205" w:rsidP="00116F6F">
            <w:pPr>
              <w:jc w:val="both"/>
              <w:rPr>
                <w:b/>
                <w:sz w:val="22"/>
                <w:szCs w:val="22"/>
                <w:shd w:val="clear" w:color="auto" w:fill="FFFFFF"/>
              </w:rPr>
            </w:pPr>
            <w:r>
              <w:rPr>
                <w:b/>
                <w:sz w:val="22"/>
                <w:szCs w:val="22"/>
                <w:shd w:val="clear" w:color="auto" w:fill="FFFFFF"/>
              </w:rPr>
              <w:t>Не враховано</w:t>
            </w:r>
          </w:p>
          <w:p w14:paraId="438A7B57" w14:textId="77777777" w:rsidR="00B93205" w:rsidRDefault="00B93205" w:rsidP="00116F6F">
            <w:pPr>
              <w:jc w:val="both"/>
              <w:rPr>
                <w:b/>
                <w:sz w:val="22"/>
                <w:szCs w:val="22"/>
                <w:shd w:val="clear" w:color="auto" w:fill="FFFFFF"/>
              </w:rPr>
            </w:pPr>
          </w:p>
          <w:p w14:paraId="32AA9D4F" w14:textId="77777777" w:rsidR="0030207B" w:rsidRPr="00264759" w:rsidRDefault="00B93205" w:rsidP="00116F6F">
            <w:pPr>
              <w:jc w:val="both"/>
              <w:rPr>
                <w:sz w:val="22"/>
                <w:szCs w:val="22"/>
                <w:shd w:val="clear" w:color="auto" w:fill="FFFFFF"/>
              </w:rPr>
            </w:pPr>
            <w:r>
              <w:rPr>
                <w:sz w:val="22"/>
                <w:szCs w:val="22"/>
                <w:shd w:val="clear" w:color="auto" w:fill="FFFFFF"/>
              </w:rPr>
              <w:t xml:space="preserve">Оскільки відповідно до положень Порядку вже передбачено </w:t>
            </w:r>
            <w:r w:rsidR="00D17736" w:rsidRPr="00D17736">
              <w:rPr>
                <w:sz w:val="22"/>
                <w:szCs w:val="22"/>
                <w:shd w:val="clear" w:color="auto" w:fill="FFFFFF"/>
              </w:rPr>
              <w:t>застосування критеріїв оцінки серйозності та характеру порушення</w:t>
            </w:r>
            <w:r w:rsidR="00D17736">
              <w:rPr>
                <w:sz w:val="22"/>
                <w:szCs w:val="22"/>
                <w:shd w:val="clear" w:color="auto" w:fill="FFFFFF"/>
              </w:rPr>
              <w:t xml:space="preserve">, </w:t>
            </w:r>
            <w:r w:rsidR="00D17736" w:rsidRPr="00D17736">
              <w:rPr>
                <w:sz w:val="22"/>
                <w:szCs w:val="22"/>
                <w:shd w:val="clear" w:color="auto" w:fill="FFFFFF"/>
              </w:rPr>
              <w:t>коригування розміру штрафу з урахуванням пом'якшуючих та/або обтяжуючих обставин</w:t>
            </w:r>
            <w:r w:rsidR="00D17736">
              <w:rPr>
                <w:sz w:val="22"/>
                <w:szCs w:val="22"/>
                <w:shd w:val="clear" w:color="auto" w:fill="FFFFFF"/>
              </w:rPr>
              <w:t xml:space="preserve"> тощо</w:t>
            </w:r>
          </w:p>
        </w:tc>
      </w:tr>
      <w:tr w:rsidR="00894ECB" w:rsidRPr="00D927E4" w14:paraId="1E9AEC7C" w14:textId="77777777" w:rsidTr="00894ECB">
        <w:trPr>
          <w:trHeight w:val="595"/>
        </w:trPr>
        <w:tc>
          <w:tcPr>
            <w:tcW w:w="5839" w:type="dxa"/>
          </w:tcPr>
          <w:p w14:paraId="7ECFAC86" w14:textId="77777777" w:rsidR="00894ECB" w:rsidRPr="00D927E4" w:rsidRDefault="00894ECB" w:rsidP="00894ECB">
            <w:pPr>
              <w:spacing w:after="160" w:line="259" w:lineRule="auto"/>
              <w:ind w:firstLine="306"/>
              <w:rPr>
                <w:rFonts w:eastAsia="Calibri"/>
                <w:b/>
                <w:sz w:val="22"/>
                <w:szCs w:val="22"/>
                <w:lang w:eastAsia="en-US"/>
              </w:rPr>
            </w:pPr>
          </w:p>
          <w:p w14:paraId="001A953B" w14:textId="77777777" w:rsidR="00894ECB" w:rsidRPr="00D927E4" w:rsidRDefault="00894ECB" w:rsidP="00894ECB">
            <w:pPr>
              <w:spacing w:after="160" w:line="259" w:lineRule="auto"/>
              <w:ind w:firstLine="306"/>
              <w:rPr>
                <w:rFonts w:eastAsia="Calibri"/>
                <w:b/>
                <w:sz w:val="22"/>
                <w:szCs w:val="22"/>
                <w:lang w:eastAsia="en-US"/>
              </w:rPr>
            </w:pPr>
            <w:r w:rsidRPr="00D927E4">
              <w:rPr>
                <w:rFonts w:eastAsia="Calibri"/>
                <w:b/>
                <w:sz w:val="22"/>
                <w:szCs w:val="22"/>
                <w:lang w:eastAsia="en-US"/>
              </w:rPr>
              <w:t xml:space="preserve">2.1.2. У разі відмови ліцензіата у проведенні перевірки, що є порушенням ліцензійних умов та/або законодавства у відповідній сфері, та/або у разі повторного ненадання завірених в установленому законодавством порядку копій документів, пояснень та іншої інформації на законну вимогу НКРЕКП, може застосовуватися санкція у вигляді накладення штрафу за вчинення такого порушення у максимальному </w:t>
            </w:r>
            <w:r w:rsidRPr="00D927E4">
              <w:rPr>
                <w:rFonts w:eastAsia="Calibri"/>
                <w:b/>
                <w:sz w:val="22"/>
                <w:szCs w:val="22"/>
                <w:lang w:eastAsia="en-US"/>
              </w:rPr>
              <w:lastRenderedPageBreak/>
              <w:t>розмірі, встановленому законами України «Про ринок електричної енергії», «Про природні монополії», «Про ринок природного газу», «Про теплопостачання», «Про питну воду та питне водопостачання».</w:t>
            </w:r>
          </w:p>
          <w:p w14:paraId="16DBB85A" w14:textId="77777777" w:rsidR="00894ECB" w:rsidRPr="00D927E4" w:rsidRDefault="00894ECB" w:rsidP="00894ECB">
            <w:pPr>
              <w:spacing w:after="120"/>
              <w:rPr>
                <w:sz w:val="22"/>
                <w:szCs w:val="22"/>
              </w:rPr>
            </w:pPr>
          </w:p>
        </w:tc>
        <w:tc>
          <w:tcPr>
            <w:tcW w:w="5809" w:type="dxa"/>
            <w:vAlign w:val="center"/>
          </w:tcPr>
          <w:p w14:paraId="063C05DB" w14:textId="77777777" w:rsidR="00894ECB" w:rsidRPr="00D927E4" w:rsidRDefault="00894ECB" w:rsidP="00894ECB">
            <w:pPr>
              <w:spacing w:after="120"/>
              <w:jc w:val="both"/>
              <w:rPr>
                <w:i/>
                <w:sz w:val="22"/>
                <w:szCs w:val="22"/>
              </w:rPr>
            </w:pPr>
            <w:r w:rsidRPr="00D927E4">
              <w:rPr>
                <w:i/>
                <w:sz w:val="22"/>
                <w:szCs w:val="22"/>
              </w:rPr>
              <w:lastRenderedPageBreak/>
              <w:t>ТОВ «Д.ТРЕЙДІНГ»</w:t>
            </w:r>
          </w:p>
          <w:p w14:paraId="47B94408" w14:textId="77777777" w:rsidR="00894ECB" w:rsidRPr="00D927E4" w:rsidRDefault="00894ECB" w:rsidP="00894ECB">
            <w:pPr>
              <w:spacing w:after="120"/>
              <w:jc w:val="both"/>
              <w:rPr>
                <w:rFonts w:eastAsia="Calibri"/>
                <w:b/>
                <w:sz w:val="22"/>
                <w:szCs w:val="22"/>
                <w:lang w:eastAsia="en-US"/>
              </w:rPr>
            </w:pPr>
            <w:r w:rsidRPr="00D927E4">
              <w:rPr>
                <w:rFonts w:eastAsia="Calibri"/>
                <w:b/>
                <w:sz w:val="22"/>
                <w:szCs w:val="22"/>
                <w:lang w:eastAsia="en-US"/>
              </w:rPr>
              <w:t xml:space="preserve">2.1.2. У </w:t>
            </w:r>
            <w:r w:rsidRPr="00D927E4">
              <w:rPr>
                <w:rFonts w:eastAsia="Calibri"/>
                <w:b/>
                <w:sz w:val="22"/>
                <w:szCs w:val="22"/>
                <w:u w:val="single"/>
                <w:lang w:eastAsia="en-US"/>
              </w:rPr>
              <w:t>випадку</w:t>
            </w:r>
            <w:r w:rsidRPr="00D927E4">
              <w:rPr>
                <w:rFonts w:eastAsia="Calibri"/>
                <w:b/>
                <w:sz w:val="22"/>
                <w:szCs w:val="22"/>
                <w:lang w:eastAsia="en-US"/>
              </w:rPr>
              <w:t xml:space="preserve"> </w:t>
            </w:r>
            <w:r w:rsidRPr="00D927E4">
              <w:rPr>
                <w:rFonts w:eastAsia="Calibri"/>
                <w:b/>
                <w:sz w:val="22"/>
                <w:szCs w:val="22"/>
                <w:u w:val="single"/>
                <w:lang w:eastAsia="en-US"/>
              </w:rPr>
              <w:t>безпідставної</w:t>
            </w:r>
            <w:r w:rsidRPr="00D927E4">
              <w:rPr>
                <w:rFonts w:eastAsia="Calibri"/>
                <w:b/>
                <w:sz w:val="22"/>
                <w:szCs w:val="22"/>
                <w:lang w:eastAsia="en-US"/>
              </w:rPr>
              <w:t xml:space="preserve"> </w:t>
            </w:r>
            <w:r w:rsidRPr="00D927E4">
              <w:rPr>
                <w:rFonts w:eastAsia="Calibri"/>
                <w:b/>
                <w:sz w:val="22"/>
                <w:szCs w:val="22"/>
                <w:u w:val="single"/>
                <w:lang w:eastAsia="en-US"/>
              </w:rPr>
              <w:t xml:space="preserve">відмови ліцензіата у допуску голови та членів комісії з перевірки до її здійснення або у разі </w:t>
            </w:r>
            <w:r w:rsidRPr="00D927E4">
              <w:rPr>
                <w:rFonts w:eastAsia="Calibri"/>
                <w:b/>
                <w:sz w:val="22"/>
                <w:szCs w:val="22"/>
                <w:lang w:eastAsia="en-US"/>
              </w:rPr>
              <w:t xml:space="preserve">повторного ненадання завірених в установленому законодавством порядку копій документів, пояснень та іншої інформації на законну вимогу НКРЕКП </w:t>
            </w:r>
            <w:r w:rsidRPr="00D927E4">
              <w:rPr>
                <w:rFonts w:eastAsia="Calibri"/>
                <w:b/>
                <w:sz w:val="22"/>
                <w:szCs w:val="22"/>
                <w:u w:val="single"/>
                <w:lang w:eastAsia="en-US"/>
              </w:rPr>
              <w:t>надану ліцензіату</w:t>
            </w:r>
            <w:r w:rsidRPr="00D927E4">
              <w:rPr>
                <w:rFonts w:eastAsia="Calibri"/>
                <w:b/>
                <w:sz w:val="22"/>
                <w:szCs w:val="22"/>
                <w:lang w:eastAsia="en-US"/>
              </w:rPr>
              <w:t xml:space="preserve"> </w:t>
            </w:r>
            <w:r w:rsidRPr="00D927E4">
              <w:rPr>
                <w:rFonts w:eastAsia="Calibri"/>
                <w:b/>
                <w:sz w:val="22"/>
                <w:szCs w:val="22"/>
                <w:u w:val="single"/>
                <w:lang w:eastAsia="en-US"/>
              </w:rPr>
              <w:t>в межах строку проведення позапланової невиїзної перевірки</w:t>
            </w:r>
            <w:r w:rsidRPr="00D927E4">
              <w:rPr>
                <w:rFonts w:eastAsia="Calibri"/>
                <w:b/>
                <w:sz w:val="22"/>
                <w:szCs w:val="22"/>
                <w:lang w:eastAsia="en-US"/>
              </w:rPr>
              <w:t xml:space="preserve">, що є порушенням ліцензійних умов та/або законодавства у відповідній сфері, може застосовуватися санкція у </w:t>
            </w:r>
            <w:r w:rsidRPr="00D927E4">
              <w:rPr>
                <w:rFonts w:eastAsia="Calibri"/>
                <w:b/>
                <w:sz w:val="22"/>
                <w:szCs w:val="22"/>
                <w:lang w:eastAsia="en-US"/>
              </w:rPr>
              <w:lastRenderedPageBreak/>
              <w:t>вигляді накладення штрафу за вчинення такого порушення у максимальному розмірі, встановленому відповідними законами України.</w:t>
            </w:r>
          </w:p>
          <w:p w14:paraId="2973D003" w14:textId="77777777" w:rsidR="00894ECB" w:rsidRPr="00D927E4" w:rsidRDefault="00894ECB" w:rsidP="00894ECB">
            <w:pPr>
              <w:spacing w:after="120"/>
              <w:jc w:val="both"/>
              <w:rPr>
                <w:sz w:val="22"/>
                <w:szCs w:val="22"/>
              </w:rPr>
            </w:pPr>
          </w:p>
          <w:p w14:paraId="5AFFDEBA" w14:textId="77777777" w:rsidR="00894ECB" w:rsidRPr="00D927E4" w:rsidRDefault="00894ECB" w:rsidP="00894ECB">
            <w:pPr>
              <w:spacing w:after="120"/>
              <w:jc w:val="both"/>
              <w:rPr>
                <w:i/>
                <w:sz w:val="22"/>
                <w:szCs w:val="22"/>
              </w:rPr>
            </w:pPr>
            <w:r w:rsidRPr="00D927E4">
              <w:rPr>
                <w:i/>
                <w:sz w:val="22"/>
                <w:szCs w:val="22"/>
              </w:rPr>
              <w:t>ОБГРУНТУВАННЯ:</w:t>
            </w:r>
          </w:p>
          <w:p w14:paraId="25106508" w14:textId="77777777" w:rsidR="00894ECB" w:rsidRPr="00D927E4" w:rsidRDefault="00894ECB" w:rsidP="00894ECB">
            <w:pPr>
              <w:ind w:firstLine="306"/>
              <w:jc w:val="both"/>
              <w:rPr>
                <w:i/>
                <w:iCs/>
                <w:color w:val="000000" w:themeColor="text1"/>
                <w:sz w:val="22"/>
                <w:szCs w:val="22"/>
                <w:shd w:val="clear" w:color="auto" w:fill="FFFFFF"/>
              </w:rPr>
            </w:pPr>
            <w:r w:rsidRPr="00D927E4">
              <w:rPr>
                <w:i/>
                <w:iCs/>
                <w:color w:val="000000" w:themeColor="text1"/>
                <w:sz w:val="22"/>
                <w:szCs w:val="22"/>
                <w:shd w:val="clear" w:color="auto" w:fill="FFFFFF"/>
              </w:rPr>
              <w:t xml:space="preserve">Згідно п. 1.4.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(Постанова НКРЕКП від 14.06.2018 № 428 в редакції постанови 09.06.2021 № 935) відмова у проведенні перевірки - це </w:t>
            </w:r>
            <w:proofErr w:type="spellStart"/>
            <w:r w:rsidRPr="00D927E4">
              <w:rPr>
                <w:i/>
                <w:iCs/>
                <w:color w:val="000000" w:themeColor="text1"/>
                <w:sz w:val="22"/>
                <w:szCs w:val="22"/>
                <w:shd w:val="clear" w:color="auto" w:fill="FFFFFF"/>
              </w:rPr>
              <w:t>недопуск</w:t>
            </w:r>
            <w:proofErr w:type="spellEnd"/>
            <w:r w:rsidRPr="00D927E4">
              <w:rPr>
                <w:i/>
                <w:iCs/>
                <w:color w:val="000000" w:themeColor="text1"/>
                <w:sz w:val="22"/>
                <w:szCs w:val="22"/>
                <w:shd w:val="clear" w:color="auto" w:fill="FFFFFF"/>
              </w:rPr>
              <w:t xml:space="preserve"> членів комісії з перевірки до здійснення перевірки за відсутності передбачених для цього законодавством та цим Порядком підстав …</w:t>
            </w:r>
          </w:p>
          <w:p w14:paraId="0100A71F" w14:textId="77777777" w:rsidR="00894ECB" w:rsidRPr="00D927E4" w:rsidRDefault="00894ECB" w:rsidP="00894ECB">
            <w:pPr>
              <w:ind w:firstLine="306"/>
              <w:jc w:val="both"/>
              <w:rPr>
                <w:i/>
                <w:iCs/>
                <w:color w:val="000000" w:themeColor="text1"/>
                <w:sz w:val="22"/>
                <w:szCs w:val="22"/>
                <w:shd w:val="clear" w:color="auto" w:fill="FFFFFF"/>
              </w:rPr>
            </w:pPr>
            <w:r w:rsidRPr="00D927E4">
              <w:rPr>
                <w:i/>
                <w:iCs/>
                <w:color w:val="000000" w:themeColor="text1"/>
                <w:sz w:val="22"/>
                <w:szCs w:val="22"/>
                <w:shd w:val="clear" w:color="auto" w:fill="FFFFFF"/>
              </w:rPr>
              <w:t>У той же час відповідно до пп.4 п. 9.1. Порядку контролю: Уповноважена особа суб'єкта, щодо якого здійснюється перевірка, має право не допускати голову та членів комісії з перевірки до її здійснення у певних випадках, зокрема, коли перевірка проводиться з порушенням передбачених законодавством вимог щодо періодичності проведення таких заходів, якщо посвідчення на проведення перевірки не відповідає вимогам закону, якщо ліцензіат не одержав повідомлення про проведення планової перевірки тощо.</w:t>
            </w:r>
          </w:p>
          <w:p w14:paraId="1118011E" w14:textId="77777777" w:rsidR="00894ECB" w:rsidRPr="00D927E4" w:rsidRDefault="00894ECB" w:rsidP="00894ECB">
            <w:pPr>
              <w:spacing w:after="120"/>
              <w:jc w:val="both"/>
              <w:rPr>
                <w:sz w:val="22"/>
                <w:szCs w:val="22"/>
              </w:rPr>
            </w:pPr>
            <w:r w:rsidRPr="00D927E4">
              <w:rPr>
                <w:i/>
                <w:iCs/>
                <w:color w:val="000000" w:themeColor="text1"/>
                <w:sz w:val="22"/>
                <w:szCs w:val="22"/>
                <w:shd w:val="clear" w:color="auto" w:fill="FFFFFF"/>
              </w:rPr>
              <w:t xml:space="preserve">Пропонується змінити формулювання та вказати, що максимальний штраф саме за безпідставний </w:t>
            </w:r>
            <w:proofErr w:type="spellStart"/>
            <w:r w:rsidRPr="00D927E4">
              <w:rPr>
                <w:i/>
                <w:iCs/>
                <w:color w:val="000000" w:themeColor="text1"/>
                <w:sz w:val="22"/>
                <w:szCs w:val="22"/>
                <w:shd w:val="clear" w:color="auto" w:fill="FFFFFF"/>
              </w:rPr>
              <w:t>недопуск</w:t>
            </w:r>
            <w:proofErr w:type="spellEnd"/>
            <w:r w:rsidRPr="00D927E4">
              <w:rPr>
                <w:i/>
                <w:iCs/>
                <w:color w:val="000000" w:themeColor="text1"/>
                <w:sz w:val="22"/>
                <w:szCs w:val="22"/>
                <w:shd w:val="clear" w:color="auto" w:fill="FFFFFF"/>
              </w:rPr>
              <w:t xml:space="preserve"> до проведення перевірки. Також пропонується узгодити текст з формулюванням пп.3 п. 5.1. Порядку контролю.</w:t>
            </w:r>
          </w:p>
          <w:p w14:paraId="60EF9FDC" w14:textId="77777777" w:rsidR="00894ECB" w:rsidRPr="00D927E4" w:rsidRDefault="00894ECB" w:rsidP="00894ECB">
            <w:pPr>
              <w:spacing w:after="120"/>
              <w:jc w:val="both"/>
              <w:rPr>
                <w:sz w:val="22"/>
                <w:szCs w:val="22"/>
              </w:rPr>
            </w:pPr>
          </w:p>
          <w:p w14:paraId="63D49698" w14:textId="77777777" w:rsidR="00894ECB" w:rsidRPr="00D927E4" w:rsidRDefault="00894ECB" w:rsidP="00894ECB">
            <w:pPr>
              <w:spacing w:after="120"/>
              <w:jc w:val="both"/>
              <w:rPr>
                <w:i/>
                <w:sz w:val="22"/>
                <w:szCs w:val="22"/>
                <w:lang w:eastAsia="uk-UA"/>
              </w:rPr>
            </w:pPr>
            <w:r w:rsidRPr="00D927E4">
              <w:rPr>
                <w:i/>
                <w:sz w:val="22"/>
                <w:szCs w:val="22"/>
                <w:lang w:eastAsia="uk-UA"/>
              </w:rPr>
              <w:t>АТ «ОПЕРАТОР РИНКУ»</w:t>
            </w:r>
          </w:p>
          <w:p w14:paraId="6DA23B4E" w14:textId="77777777" w:rsidR="00894ECB" w:rsidRPr="00D927E4" w:rsidRDefault="00894ECB" w:rsidP="00894ECB">
            <w:pPr>
              <w:spacing w:after="160" w:line="259" w:lineRule="auto"/>
              <w:ind w:firstLine="240"/>
              <w:jc w:val="both"/>
              <w:rPr>
                <w:rFonts w:eastAsia="Calibri"/>
                <w:b/>
                <w:i/>
                <w:color w:val="000000"/>
                <w:sz w:val="22"/>
                <w:szCs w:val="22"/>
                <w:lang w:eastAsia="en-US"/>
              </w:rPr>
            </w:pPr>
            <w:r w:rsidRPr="00D927E4">
              <w:rPr>
                <w:rFonts w:eastAsia="Calibri"/>
                <w:b/>
                <w:i/>
                <w:color w:val="000000"/>
                <w:sz w:val="22"/>
                <w:szCs w:val="22"/>
                <w:lang w:eastAsia="en-US"/>
              </w:rPr>
              <w:t>Виключити.</w:t>
            </w:r>
          </w:p>
          <w:p w14:paraId="03CA035F" w14:textId="77777777" w:rsidR="00894ECB" w:rsidRPr="00D927E4" w:rsidRDefault="00894ECB" w:rsidP="00894ECB">
            <w:pPr>
              <w:spacing w:after="120"/>
              <w:jc w:val="both"/>
              <w:rPr>
                <w:i/>
                <w:sz w:val="22"/>
                <w:szCs w:val="22"/>
              </w:rPr>
            </w:pPr>
            <w:r w:rsidRPr="00D927E4">
              <w:rPr>
                <w:i/>
                <w:sz w:val="22"/>
                <w:szCs w:val="22"/>
              </w:rPr>
              <w:t>ОБГРУНТУВАННЯ:</w:t>
            </w:r>
          </w:p>
          <w:p w14:paraId="77EFF381" w14:textId="77777777" w:rsidR="00894ECB" w:rsidRPr="00D927E4" w:rsidRDefault="00894ECB" w:rsidP="00894ECB">
            <w:pPr>
              <w:spacing w:after="160" w:line="259" w:lineRule="auto"/>
              <w:ind w:firstLine="240"/>
              <w:jc w:val="both"/>
              <w:rPr>
                <w:rFonts w:eastAsia="Calibri"/>
                <w:i/>
                <w:color w:val="000000"/>
                <w:sz w:val="22"/>
                <w:szCs w:val="22"/>
                <w:lang w:eastAsia="en-US"/>
              </w:rPr>
            </w:pPr>
            <w:r w:rsidRPr="00D927E4">
              <w:rPr>
                <w:rFonts w:eastAsia="Calibri"/>
                <w:i/>
                <w:color w:val="000000"/>
                <w:sz w:val="22"/>
                <w:szCs w:val="22"/>
                <w:lang w:eastAsia="en-US"/>
              </w:rPr>
              <w:t xml:space="preserve">Положення нового пункту 2.1.2 всупереч меті, з якою воно сформульовано, створює можливість для великих ліцензіатів відмовляти у проведенні перевірки, у розрахунку </w:t>
            </w:r>
            <w:r w:rsidRPr="00D927E4">
              <w:rPr>
                <w:rFonts w:eastAsia="Calibri"/>
                <w:i/>
                <w:color w:val="000000"/>
                <w:sz w:val="22"/>
                <w:szCs w:val="22"/>
                <w:lang w:eastAsia="en-US"/>
              </w:rPr>
              <w:lastRenderedPageBreak/>
              <w:t>на сплату штрафу, розмір якого порівняно з втратою ліцензії буде незначним.</w:t>
            </w:r>
          </w:p>
          <w:p w14:paraId="4B5D8B35" w14:textId="77777777" w:rsidR="00894ECB" w:rsidRPr="00D927E4" w:rsidRDefault="00894ECB" w:rsidP="00894ECB">
            <w:pPr>
              <w:spacing w:after="160" w:line="259" w:lineRule="auto"/>
              <w:ind w:firstLine="240"/>
              <w:jc w:val="both"/>
              <w:rPr>
                <w:rFonts w:eastAsia="Calibri"/>
                <w:i/>
                <w:color w:val="000000"/>
                <w:sz w:val="22"/>
                <w:szCs w:val="22"/>
                <w:lang w:eastAsia="en-US"/>
              </w:rPr>
            </w:pPr>
            <w:r w:rsidRPr="00D927E4">
              <w:rPr>
                <w:rFonts w:eastAsia="Calibri"/>
                <w:i/>
                <w:color w:val="000000"/>
                <w:sz w:val="22"/>
                <w:szCs w:val="22"/>
                <w:lang w:eastAsia="en-US"/>
              </w:rPr>
              <w:t>Крім того, формулювання доданого положення містить словосполучення «може застосовуватися», яке не дає чіткого розуміння за яких умов проводиться розрахунок штрафу відповідно до глави 2.2 Порядку (методики), а коли накладається максимальний розмір штрафу без розрахунку.</w:t>
            </w:r>
          </w:p>
          <w:p w14:paraId="5EB24718" w14:textId="77777777" w:rsidR="00894ECB" w:rsidRPr="00D927E4" w:rsidRDefault="00894ECB" w:rsidP="00894ECB">
            <w:pPr>
              <w:spacing w:after="160" w:line="259" w:lineRule="auto"/>
              <w:ind w:firstLine="240"/>
              <w:jc w:val="both"/>
              <w:rPr>
                <w:rFonts w:eastAsia="Calibri"/>
                <w:i/>
                <w:color w:val="000000"/>
                <w:sz w:val="22"/>
                <w:szCs w:val="22"/>
                <w:lang w:eastAsia="en-US"/>
              </w:rPr>
            </w:pPr>
            <w:r w:rsidRPr="00D927E4">
              <w:rPr>
                <w:rFonts w:eastAsia="Calibri"/>
                <w:i/>
                <w:color w:val="000000"/>
                <w:sz w:val="22"/>
                <w:szCs w:val="22"/>
                <w:lang w:eastAsia="en-US"/>
              </w:rPr>
              <w:t>Водночас, слід зауважити, що відповідно до глави 2.2 Порядку (методики)</w:t>
            </w:r>
            <w:r w:rsidRPr="00D927E4">
              <w:rPr>
                <w:rFonts w:eastAsia="Calibri"/>
                <w:sz w:val="22"/>
                <w:szCs w:val="22"/>
                <w:lang w:eastAsia="en-US"/>
              </w:rPr>
              <w:t xml:space="preserve"> </w:t>
            </w:r>
            <w:r w:rsidRPr="00D927E4">
              <w:rPr>
                <w:rFonts w:eastAsia="Calibri"/>
                <w:i/>
                <w:color w:val="000000"/>
                <w:sz w:val="22"/>
                <w:szCs w:val="22"/>
                <w:lang w:eastAsia="en-US"/>
              </w:rPr>
              <w:t xml:space="preserve">початковий розмір штрафу за будь-яке порушення розраховується, </w:t>
            </w:r>
            <w:r w:rsidRPr="00D927E4">
              <w:rPr>
                <w:rFonts w:eastAsia="Calibri"/>
                <w:i/>
                <w:color w:val="000000"/>
                <w:sz w:val="22"/>
                <w:szCs w:val="22"/>
                <w:u w:val="single"/>
                <w:lang w:eastAsia="en-US"/>
              </w:rPr>
              <w:t>виходячи з максимального розміру штрафу за відповідне порушення законодавства та/або ліцензійних умов, передбаченого чинним законодавством</w:t>
            </w:r>
            <w:r w:rsidRPr="00D927E4">
              <w:rPr>
                <w:rFonts w:eastAsia="Calibri"/>
                <w:i/>
                <w:color w:val="000000"/>
                <w:sz w:val="22"/>
                <w:szCs w:val="22"/>
                <w:lang w:eastAsia="en-US"/>
              </w:rPr>
              <w:t>, до якого застосовуються певні множники, що можуть зменшити цей розмір штрафу. Таким чином достатньо встановити для таких випадків, як:</w:t>
            </w:r>
          </w:p>
          <w:p w14:paraId="785E518F" w14:textId="77777777" w:rsidR="00894ECB" w:rsidRPr="00D927E4" w:rsidRDefault="00894ECB" w:rsidP="00894ECB">
            <w:pPr>
              <w:spacing w:after="160" w:line="259" w:lineRule="auto"/>
              <w:ind w:firstLine="240"/>
              <w:jc w:val="both"/>
              <w:rPr>
                <w:rFonts w:eastAsia="Calibri"/>
                <w:i/>
                <w:color w:val="000000"/>
                <w:sz w:val="22"/>
                <w:szCs w:val="22"/>
                <w:lang w:eastAsia="en-US"/>
              </w:rPr>
            </w:pPr>
            <w:r w:rsidRPr="00D927E4">
              <w:rPr>
                <w:rFonts w:eastAsia="Calibri"/>
                <w:i/>
                <w:color w:val="000000"/>
                <w:sz w:val="22"/>
                <w:szCs w:val="22"/>
                <w:lang w:eastAsia="en-US"/>
              </w:rPr>
              <w:t xml:space="preserve">відмова ліцензіата у проведенні перевірки; </w:t>
            </w:r>
          </w:p>
          <w:p w14:paraId="556BE617" w14:textId="77777777" w:rsidR="00894ECB" w:rsidRPr="00D927E4" w:rsidRDefault="00894ECB" w:rsidP="00894ECB">
            <w:pPr>
              <w:spacing w:after="160" w:line="259" w:lineRule="auto"/>
              <w:ind w:firstLine="240"/>
              <w:jc w:val="both"/>
              <w:rPr>
                <w:rFonts w:eastAsia="Calibri"/>
                <w:i/>
                <w:color w:val="000000"/>
                <w:sz w:val="22"/>
                <w:szCs w:val="22"/>
                <w:lang w:eastAsia="en-US"/>
              </w:rPr>
            </w:pPr>
            <w:r w:rsidRPr="00D927E4">
              <w:rPr>
                <w:rFonts w:eastAsia="Calibri"/>
                <w:i/>
                <w:color w:val="000000"/>
                <w:sz w:val="22"/>
                <w:szCs w:val="22"/>
                <w:lang w:eastAsia="en-US"/>
              </w:rPr>
              <w:t>повторне ненадання завірених в установленому законодавством порядку копій документів, пояснень та іншої інформації на законну вимогу НКРЕКП,</w:t>
            </w:r>
          </w:p>
          <w:p w14:paraId="2766E609" w14:textId="77777777" w:rsidR="00894ECB" w:rsidRPr="00D927E4" w:rsidRDefault="00894ECB" w:rsidP="00894ECB">
            <w:pPr>
              <w:spacing w:after="160" w:line="259" w:lineRule="auto"/>
              <w:ind w:firstLine="240"/>
              <w:jc w:val="both"/>
              <w:rPr>
                <w:rFonts w:eastAsia="Calibri"/>
                <w:i/>
                <w:color w:val="000000"/>
                <w:sz w:val="22"/>
                <w:szCs w:val="22"/>
                <w:lang w:eastAsia="en-US"/>
              </w:rPr>
            </w:pPr>
            <w:r w:rsidRPr="00D927E4">
              <w:rPr>
                <w:rFonts w:eastAsia="Calibri"/>
                <w:i/>
                <w:color w:val="000000"/>
                <w:sz w:val="22"/>
                <w:szCs w:val="22"/>
                <w:lang w:eastAsia="en-US"/>
              </w:rPr>
              <w:t>відсоток серйозності на рівні 100%, щоб розрахований відповідно до Порядку (методики) розмір штрафу був максимальним.</w:t>
            </w:r>
          </w:p>
          <w:p w14:paraId="3193AD67" w14:textId="77777777" w:rsidR="00894ECB" w:rsidRPr="00D927E4" w:rsidRDefault="00894ECB" w:rsidP="00894ECB">
            <w:pPr>
              <w:spacing w:after="120"/>
              <w:jc w:val="both"/>
              <w:rPr>
                <w:sz w:val="22"/>
                <w:szCs w:val="22"/>
              </w:rPr>
            </w:pPr>
          </w:p>
          <w:p w14:paraId="097022DC" w14:textId="77777777" w:rsidR="00894ECB" w:rsidRPr="00D927E4" w:rsidRDefault="00894ECB" w:rsidP="00894ECB">
            <w:pPr>
              <w:spacing w:after="120"/>
              <w:jc w:val="both"/>
              <w:rPr>
                <w:i/>
                <w:sz w:val="22"/>
                <w:szCs w:val="22"/>
              </w:rPr>
            </w:pPr>
            <w:r w:rsidRPr="00D927E4">
              <w:rPr>
                <w:i/>
                <w:sz w:val="22"/>
                <w:szCs w:val="22"/>
              </w:rPr>
              <w:t xml:space="preserve">ПАТ «ЗАПОРІЖЖЯОБЛЕНЕРГО»  </w:t>
            </w:r>
          </w:p>
          <w:p w14:paraId="2DF60E9D" w14:textId="77777777" w:rsidR="00894ECB" w:rsidRPr="00D927E4" w:rsidRDefault="00894ECB" w:rsidP="00894ECB">
            <w:pPr>
              <w:spacing w:after="120"/>
              <w:jc w:val="both"/>
              <w:rPr>
                <w:b/>
                <w:bCs/>
                <w:color w:val="333333"/>
                <w:sz w:val="22"/>
                <w:szCs w:val="22"/>
                <w:lang w:eastAsia="zh-CN"/>
              </w:rPr>
            </w:pPr>
            <w:r w:rsidRPr="00D927E4">
              <w:rPr>
                <w:b/>
                <w:bCs/>
                <w:color w:val="333333"/>
                <w:sz w:val="22"/>
                <w:szCs w:val="22"/>
                <w:lang w:eastAsia="zh-CN"/>
              </w:rPr>
              <w:t>Пропонується пункт 2.1.2. виключити.</w:t>
            </w:r>
          </w:p>
          <w:p w14:paraId="539B7BD2" w14:textId="77777777" w:rsidR="00894ECB" w:rsidRPr="00D927E4" w:rsidRDefault="00894ECB" w:rsidP="00894ECB">
            <w:pPr>
              <w:spacing w:after="120"/>
              <w:jc w:val="both"/>
              <w:rPr>
                <w:i/>
                <w:sz w:val="22"/>
                <w:szCs w:val="22"/>
              </w:rPr>
            </w:pPr>
          </w:p>
          <w:p w14:paraId="0EE9F884" w14:textId="77777777" w:rsidR="00894ECB" w:rsidRPr="00D927E4" w:rsidRDefault="00894ECB" w:rsidP="00894ECB">
            <w:pPr>
              <w:spacing w:after="120"/>
              <w:jc w:val="both"/>
              <w:rPr>
                <w:i/>
                <w:sz w:val="22"/>
                <w:szCs w:val="22"/>
              </w:rPr>
            </w:pPr>
            <w:r w:rsidRPr="00D927E4">
              <w:rPr>
                <w:i/>
                <w:sz w:val="22"/>
                <w:szCs w:val="22"/>
              </w:rPr>
              <w:t>ОБГРУНТУВАННЯ:</w:t>
            </w:r>
          </w:p>
          <w:p w14:paraId="40EF8F88" w14:textId="77777777" w:rsidR="00894ECB" w:rsidRPr="00D927E4" w:rsidRDefault="00894ECB" w:rsidP="00894ECB">
            <w:pPr>
              <w:suppressAutoHyphens/>
              <w:snapToGrid w:val="0"/>
              <w:spacing w:after="140" w:line="276" w:lineRule="auto"/>
              <w:jc w:val="both"/>
              <w:rPr>
                <w:sz w:val="22"/>
                <w:szCs w:val="22"/>
                <w:lang w:eastAsia="zh-CN"/>
              </w:rPr>
            </w:pPr>
            <w:r w:rsidRPr="00D927E4">
              <w:rPr>
                <w:color w:val="333333"/>
                <w:sz w:val="22"/>
                <w:szCs w:val="22"/>
                <w:lang w:eastAsia="zh-CN"/>
              </w:rPr>
              <w:t xml:space="preserve">Відповідно до ч.3 ст. 22 Закону України “Про Національну комісію, що здійснює державне регулювання у сферах </w:t>
            </w:r>
            <w:r w:rsidRPr="00D927E4">
              <w:rPr>
                <w:color w:val="333333"/>
                <w:sz w:val="22"/>
                <w:szCs w:val="22"/>
                <w:lang w:eastAsia="zh-CN"/>
              </w:rPr>
              <w:lastRenderedPageBreak/>
              <w:t>енергетики та комунальних послуг”, при застосуванні санкцій Регулятор має дотримуватися </w:t>
            </w:r>
            <w:r w:rsidRPr="00D927E4">
              <w:rPr>
                <w:color w:val="000000"/>
                <w:sz w:val="22"/>
                <w:szCs w:val="22"/>
                <w:lang w:eastAsia="zh-CN"/>
              </w:rPr>
              <w:t xml:space="preserve">принципів </w:t>
            </w:r>
            <w:r w:rsidRPr="00D927E4">
              <w:rPr>
                <w:color w:val="333333"/>
                <w:sz w:val="22"/>
                <w:szCs w:val="22"/>
                <w:lang w:eastAsia="zh-CN"/>
              </w:rPr>
              <w:t xml:space="preserve">пропорційності порушення і покарання та ефективності санкцій, які мають стримуючий вплив. </w:t>
            </w:r>
          </w:p>
          <w:p w14:paraId="41623B5C" w14:textId="77777777" w:rsidR="00894ECB" w:rsidRPr="00D927E4" w:rsidRDefault="00894ECB" w:rsidP="00894ECB">
            <w:pPr>
              <w:suppressAutoHyphens/>
              <w:snapToGrid w:val="0"/>
              <w:spacing w:after="140" w:line="276" w:lineRule="auto"/>
              <w:jc w:val="both"/>
              <w:rPr>
                <w:sz w:val="22"/>
                <w:szCs w:val="22"/>
                <w:lang w:eastAsia="zh-CN"/>
              </w:rPr>
            </w:pPr>
            <w:r w:rsidRPr="00D927E4">
              <w:rPr>
                <w:color w:val="333333"/>
                <w:sz w:val="22"/>
                <w:szCs w:val="22"/>
                <w:lang w:eastAsia="zh-CN"/>
              </w:rPr>
              <w:t>Вважаємо, що встановлення Регулятором максимального розміру штрафу за порушення, зазначені у запропонованому ним пункті 2.1.2., не узгоджується з принципом пропорційності порушення і покарання та матиме не стимулюючий, а виключно каральний характер.</w:t>
            </w:r>
          </w:p>
          <w:p w14:paraId="708C01ED" w14:textId="77777777" w:rsidR="00894ECB" w:rsidRPr="00D927E4" w:rsidRDefault="00894ECB" w:rsidP="00894ECB">
            <w:pPr>
              <w:spacing w:after="120"/>
              <w:jc w:val="both"/>
              <w:rPr>
                <w:b/>
                <w:bCs/>
                <w:color w:val="333333"/>
                <w:sz w:val="22"/>
                <w:szCs w:val="22"/>
                <w:u w:val="single"/>
                <w:lang w:eastAsia="zh-CN"/>
              </w:rPr>
            </w:pPr>
            <w:r w:rsidRPr="00D927E4">
              <w:rPr>
                <w:color w:val="333333"/>
                <w:sz w:val="22"/>
                <w:szCs w:val="22"/>
                <w:lang w:eastAsia="zh-CN"/>
              </w:rPr>
              <w:t xml:space="preserve">Крім того, Регулятором пропонується застосування санкцій у вигляді максимального розміру штрафу за дії ліцензіатів, обов'язок вчинення яких не передбачено чинним законодавством (повторне ненадання </w:t>
            </w:r>
            <w:r w:rsidRPr="00D927E4">
              <w:rPr>
                <w:b/>
                <w:bCs/>
                <w:color w:val="333333"/>
                <w:sz w:val="22"/>
                <w:szCs w:val="22"/>
                <w:u w:val="single"/>
                <w:lang w:eastAsia="zh-CN"/>
              </w:rPr>
              <w:t>завірених в установленому законодавством порядку копій документів).</w:t>
            </w:r>
          </w:p>
          <w:p w14:paraId="4632C234" w14:textId="77777777" w:rsidR="00894ECB" w:rsidRDefault="00894ECB" w:rsidP="00894ECB">
            <w:pPr>
              <w:spacing w:after="120"/>
              <w:jc w:val="both"/>
              <w:rPr>
                <w:i/>
                <w:sz w:val="22"/>
                <w:szCs w:val="22"/>
              </w:rPr>
            </w:pPr>
          </w:p>
          <w:p w14:paraId="24512E51" w14:textId="77777777" w:rsidR="00F743EA" w:rsidRDefault="00F743EA" w:rsidP="00894ECB">
            <w:pPr>
              <w:spacing w:after="120"/>
              <w:jc w:val="both"/>
              <w:rPr>
                <w:i/>
                <w:sz w:val="22"/>
                <w:szCs w:val="22"/>
              </w:rPr>
            </w:pPr>
          </w:p>
          <w:p w14:paraId="596AA2B4" w14:textId="77777777" w:rsidR="00F743EA" w:rsidRDefault="00F743EA" w:rsidP="00894ECB">
            <w:pPr>
              <w:spacing w:after="120"/>
              <w:jc w:val="both"/>
              <w:rPr>
                <w:i/>
                <w:sz w:val="22"/>
                <w:szCs w:val="22"/>
              </w:rPr>
            </w:pPr>
          </w:p>
          <w:p w14:paraId="6AF0C5F4" w14:textId="77777777" w:rsidR="00F743EA" w:rsidRDefault="00F743EA" w:rsidP="00894ECB">
            <w:pPr>
              <w:spacing w:after="120"/>
              <w:jc w:val="both"/>
              <w:rPr>
                <w:i/>
                <w:sz w:val="22"/>
                <w:szCs w:val="22"/>
              </w:rPr>
            </w:pPr>
          </w:p>
          <w:p w14:paraId="31E7176E" w14:textId="77777777" w:rsidR="00F743EA" w:rsidRDefault="00F743EA" w:rsidP="00894ECB">
            <w:pPr>
              <w:spacing w:after="120"/>
              <w:jc w:val="both"/>
              <w:rPr>
                <w:i/>
                <w:sz w:val="22"/>
                <w:szCs w:val="22"/>
              </w:rPr>
            </w:pPr>
          </w:p>
          <w:p w14:paraId="097A9F1F" w14:textId="77777777" w:rsidR="00F743EA" w:rsidRDefault="00F743EA" w:rsidP="00894ECB">
            <w:pPr>
              <w:spacing w:after="120"/>
              <w:jc w:val="both"/>
              <w:rPr>
                <w:i/>
                <w:sz w:val="22"/>
                <w:szCs w:val="22"/>
              </w:rPr>
            </w:pPr>
          </w:p>
          <w:p w14:paraId="403718AA" w14:textId="77777777" w:rsidR="00F743EA" w:rsidRDefault="00F743EA" w:rsidP="00894ECB">
            <w:pPr>
              <w:spacing w:after="120"/>
              <w:jc w:val="both"/>
              <w:rPr>
                <w:i/>
                <w:sz w:val="22"/>
                <w:szCs w:val="22"/>
              </w:rPr>
            </w:pPr>
          </w:p>
          <w:p w14:paraId="1CBA18A3" w14:textId="77777777" w:rsidR="00F743EA" w:rsidRPr="00D927E4" w:rsidRDefault="00F743EA" w:rsidP="00894ECB">
            <w:pPr>
              <w:spacing w:after="120"/>
              <w:jc w:val="both"/>
              <w:rPr>
                <w:i/>
                <w:sz w:val="22"/>
                <w:szCs w:val="22"/>
              </w:rPr>
            </w:pPr>
          </w:p>
          <w:p w14:paraId="2A4FE7C1" w14:textId="77777777" w:rsidR="00894ECB" w:rsidRPr="00D927E4" w:rsidRDefault="00894ECB" w:rsidP="00894ECB">
            <w:pPr>
              <w:spacing w:after="120"/>
              <w:jc w:val="both"/>
              <w:rPr>
                <w:i/>
                <w:sz w:val="22"/>
                <w:szCs w:val="22"/>
              </w:rPr>
            </w:pPr>
            <w:r w:rsidRPr="00D927E4">
              <w:rPr>
                <w:i/>
                <w:sz w:val="22"/>
                <w:szCs w:val="22"/>
              </w:rPr>
              <w:t>АТ «ДТЕК ЗАХІДЕНЕРГО»</w:t>
            </w:r>
          </w:p>
          <w:p w14:paraId="567A95FA" w14:textId="77777777" w:rsidR="00894ECB" w:rsidRPr="00D927E4" w:rsidRDefault="00894ECB" w:rsidP="00894ECB">
            <w:pPr>
              <w:widowControl w:val="0"/>
              <w:autoSpaceDE w:val="0"/>
              <w:autoSpaceDN w:val="0"/>
              <w:spacing w:before="224"/>
              <w:ind w:left="74" w:right="64"/>
              <w:jc w:val="both"/>
              <w:rPr>
                <w:rFonts w:eastAsia="Calibri"/>
                <w:sz w:val="22"/>
                <w:szCs w:val="22"/>
                <w:lang w:eastAsia="en-US"/>
              </w:rPr>
            </w:pPr>
            <w:r w:rsidRPr="00D927E4">
              <w:rPr>
                <w:rFonts w:eastAsia="Calibri"/>
                <w:sz w:val="22"/>
                <w:szCs w:val="22"/>
                <w:lang w:eastAsia="en-US"/>
              </w:rPr>
              <w:t>Пропоновані доповнення надають Регулятору необґрунтованих абсолютних повноважень щодо здійснення перевірок та позбавляють суб’єктів права на захист, а також на вираження своєї позиції.</w:t>
            </w:r>
          </w:p>
          <w:p w14:paraId="37D880DF" w14:textId="77777777" w:rsidR="00894ECB" w:rsidRPr="00D927E4" w:rsidRDefault="00894ECB" w:rsidP="00894ECB">
            <w:pPr>
              <w:widowControl w:val="0"/>
              <w:autoSpaceDE w:val="0"/>
              <w:autoSpaceDN w:val="0"/>
              <w:spacing w:before="2"/>
              <w:ind w:left="74" w:right="63"/>
              <w:jc w:val="both"/>
              <w:rPr>
                <w:rFonts w:eastAsia="Calibri"/>
                <w:sz w:val="22"/>
                <w:szCs w:val="22"/>
                <w:lang w:eastAsia="en-US"/>
              </w:rPr>
            </w:pPr>
            <w:r w:rsidRPr="00D927E4">
              <w:rPr>
                <w:rFonts w:eastAsia="Calibri"/>
                <w:sz w:val="22"/>
                <w:szCs w:val="22"/>
                <w:lang w:eastAsia="en-US"/>
              </w:rPr>
              <w:t xml:space="preserve">Обґрунтована відмова у проведенні перевірки є невід’ємним правом суб’єкта та не може ставитись у залежність до максимального штрафу, для застосування </w:t>
            </w:r>
            <w:r w:rsidRPr="00D927E4">
              <w:rPr>
                <w:rFonts w:eastAsia="Calibri"/>
                <w:sz w:val="22"/>
                <w:szCs w:val="22"/>
                <w:lang w:eastAsia="en-US"/>
              </w:rPr>
              <w:lastRenderedPageBreak/>
              <w:t>якого повинні бути належні докази вчинення значного порушення.</w:t>
            </w:r>
          </w:p>
          <w:p w14:paraId="07D4B7D1" w14:textId="77777777" w:rsidR="00894ECB" w:rsidRPr="00D927E4" w:rsidRDefault="00894ECB" w:rsidP="00894ECB">
            <w:pPr>
              <w:widowControl w:val="0"/>
              <w:autoSpaceDE w:val="0"/>
              <w:autoSpaceDN w:val="0"/>
              <w:ind w:left="74" w:right="62"/>
              <w:jc w:val="both"/>
              <w:rPr>
                <w:rFonts w:eastAsia="Calibri"/>
                <w:sz w:val="22"/>
                <w:szCs w:val="22"/>
                <w:lang w:eastAsia="en-US"/>
              </w:rPr>
            </w:pPr>
            <w:r w:rsidRPr="00D927E4">
              <w:rPr>
                <w:rFonts w:eastAsia="Calibri"/>
                <w:sz w:val="22"/>
                <w:szCs w:val="22"/>
                <w:lang w:eastAsia="en-US"/>
              </w:rPr>
              <w:t>Застосування максимального штрафу за ненадання завірених копій документів нівелює право суб’єкта на можливість обґрунтування відсутності правових підстав для їх надання та/або інших поважних причин.</w:t>
            </w:r>
          </w:p>
          <w:p w14:paraId="069C8760" w14:textId="77777777" w:rsidR="00894ECB" w:rsidRPr="00D927E4" w:rsidRDefault="00894ECB" w:rsidP="00894ECB">
            <w:pPr>
              <w:widowControl w:val="0"/>
              <w:autoSpaceDE w:val="0"/>
              <w:autoSpaceDN w:val="0"/>
              <w:jc w:val="both"/>
              <w:rPr>
                <w:rFonts w:eastAsia="Calibri"/>
                <w:b/>
                <w:sz w:val="22"/>
                <w:szCs w:val="22"/>
                <w:lang w:eastAsia="en-US"/>
              </w:rPr>
            </w:pPr>
          </w:p>
          <w:p w14:paraId="3E021510" w14:textId="77777777" w:rsidR="00894ECB" w:rsidRPr="00D927E4" w:rsidRDefault="00894ECB" w:rsidP="00894ECB">
            <w:pPr>
              <w:widowControl w:val="0"/>
              <w:autoSpaceDE w:val="0"/>
              <w:autoSpaceDN w:val="0"/>
              <w:ind w:left="74"/>
              <w:jc w:val="both"/>
              <w:rPr>
                <w:rFonts w:eastAsia="Calibri"/>
                <w:sz w:val="22"/>
                <w:szCs w:val="22"/>
                <w:lang w:eastAsia="en-US"/>
              </w:rPr>
            </w:pPr>
            <w:r w:rsidRPr="00D927E4">
              <w:rPr>
                <w:rFonts w:eastAsia="Calibri"/>
                <w:spacing w:val="-2"/>
                <w:sz w:val="22"/>
                <w:szCs w:val="22"/>
                <w:lang w:eastAsia="en-US"/>
              </w:rPr>
              <w:t>Пропозиції:</w:t>
            </w:r>
          </w:p>
          <w:p w14:paraId="70EEE093" w14:textId="77777777" w:rsidR="00894ECB" w:rsidRPr="00D927E4" w:rsidRDefault="00894ECB" w:rsidP="00894ECB">
            <w:pPr>
              <w:widowControl w:val="0"/>
              <w:numPr>
                <w:ilvl w:val="0"/>
                <w:numId w:val="25"/>
              </w:numPr>
              <w:tabs>
                <w:tab w:val="left" w:pos="792"/>
                <w:tab w:val="left" w:pos="794"/>
              </w:tabs>
              <w:autoSpaceDE w:val="0"/>
              <w:autoSpaceDN w:val="0"/>
              <w:ind w:right="63"/>
              <w:jc w:val="both"/>
              <w:rPr>
                <w:rFonts w:eastAsia="Calibri"/>
                <w:sz w:val="22"/>
                <w:szCs w:val="22"/>
                <w:lang w:eastAsia="en-US"/>
              </w:rPr>
            </w:pPr>
            <w:r w:rsidRPr="00D927E4">
              <w:rPr>
                <w:rFonts w:eastAsia="Calibri"/>
                <w:sz w:val="22"/>
                <w:szCs w:val="22"/>
                <w:lang w:eastAsia="en-US"/>
              </w:rPr>
              <w:t>Відтермінувати</w:t>
            </w:r>
            <w:r w:rsidRPr="00D927E4">
              <w:rPr>
                <w:rFonts w:eastAsia="Calibri"/>
                <w:spacing w:val="80"/>
                <w:sz w:val="22"/>
                <w:szCs w:val="22"/>
                <w:lang w:eastAsia="en-US"/>
              </w:rPr>
              <w:t xml:space="preserve"> </w:t>
            </w:r>
            <w:r w:rsidRPr="00D927E4">
              <w:rPr>
                <w:rFonts w:eastAsia="Calibri"/>
                <w:sz w:val="22"/>
                <w:szCs w:val="22"/>
                <w:lang w:eastAsia="en-US"/>
              </w:rPr>
              <w:t>питання</w:t>
            </w:r>
            <w:r w:rsidRPr="00D927E4">
              <w:rPr>
                <w:rFonts w:eastAsia="Calibri"/>
                <w:spacing w:val="80"/>
                <w:sz w:val="22"/>
                <w:szCs w:val="22"/>
                <w:lang w:eastAsia="en-US"/>
              </w:rPr>
              <w:t xml:space="preserve"> </w:t>
            </w:r>
            <w:r w:rsidRPr="00D927E4">
              <w:rPr>
                <w:rFonts w:eastAsia="Calibri"/>
                <w:sz w:val="22"/>
                <w:szCs w:val="22"/>
                <w:lang w:eastAsia="en-US"/>
              </w:rPr>
              <w:t>можливості</w:t>
            </w:r>
            <w:r w:rsidRPr="00D927E4">
              <w:rPr>
                <w:rFonts w:eastAsia="Calibri"/>
                <w:spacing w:val="80"/>
                <w:sz w:val="22"/>
                <w:szCs w:val="22"/>
                <w:lang w:eastAsia="en-US"/>
              </w:rPr>
              <w:t xml:space="preserve"> </w:t>
            </w:r>
            <w:r w:rsidRPr="00D927E4">
              <w:rPr>
                <w:rFonts w:eastAsia="Calibri"/>
                <w:sz w:val="22"/>
                <w:szCs w:val="22"/>
                <w:lang w:eastAsia="en-US"/>
              </w:rPr>
              <w:t>запровадження після закінчення воєнного стану.</w:t>
            </w:r>
          </w:p>
          <w:p w14:paraId="172A5879" w14:textId="77777777" w:rsidR="00894ECB" w:rsidRPr="00D927E4" w:rsidRDefault="00894ECB" w:rsidP="00894ECB">
            <w:pPr>
              <w:widowControl w:val="0"/>
              <w:numPr>
                <w:ilvl w:val="0"/>
                <w:numId w:val="25"/>
              </w:numPr>
              <w:tabs>
                <w:tab w:val="left" w:pos="792"/>
                <w:tab w:val="left" w:pos="794"/>
              </w:tabs>
              <w:autoSpaceDE w:val="0"/>
              <w:autoSpaceDN w:val="0"/>
              <w:ind w:right="63"/>
              <w:jc w:val="both"/>
              <w:rPr>
                <w:rFonts w:eastAsia="Calibri"/>
                <w:sz w:val="22"/>
                <w:szCs w:val="22"/>
                <w:lang w:eastAsia="en-US"/>
              </w:rPr>
            </w:pPr>
            <w:r w:rsidRPr="00D927E4">
              <w:rPr>
                <w:rFonts w:eastAsia="Calibri"/>
                <w:sz w:val="22"/>
                <w:szCs w:val="22"/>
                <w:lang w:eastAsia="en-US"/>
              </w:rPr>
              <w:t>Передбачити,</w:t>
            </w:r>
            <w:r w:rsidRPr="00D927E4">
              <w:rPr>
                <w:rFonts w:eastAsia="Calibri"/>
                <w:spacing w:val="36"/>
                <w:sz w:val="22"/>
                <w:szCs w:val="22"/>
                <w:lang w:eastAsia="en-US"/>
              </w:rPr>
              <w:t xml:space="preserve"> </w:t>
            </w:r>
            <w:r w:rsidRPr="00D927E4">
              <w:rPr>
                <w:rFonts w:eastAsia="Calibri"/>
                <w:sz w:val="22"/>
                <w:szCs w:val="22"/>
                <w:lang w:eastAsia="en-US"/>
              </w:rPr>
              <w:t>що</w:t>
            </w:r>
            <w:r w:rsidRPr="00D927E4">
              <w:rPr>
                <w:rFonts w:eastAsia="Calibri"/>
                <w:spacing w:val="36"/>
                <w:sz w:val="22"/>
                <w:szCs w:val="22"/>
                <w:lang w:eastAsia="en-US"/>
              </w:rPr>
              <w:t xml:space="preserve"> </w:t>
            </w:r>
            <w:r w:rsidRPr="00D927E4">
              <w:rPr>
                <w:rFonts w:eastAsia="Calibri"/>
                <w:sz w:val="22"/>
                <w:szCs w:val="22"/>
                <w:lang w:eastAsia="en-US"/>
              </w:rPr>
              <w:t>лише</w:t>
            </w:r>
            <w:r w:rsidRPr="00D927E4">
              <w:rPr>
                <w:rFonts w:eastAsia="Calibri"/>
                <w:spacing w:val="35"/>
                <w:sz w:val="22"/>
                <w:szCs w:val="22"/>
                <w:lang w:eastAsia="en-US"/>
              </w:rPr>
              <w:t xml:space="preserve"> </w:t>
            </w:r>
            <w:r w:rsidRPr="00D927E4">
              <w:rPr>
                <w:rFonts w:eastAsia="Calibri"/>
                <w:sz w:val="22"/>
                <w:szCs w:val="22"/>
                <w:lang w:eastAsia="en-US"/>
              </w:rPr>
              <w:t>«необґрунтованість»</w:t>
            </w:r>
            <w:r w:rsidRPr="00D927E4">
              <w:rPr>
                <w:rFonts w:eastAsia="Calibri"/>
                <w:spacing w:val="37"/>
                <w:sz w:val="22"/>
                <w:szCs w:val="22"/>
                <w:lang w:eastAsia="en-US"/>
              </w:rPr>
              <w:t xml:space="preserve"> </w:t>
            </w:r>
            <w:r w:rsidRPr="00D927E4">
              <w:rPr>
                <w:rFonts w:eastAsia="Calibri"/>
                <w:sz w:val="22"/>
                <w:szCs w:val="22"/>
                <w:lang w:eastAsia="en-US"/>
              </w:rPr>
              <w:t>відмови</w:t>
            </w:r>
            <w:r w:rsidRPr="00D927E4">
              <w:rPr>
                <w:rFonts w:eastAsia="Calibri"/>
                <w:spacing w:val="39"/>
                <w:sz w:val="22"/>
                <w:szCs w:val="22"/>
                <w:lang w:eastAsia="en-US"/>
              </w:rPr>
              <w:t xml:space="preserve"> </w:t>
            </w:r>
            <w:r w:rsidRPr="00D927E4">
              <w:rPr>
                <w:rFonts w:eastAsia="Calibri"/>
                <w:sz w:val="22"/>
                <w:szCs w:val="22"/>
                <w:lang w:eastAsia="en-US"/>
              </w:rPr>
              <w:t>у проведенні</w:t>
            </w:r>
            <w:r w:rsidRPr="00D927E4">
              <w:rPr>
                <w:rFonts w:eastAsia="Calibri"/>
                <w:spacing w:val="80"/>
                <w:sz w:val="22"/>
                <w:szCs w:val="22"/>
                <w:lang w:eastAsia="en-US"/>
              </w:rPr>
              <w:t xml:space="preserve"> </w:t>
            </w:r>
            <w:r w:rsidRPr="00D927E4">
              <w:rPr>
                <w:rFonts w:eastAsia="Calibri"/>
                <w:sz w:val="22"/>
                <w:szCs w:val="22"/>
                <w:lang w:eastAsia="en-US"/>
              </w:rPr>
              <w:t>перевірки</w:t>
            </w:r>
            <w:r w:rsidRPr="00D927E4">
              <w:rPr>
                <w:rFonts w:eastAsia="Calibri"/>
                <w:spacing w:val="80"/>
                <w:sz w:val="22"/>
                <w:szCs w:val="22"/>
                <w:lang w:eastAsia="en-US"/>
              </w:rPr>
              <w:t xml:space="preserve"> </w:t>
            </w:r>
            <w:r w:rsidRPr="00D927E4">
              <w:rPr>
                <w:rFonts w:eastAsia="Calibri"/>
                <w:sz w:val="22"/>
                <w:szCs w:val="22"/>
                <w:lang w:eastAsia="en-US"/>
              </w:rPr>
              <w:t>«може</w:t>
            </w:r>
            <w:r w:rsidRPr="00D927E4">
              <w:rPr>
                <w:rFonts w:eastAsia="Calibri"/>
                <w:spacing w:val="80"/>
                <w:sz w:val="22"/>
                <w:szCs w:val="22"/>
                <w:lang w:eastAsia="en-US"/>
              </w:rPr>
              <w:t xml:space="preserve"> </w:t>
            </w:r>
            <w:r w:rsidRPr="00D927E4">
              <w:rPr>
                <w:rFonts w:eastAsia="Calibri"/>
                <w:sz w:val="22"/>
                <w:szCs w:val="22"/>
                <w:lang w:eastAsia="en-US"/>
              </w:rPr>
              <w:t>стати</w:t>
            </w:r>
            <w:r w:rsidRPr="00D927E4">
              <w:rPr>
                <w:rFonts w:eastAsia="Calibri"/>
                <w:spacing w:val="80"/>
                <w:sz w:val="22"/>
                <w:szCs w:val="22"/>
                <w:lang w:eastAsia="en-US"/>
              </w:rPr>
              <w:t xml:space="preserve"> </w:t>
            </w:r>
            <w:r w:rsidRPr="00D927E4">
              <w:rPr>
                <w:rFonts w:eastAsia="Calibri"/>
                <w:sz w:val="22"/>
                <w:szCs w:val="22"/>
                <w:lang w:eastAsia="en-US"/>
              </w:rPr>
              <w:t>підставою»</w:t>
            </w:r>
            <w:r w:rsidRPr="00D927E4">
              <w:rPr>
                <w:rFonts w:eastAsia="Calibri"/>
                <w:spacing w:val="80"/>
                <w:sz w:val="22"/>
                <w:szCs w:val="22"/>
                <w:lang w:eastAsia="en-US"/>
              </w:rPr>
              <w:t xml:space="preserve"> </w:t>
            </w:r>
            <w:r w:rsidRPr="00D927E4">
              <w:rPr>
                <w:rFonts w:eastAsia="Calibri"/>
                <w:sz w:val="22"/>
                <w:szCs w:val="22"/>
                <w:lang w:eastAsia="en-US"/>
              </w:rPr>
              <w:t xml:space="preserve">для розгляду питання застосування «відповідного» розміру </w:t>
            </w:r>
            <w:r w:rsidRPr="00D927E4">
              <w:rPr>
                <w:rFonts w:eastAsia="Calibri"/>
                <w:spacing w:val="-2"/>
                <w:sz w:val="22"/>
                <w:szCs w:val="22"/>
                <w:lang w:eastAsia="en-US"/>
              </w:rPr>
              <w:t>штрафу.</w:t>
            </w:r>
          </w:p>
          <w:p w14:paraId="4E90D12E" w14:textId="77777777" w:rsidR="00894ECB" w:rsidRPr="00D927E4" w:rsidRDefault="00894ECB" w:rsidP="00894ECB">
            <w:pPr>
              <w:widowControl w:val="0"/>
              <w:numPr>
                <w:ilvl w:val="0"/>
                <w:numId w:val="25"/>
              </w:numPr>
              <w:tabs>
                <w:tab w:val="left" w:pos="792"/>
                <w:tab w:val="left" w:pos="794"/>
              </w:tabs>
              <w:autoSpaceDE w:val="0"/>
              <w:autoSpaceDN w:val="0"/>
              <w:ind w:right="63"/>
              <w:jc w:val="both"/>
              <w:rPr>
                <w:rFonts w:eastAsia="Calibri"/>
                <w:sz w:val="22"/>
                <w:szCs w:val="22"/>
                <w:lang w:eastAsia="en-US"/>
              </w:rPr>
            </w:pPr>
            <w:r w:rsidRPr="00D927E4">
              <w:rPr>
                <w:rFonts w:eastAsia="Calibri"/>
                <w:sz w:val="22"/>
                <w:szCs w:val="22"/>
                <w:lang w:eastAsia="en-US"/>
              </w:rPr>
              <w:t>Повторне ненадання завірених в установленому законодавством порядку копій документів, пояснень та іншої інформації на законну вимогу НКРЕКП необхідно поставити в залежність відсутності таких копій документів, пояснень та іншої інформації в НКРЕКП або іншого державного органу; письмового обґрунтування необхідності надання суб’єктом таких копій документів, пояснень та іншої інформації.</w:t>
            </w:r>
          </w:p>
          <w:p w14:paraId="24B5A688" w14:textId="77777777" w:rsidR="00894ECB" w:rsidRPr="00D927E4" w:rsidRDefault="00894ECB" w:rsidP="00894ECB">
            <w:pPr>
              <w:widowControl w:val="0"/>
              <w:tabs>
                <w:tab w:val="left" w:pos="792"/>
                <w:tab w:val="left" w:pos="794"/>
              </w:tabs>
              <w:autoSpaceDE w:val="0"/>
              <w:autoSpaceDN w:val="0"/>
              <w:ind w:right="63"/>
              <w:jc w:val="both"/>
              <w:rPr>
                <w:rFonts w:eastAsia="Calibri"/>
                <w:sz w:val="22"/>
                <w:szCs w:val="22"/>
                <w:lang w:eastAsia="en-US"/>
              </w:rPr>
            </w:pPr>
          </w:p>
          <w:p w14:paraId="67C27A8F" w14:textId="77777777" w:rsidR="00894ECB" w:rsidRPr="00D927E4" w:rsidRDefault="00894ECB" w:rsidP="00894ECB">
            <w:pPr>
              <w:widowControl w:val="0"/>
              <w:tabs>
                <w:tab w:val="left" w:pos="792"/>
                <w:tab w:val="left" w:pos="794"/>
              </w:tabs>
              <w:autoSpaceDE w:val="0"/>
              <w:autoSpaceDN w:val="0"/>
              <w:ind w:right="63"/>
              <w:jc w:val="both"/>
              <w:rPr>
                <w:rFonts w:eastAsia="Calibri"/>
                <w:i/>
                <w:sz w:val="22"/>
                <w:szCs w:val="22"/>
                <w:lang w:eastAsia="en-US"/>
              </w:rPr>
            </w:pPr>
            <w:r w:rsidRPr="00D927E4">
              <w:rPr>
                <w:rFonts w:eastAsia="Calibri"/>
                <w:i/>
                <w:sz w:val="22"/>
                <w:szCs w:val="22"/>
                <w:lang w:eastAsia="en-US"/>
              </w:rPr>
              <w:t>ОБГРУНТУВАННЯ:</w:t>
            </w:r>
          </w:p>
          <w:p w14:paraId="2AE4A0E8" w14:textId="77777777" w:rsidR="00894ECB" w:rsidRPr="00D927E4" w:rsidRDefault="00894ECB" w:rsidP="00894ECB">
            <w:pPr>
              <w:widowControl w:val="0"/>
              <w:tabs>
                <w:tab w:val="left" w:pos="792"/>
                <w:tab w:val="left" w:pos="794"/>
              </w:tabs>
              <w:autoSpaceDE w:val="0"/>
              <w:autoSpaceDN w:val="0"/>
              <w:ind w:right="63"/>
              <w:jc w:val="both"/>
              <w:rPr>
                <w:rFonts w:eastAsia="Calibri"/>
                <w:sz w:val="22"/>
                <w:szCs w:val="22"/>
                <w:lang w:eastAsia="en-US"/>
              </w:rPr>
            </w:pPr>
            <w:r w:rsidRPr="00D927E4">
              <w:rPr>
                <w:rFonts w:eastAsia="Calibri"/>
                <w:sz w:val="22"/>
                <w:szCs w:val="22"/>
                <w:lang w:eastAsia="en-US"/>
              </w:rPr>
              <w:t>Генерація за останні три роки зазнала надзвичайно великих</w:t>
            </w:r>
          </w:p>
          <w:p w14:paraId="1FFDBFC5" w14:textId="77777777" w:rsidR="00894ECB" w:rsidRPr="00D927E4" w:rsidRDefault="00894ECB" w:rsidP="00894ECB">
            <w:pPr>
              <w:widowControl w:val="0"/>
              <w:tabs>
                <w:tab w:val="left" w:pos="792"/>
                <w:tab w:val="left" w:pos="794"/>
              </w:tabs>
              <w:autoSpaceDE w:val="0"/>
              <w:autoSpaceDN w:val="0"/>
              <w:ind w:right="63"/>
              <w:jc w:val="both"/>
              <w:rPr>
                <w:rFonts w:eastAsia="Calibri"/>
                <w:sz w:val="22"/>
                <w:szCs w:val="22"/>
                <w:lang w:eastAsia="en-US"/>
              </w:rPr>
            </w:pPr>
            <w:r w:rsidRPr="00D927E4">
              <w:rPr>
                <w:rFonts w:eastAsia="Calibri"/>
                <w:sz w:val="22"/>
                <w:szCs w:val="22"/>
                <w:lang w:eastAsia="en-US"/>
              </w:rPr>
              <w:t>руйнувань та економічних збитків, що сприяє значному росту імпорту електроенергії.</w:t>
            </w:r>
          </w:p>
          <w:p w14:paraId="64B2BA16" w14:textId="77777777" w:rsidR="00894ECB" w:rsidRPr="00D927E4" w:rsidRDefault="00894ECB" w:rsidP="00894ECB">
            <w:pPr>
              <w:widowControl w:val="0"/>
              <w:tabs>
                <w:tab w:val="left" w:pos="792"/>
                <w:tab w:val="left" w:pos="794"/>
              </w:tabs>
              <w:autoSpaceDE w:val="0"/>
              <w:autoSpaceDN w:val="0"/>
              <w:ind w:right="63"/>
              <w:jc w:val="both"/>
              <w:rPr>
                <w:rFonts w:eastAsia="Calibri"/>
                <w:sz w:val="22"/>
                <w:szCs w:val="22"/>
                <w:lang w:eastAsia="en-US"/>
              </w:rPr>
            </w:pPr>
            <w:r w:rsidRPr="00D927E4">
              <w:rPr>
                <w:rFonts w:eastAsia="Calibri"/>
                <w:sz w:val="22"/>
                <w:szCs w:val="22"/>
                <w:lang w:eastAsia="en-US"/>
              </w:rPr>
              <w:t>Зважаючи на велику кількість</w:t>
            </w:r>
          </w:p>
          <w:p w14:paraId="3799CFCF" w14:textId="77777777" w:rsidR="00894ECB" w:rsidRPr="00D927E4" w:rsidRDefault="00894ECB" w:rsidP="00894ECB">
            <w:pPr>
              <w:widowControl w:val="0"/>
              <w:tabs>
                <w:tab w:val="left" w:pos="792"/>
                <w:tab w:val="left" w:pos="794"/>
              </w:tabs>
              <w:autoSpaceDE w:val="0"/>
              <w:autoSpaceDN w:val="0"/>
              <w:ind w:right="63"/>
              <w:jc w:val="both"/>
              <w:rPr>
                <w:rFonts w:eastAsia="Calibri"/>
                <w:sz w:val="22"/>
                <w:szCs w:val="22"/>
                <w:lang w:eastAsia="en-US"/>
              </w:rPr>
            </w:pPr>
            <w:r w:rsidRPr="00D927E4">
              <w:rPr>
                <w:rFonts w:eastAsia="Calibri"/>
                <w:sz w:val="22"/>
                <w:szCs w:val="22"/>
                <w:lang w:eastAsia="en-US"/>
              </w:rPr>
              <w:t>запитів НКРЕКП впродовж року , встановлення максимальної</w:t>
            </w:r>
          </w:p>
          <w:p w14:paraId="22C60EAB" w14:textId="77777777" w:rsidR="00894ECB" w:rsidRPr="00D927E4" w:rsidRDefault="00894ECB" w:rsidP="00894ECB">
            <w:pPr>
              <w:widowControl w:val="0"/>
              <w:tabs>
                <w:tab w:val="left" w:pos="792"/>
                <w:tab w:val="left" w:pos="794"/>
              </w:tabs>
              <w:autoSpaceDE w:val="0"/>
              <w:autoSpaceDN w:val="0"/>
              <w:ind w:right="63"/>
              <w:jc w:val="both"/>
              <w:rPr>
                <w:rFonts w:eastAsia="Calibri"/>
                <w:sz w:val="22"/>
                <w:szCs w:val="22"/>
                <w:lang w:eastAsia="en-US"/>
              </w:rPr>
            </w:pPr>
            <w:r w:rsidRPr="00D927E4">
              <w:rPr>
                <w:rFonts w:eastAsia="Calibri"/>
                <w:sz w:val="22"/>
                <w:szCs w:val="22"/>
                <w:lang w:eastAsia="en-US"/>
              </w:rPr>
              <w:t>санкції у разі повторного ненадання завірених в</w:t>
            </w:r>
          </w:p>
          <w:p w14:paraId="232D8120" w14:textId="77777777" w:rsidR="00894ECB" w:rsidRPr="00D927E4" w:rsidRDefault="00894ECB" w:rsidP="00894ECB">
            <w:pPr>
              <w:widowControl w:val="0"/>
              <w:tabs>
                <w:tab w:val="left" w:pos="792"/>
                <w:tab w:val="left" w:pos="794"/>
              </w:tabs>
              <w:autoSpaceDE w:val="0"/>
              <w:autoSpaceDN w:val="0"/>
              <w:ind w:right="63"/>
              <w:jc w:val="both"/>
              <w:rPr>
                <w:rFonts w:eastAsia="Calibri"/>
                <w:sz w:val="22"/>
                <w:szCs w:val="22"/>
                <w:lang w:eastAsia="en-US"/>
              </w:rPr>
            </w:pPr>
            <w:r w:rsidRPr="00D927E4">
              <w:rPr>
                <w:rFonts w:eastAsia="Calibri"/>
                <w:sz w:val="22"/>
                <w:szCs w:val="22"/>
                <w:lang w:eastAsia="en-US"/>
              </w:rPr>
              <w:t>установленому законодавством порядку копій документів,</w:t>
            </w:r>
          </w:p>
          <w:p w14:paraId="23BF7BA6" w14:textId="77777777" w:rsidR="00894ECB" w:rsidRPr="00D927E4" w:rsidRDefault="00894ECB" w:rsidP="00894ECB">
            <w:pPr>
              <w:widowControl w:val="0"/>
              <w:tabs>
                <w:tab w:val="left" w:pos="792"/>
                <w:tab w:val="left" w:pos="794"/>
              </w:tabs>
              <w:autoSpaceDE w:val="0"/>
              <w:autoSpaceDN w:val="0"/>
              <w:ind w:right="63"/>
              <w:jc w:val="both"/>
              <w:rPr>
                <w:rFonts w:eastAsia="Calibri"/>
                <w:sz w:val="22"/>
                <w:szCs w:val="22"/>
                <w:lang w:eastAsia="en-US"/>
              </w:rPr>
            </w:pPr>
            <w:r w:rsidRPr="00D927E4">
              <w:rPr>
                <w:rFonts w:eastAsia="Calibri"/>
                <w:sz w:val="22"/>
                <w:szCs w:val="22"/>
                <w:lang w:eastAsia="en-US"/>
              </w:rPr>
              <w:t>пояснень та іншої інформації поставить ліцензіатів у вкрай не вигідне становище, сприятиме зменшення обігових коштів, які так необхідні для відновлення</w:t>
            </w:r>
          </w:p>
          <w:p w14:paraId="03F74CAD" w14:textId="77777777" w:rsidR="00894ECB" w:rsidRPr="00D927E4" w:rsidRDefault="00894ECB" w:rsidP="00894ECB">
            <w:pPr>
              <w:widowControl w:val="0"/>
              <w:tabs>
                <w:tab w:val="left" w:pos="792"/>
                <w:tab w:val="left" w:pos="794"/>
              </w:tabs>
              <w:autoSpaceDE w:val="0"/>
              <w:autoSpaceDN w:val="0"/>
              <w:ind w:right="63"/>
              <w:jc w:val="both"/>
              <w:rPr>
                <w:rFonts w:eastAsia="Calibri"/>
                <w:sz w:val="22"/>
                <w:szCs w:val="22"/>
                <w:lang w:eastAsia="en-US"/>
              </w:rPr>
            </w:pPr>
            <w:r w:rsidRPr="00D927E4">
              <w:rPr>
                <w:rFonts w:eastAsia="Calibri"/>
                <w:sz w:val="22"/>
                <w:szCs w:val="22"/>
                <w:lang w:eastAsia="en-US"/>
              </w:rPr>
              <w:t>знищеної генерації.</w:t>
            </w:r>
          </w:p>
          <w:p w14:paraId="41453342" w14:textId="77777777" w:rsidR="00894ECB" w:rsidRPr="00D927E4" w:rsidRDefault="00894ECB" w:rsidP="00894ECB">
            <w:pPr>
              <w:widowControl w:val="0"/>
              <w:tabs>
                <w:tab w:val="left" w:pos="792"/>
                <w:tab w:val="left" w:pos="794"/>
              </w:tabs>
              <w:autoSpaceDE w:val="0"/>
              <w:autoSpaceDN w:val="0"/>
              <w:ind w:right="63"/>
              <w:jc w:val="both"/>
              <w:rPr>
                <w:rFonts w:eastAsia="Calibri"/>
                <w:sz w:val="22"/>
                <w:szCs w:val="22"/>
                <w:lang w:eastAsia="en-US"/>
              </w:rPr>
            </w:pPr>
          </w:p>
        </w:tc>
        <w:tc>
          <w:tcPr>
            <w:tcW w:w="3549" w:type="dxa"/>
          </w:tcPr>
          <w:p w14:paraId="16CC3D7A" w14:textId="77777777" w:rsidR="00894ECB" w:rsidRDefault="00894ECB" w:rsidP="00EE49B6">
            <w:pPr>
              <w:jc w:val="both"/>
              <w:rPr>
                <w:b/>
                <w:sz w:val="22"/>
                <w:szCs w:val="22"/>
                <w:shd w:val="clear" w:color="auto" w:fill="FFFFFF"/>
              </w:rPr>
            </w:pPr>
          </w:p>
          <w:p w14:paraId="345F2446" w14:textId="77777777" w:rsidR="00120649" w:rsidRDefault="00120649" w:rsidP="00EE49B6">
            <w:pPr>
              <w:jc w:val="both"/>
              <w:rPr>
                <w:b/>
                <w:sz w:val="22"/>
                <w:szCs w:val="22"/>
                <w:shd w:val="clear" w:color="auto" w:fill="FFFFFF"/>
              </w:rPr>
            </w:pPr>
            <w:r>
              <w:rPr>
                <w:b/>
                <w:sz w:val="22"/>
                <w:szCs w:val="22"/>
                <w:shd w:val="clear" w:color="auto" w:fill="FFFFFF"/>
              </w:rPr>
              <w:t>Враховано частково</w:t>
            </w:r>
          </w:p>
          <w:p w14:paraId="40FF58B0" w14:textId="77777777" w:rsidR="00120649" w:rsidRDefault="00120649" w:rsidP="00EE49B6">
            <w:pPr>
              <w:jc w:val="both"/>
              <w:rPr>
                <w:b/>
                <w:sz w:val="22"/>
                <w:szCs w:val="22"/>
                <w:shd w:val="clear" w:color="auto" w:fill="FFFFFF"/>
              </w:rPr>
            </w:pPr>
          </w:p>
          <w:p w14:paraId="1EFA27D0" w14:textId="77777777" w:rsidR="00120649" w:rsidRDefault="00120649" w:rsidP="00EE49B6">
            <w:pPr>
              <w:jc w:val="both"/>
              <w:rPr>
                <w:sz w:val="22"/>
                <w:szCs w:val="22"/>
                <w:shd w:val="clear" w:color="auto" w:fill="FFFFFF"/>
              </w:rPr>
            </w:pPr>
            <w:r>
              <w:rPr>
                <w:sz w:val="22"/>
                <w:szCs w:val="22"/>
                <w:shd w:val="clear" w:color="auto" w:fill="FFFFFF"/>
              </w:rPr>
              <w:t xml:space="preserve">В частині </w:t>
            </w:r>
            <w:r w:rsidRPr="00120649">
              <w:rPr>
                <w:sz w:val="22"/>
                <w:szCs w:val="22"/>
                <w:u w:val="single"/>
                <w:shd w:val="clear" w:color="auto" w:fill="FFFFFF"/>
              </w:rPr>
              <w:t>безпідставної</w:t>
            </w:r>
            <w:r>
              <w:rPr>
                <w:sz w:val="22"/>
                <w:szCs w:val="22"/>
                <w:shd w:val="clear" w:color="auto" w:fill="FFFFFF"/>
              </w:rPr>
              <w:t xml:space="preserve"> </w:t>
            </w:r>
            <w:r w:rsidRPr="00120649">
              <w:rPr>
                <w:sz w:val="22"/>
                <w:szCs w:val="22"/>
                <w:shd w:val="clear" w:color="auto" w:fill="FFFFFF"/>
              </w:rPr>
              <w:t>відмови ліцензіата у проведенні перевірки</w:t>
            </w:r>
            <w:r>
              <w:rPr>
                <w:sz w:val="22"/>
                <w:szCs w:val="22"/>
                <w:shd w:val="clear" w:color="auto" w:fill="FFFFFF"/>
              </w:rPr>
              <w:t>.</w:t>
            </w:r>
          </w:p>
          <w:p w14:paraId="7DD62229" w14:textId="77777777" w:rsidR="00120649" w:rsidRDefault="00120649" w:rsidP="00EE49B6">
            <w:pPr>
              <w:jc w:val="both"/>
              <w:rPr>
                <w:sz w:val="22"/>
                <w:szCs w:val="22"/>
                <w:shd w:val="clear" w:color="auto" w:fill="FFFFFF"/>
              </w:rPr>
            </w:pPr>
            <w:r>
              <w:rPr>
                <w:sz w:val="22"/>
                <w:szCs w:val="22"/>
                <w:shd w:val="clear" w:color="auto" w:fill="FFFFFF"/>
              </w:rPr>
              <w:t xml:space="preserve">Не враховано в частині вимоги щодо надання документів, інформації, оскільки зазначена редакція передбачає законну вимогу НКРЕКП щодо надання </w:t>
            </w:r>
            <w:r>
              <w:rPr>
                <w:sz w:val="22"/>
                <w:szCs w:val="22"/>
                <w:shd w:val="clear" w:color="auto" w:fill="FFFFFF"/>
              </w:rPr>
              <w:lastRenderedPageBreak/>
              <w:t>інформації, документів не лише в межах проведення перевірки</w:t>
            </w:r>
          </w:p>
          <w:p w14:paraId="1AE989AA" w14:textId="77777777" w:rsidR="004B073B" w:rsidRDefault="004B073B" w:rsidP="00EE49B6">
            <w:pPr>
              <w:jc w:val="both"/>
              <w:rPr>
                <w:sz w:val="22"/>
                <w:szCs w:val="22"/>
                <w:shd w:val="clear" w:color="auto" w:fill="FFFFFF"/>
              </w:rPr>
            </w:pPr>
          </w:p>
          <w:p w14:paraId="0C530186" w14:textId="77777777" w:rsidR="004B073B" w:rsidRDefault="004B073B" w:rsidP="00EE49B6">
            <w:pPr>
              <w:jc w:val="both"/>
              <w:rPr>
                <w:sz w:val="22"/>
                <w:szCs w:val="22"/>
                <w:shd w:val="clear" w:color="auto" w:fill="FFFFFF"/>
              </w:rPr>
            </w:pPr>
          </w:p>
          <w:p w14:paraId="676E1F16" w14:textId="77777777" w:rsidR="004B073B" w:rsidRDefault="004B073B" w:rsidP="00EE49B6">
            <w:pPr>
              <w:jc w:val="both"/>
              <w:rPr>
                <w:sz w:val="22"/>
                <w:szCs w:val="22"/>
                <w:shd w:val="clear" w:color="auto" w:fill="FFFFFF"/>
              </w:rPr>
            </w:pPr>
          </w:p>
          <w:p w14:paraId="06AB6BAF" w14:textId="77777777" w:rsidR="004B073B" w:rsidRDefault="004B073B" w:rsidP="00EE49B6">
            <w:pPr>
              <w:jc w:val="both"/>
              <w:rPr>
                <w:sz w:val="22"/>
                <w:szCs w:val="22"/>
                <w:shd w:val="clear" w:color="auto" w:fill="FFFFFF"/>
              </w:rPr>
            </w:pPr>
          </w:p>
          <w:p w14:paraId="794EC022" w14:textId="77777777" w:rsidR="004B073B" w:rsidRDefault="004B073B" w:rsidP="00EE49B6">
            <w:pPr>
              <w:jc w:val="both"/>
              <w:rPr>
                <w:sz w:val="22"/>
                <w:szCs w:val="22"/>
                <w:shd w:val="clear" w:color="auto" w:fill="FFFFFF"/>
              </w:rPr>
            </w:pPr>
          </w:p>
          <w:p w14:paraId="5D2DD4F5" w14:textId="77777777" w:rsidR="004B073B" w:rsidRDefault="004B073B" w:rsidP="00EE49B6">
            <w:pPr>
              <w:jc w:val="both"/>
              <w:rPr>
                <w:sz w:val="22"/>
                <w:szCs w:val="22"/>
                <w:shd w:val="clear" w:color="auto" w:fill="FFFFFF"/>
              </w:rPr>
            </w:pPr>
          </w:p>
          <w:p w14:paraId="424F978A" w14:textId="77777777" w:rsidR="004B073B" w:rsidRDefault="004B073B" w:rsidP="00EE49B6">
            <w:pPr>
              <w:jc w:val="both"/>
              <w:rPr>
                <w:sz w:val="22"/>
                <w:szCs w:val="22"/>
                <w:shd w:val="clear" w:color="auto" w:fill="FFFFFF"/>
              </w:rPr>
            </w:pPr>
          </w:p>
          <w:p w14:paraId="02756F7D" w14:textId="77777777" w:rsidR="004B073B" w:rsidRDefault="004B073B" w:rsidP="00EE49B6">
            <w:pPr>
              <w:jc w:val="both"/>
              <w:rPr>
                <w:sz w:val="22"/>
                <w:szCs w:val="22"/>
                <w:shd w:val="clear" w:color="auto" w:fill="FFFFFF"/>
              </w:rPr>
            </w:pPr>
          </w:p>
          <w:p w14:paraId="6E42C687" w14:textId="77777777" w:rsidR="004B073B" w:rsidRDefault="004B073B" w:rsidP="00EE49B6">
            <w:pPr>
              <w:jc w:val="both"/>
              <w:rPr>
                <w:sz w:val="22"/>
                <w:szCs w:val="22"/>
                <w:shd w:val="clear" w:color="auto" w:fill="FFFFFF"/>
              </w:rPr>
            </w:pPr>
          </w:p>
          <w:p w14:paraId="12C72B20" w14:textId="77777777" w:rsidR="004B073B" w:rsidRDefault="004B073B" w:rsidP="00EE49B6">
            <w:pPr>
              <w:jc w:val="both"/>
              <w:rPr>
                <w:sz w:val="22"/>
                <w:szCs w:val="22"/>
                <w:shd w:val="clear" w:color="auto" w:fill="FFFFFF"/>
              </w:rPr>
            </w:pPr>
          </w:p>
          <w:p w14:paraId="7DCE1B66" w14:textId="77777777" w:rsidR="004B073B" w:rsidRDefault="004B073B" w:rsidP="00EE49B6">
            <w:pPr>
              <w:jc w:val="both"/>
              <w:rPr>
                <w:sz w:val="22"/>
                <w:szCs w:val="22"/>
                <w:shd w:val="clear" w:color="auto" w:fill="FFFFFF"/>
              </w:rPr>
            </w:pPr>
          </w:p>
          <w:p w14:paraId="66FE21C5" w14:textId="77777777" w:rsidR="004B073B" w:rsidRDefault="004B073B" w:rsidP="00EE49B6">
            <w:pPr>
              <w:jc w:val="both"/>
              <w:rPr>
                <w:sz w:val="22"/>
                <w:szCs w:val="22"/>
                <w:shd w:val="clear" w:color="auto" w:fill="FFFFFF"/>
              </w:rPr>
            </w:pPr>
          </w:p>
          <w:p w14:paraId="3E627D60" w14:textId="77777777" w:rsidR="004B073B" w:rsidRDefault="004B073B" w:rsidP="00EE49B6">
            <w:pPr>
              <w:jc w:val="both"/>
              <w:rPr>
                <w:sz w:val="22"/>
                <w:szCs w:val="22"/>
                <w:shd w:val="clear" w:color="auto" w:fill="FFFFFF"/>
              </w:rPr>
            </w:pPr>
          </w:p>
          <w:p w14:paraId="63709A8C" w14:textId="77777777" w:rsidR="004B073B" w:rsidRDefault="004B073B" w:rsidP="00EE49B6">
            <w:pPr>
              <w:jc w:val="both"/>
              <w:rPr>
                <w:sz w:val="22"/>
                <w:szCs w:val="22"/>
                <w:shd w:val="clear" w:color="auto" w:fill="FFFFFF"/>
              </w:rPr>
            </w:pPr>
          </w:p>
          <w:p w14:paraId="71E5E26B" w14:textId="77777777" w:rsidR="004B073B" w:rsidRDefault="004B073B" w:rsidP="00EE49B6">
            <w:pPr>
              <w:jc w:val="both"/>
              <w:rPr>
                <w:sz w:val="22"/>
                <w:szCs w:val="22"/>
                <w:shd w:val="clear" w:color="auto" w:fill="FFFFFF"/>
              </w:rPr>
            </w:pPr>
          </w:p>
          <w:p w14:paraId="1B2C22DA" w14:textId="77777777" w:rsidR="004B073B" w:rsidRDefault="004B073B" w:rsidP="00EE49B6">
            <w:pPr>
              <w:jc w:val="both"/>
              <w:rPr>
                <w:sz w:val="22"/>
                <w:szCs w:val="22"/>
                <w:shd w:val="clear" w:color="auto" w:fill="FFFFFF"/>
              </w:rPr>
            </w:pPr>
          </w:p>
          <w:p w14:paraId="0741C1F7" w14:textId="77777777" w:rsidR="004B073B" w:rsidRDefault="004B073B" w:rsidP="00EE49B6">
            <w:pPr>
              <w:jc w:val="both"/>
              <w:rPr>
                <w:sz w:val="22"/>
                <w:szCs w:val="22"/>
                <w:shd w:val="clear" w:color="auto" w:fill="FFFFFF"/>
              </w:rPr>
            </w:pPr>
          </w:p>
          <w:p w14:paraId="00BAE020" w14:textId="77777777" w:rsidR="004B073B" w:rsidRDefault="004B073B" w:rsidP="00EE49B6">
            <w:pPr>
              <w:jc w:val="both"/>
              <w:rPr>
                <w:sz w:val="22"/>
                <w:szCs w:val="22"/>
                <w:shd w:val="clear" w:color="auto" w:fill="FFFFFF"/>
              </w:rPr>
            </w:pPr>
          </w:p>
          <w:p w14:paraId="1C34D25E" w14:textId="77777777" w:rsidR="004B073B" w:rsidRDefault="004B073B" w:rsidP="00EE49B6">
            <w:pPr>
              <w:jc w:val="both"/>
              <w:rPr>
                <w:sz w:val="22"/>
                <w:szCs w:val="22"/>
                <w:shd w:val="clear" w:color="auto" w:fill="FFFFFF"/>
              </w:rPr>
            </w:pPr>
          </w:p>
          <w:p w14:paraId="3177101B" w14:textId="77777777" w:rsidR="004B073B" w:rsidRDefault="004B073B" w:rsidP="00EE49B6">
            <w:pPr>
              <w:jc w:val="both"/>
              <w:rPr>
                <w:sz w:val="22"/>
                <w:szCs w:val="22"/>
                <w:shd w:val="clear" w:color="auto" w:fill="FFFFFF"/>
              </w:rPr>
            </w:pPr>
          </w:p>
          <w:p w14:paraId="3FB1A461" w14:textId="77777777" w:rsidR="004B073B" w:rsidRDefault="004B073B" w:rsidP="00EE49B6">
            <w:pPr>
              <w:jc w:val="both"/>
              <w:rPr>
                <w:sz w:val="22"/>
                <w:szCs w:val="22"/>
                <w:shd w:val="clear" w:color="auto" w:fill="FFFFFF"/>
              </w:rPr>
            </w:pPr>
          </w:p>
          <w:p w14:paraId="1CFBE0CA" w14:textId="77777777" w:rsidR="004B073B" w:rsidRDefault="004B073B" w:rsidP="00EE49B6">
            <w:pPr>
              <w:jc w:val="both"/>
              <w:rPr>
                <w:sz w:val="22"/>
                <w:szCs w:val="22"/>
                <w:shd w:val="clear" w:color="auto" w:fill="FFFFFF"/>
              </w:rPr>
            </w:pPr>
          </w:p>
          <w:p w14:paraId="05EB6261" w14:textId="77777777" w:rsidR="004B073B" w:rsidRDefault="004B073B" w:rsidP="00EE49B6">
            <w:pPr>
              <w:jc w:val="both"/>
              <w:rPr>
                <w:sz w:val="22"/>
                <w:szCs w:val="22"/>
                <w:shd w:val="clear" w:color="auto" w:fill="FFFFFF"/>
              </w:rPr>
            </w:pPr>
          </w:p>
          <w:p w14:paraId="3229D12C" w14:textId="77777777" w:rsidR="004B073B" w:rsidRDefault="004B073B" w:rsidP="00EE49B6">
            <w:pPr>
              <w:jc w:val="both"/>
              <w:rPr>
                <w:sz w:val="22"/>
                <w:szCs w:val="22"/>
                <w:shd w:val="clear" w:color="auto" w:fill="FFFFFF"/>
              </w:rPr>
            </w:pPr>
          </w:p>
          <w:p w14:paraId="094A45BA" w14:textId="77777777" w:rsidR="004B073B" w:rsidRDefault="004B073B" w:rsidP="00EE49B6">
            <w:pPr>
              <w:jc w:val="both"/>
              <w:rPr>
                <w:sz w:val="22"/>
                <w:szCs w:val="22"/>
                <w:shd w:val="clear" w:color="auto" w:fill="FFFFFF"/>
              </w:rPr>
            </w:pPr>
          </w:p>
          <w:p w14:paraId="0161A1A7" w14:textId="77777777" w:rsidR="004B073B" w:rsidRDefault="004B073B" w:rsidP="00EE49B6">
            <w:pPr>
              <w:jc w:val="both"/>
              <w:rPr>
                <w:sz w:val="22"/>
                <w:szCs w:val="22"/>
                <w:shd w:val="clear" w:color="auto" w:fill="FFFFFF"/>
              </w:rPr>
            </w:pPr>
          </w:p>
          <w:p w14:paraId="1983362C" w14:textId="77777777" w:rsidR="004B073B" w:rsidRDefault="004B073B" w:rsidP="00EE49B6">
            <w:pPr>
              <w:jc w:val="both"/>
              <w:rPr>
                <w:sz w:val="22"/>
                <w:szCs w:val="22"/>
                <w:shd w:val="clear" w:color="auto" w:fill="FFFFFF"/>
              </w:rPr>
            </w:pPr>
          </w:p>
          <w:p w14:paraId="59C1F9CB" w14:textId="77777777" w:rsidR="004B073B" w:rsidRDefault="004B073B" w:rsidP="00EE49B6">
            <w:pPr>
              <w:jc w:val="both"/>
              <w:rPr>
                <w:sz w:val="22"/>
                <w:szCs w:val="22"/>
                <w:shd w:val="clear" w:color="auto" w:fill="FFFFFF"/>
              </w:rPr>
            </w:pPr>
          </w:p>
          <w:p w14:paraId="0198D4DA" w14:textId="77777777" w:rsidR="004B073B" w:rsidRDefault="004B073B" w:rsidP="00EE49B6">
            <w:pPr>
              <w:jc w:val="both"/>
              <w:rPr>
                <w:sz w:val="22"/>
                <w:szCs w:val="22"/>
                <w:shd w:val="clear" w:color="auto" w:fill="FFFFFF"/>
              </w:rPr>
            </w:pPr>
          </w:p>
          <w:p w14:paraId="5F2A60CC" w14:textId="77777777" w:rsidR="000304B8" w:rsidRDefault="000304B8" w:rsidP="00EE49B6">
            <w:pPr>
              <w:jc w:val="both"/>
              <w:rPr>
                <w:sz w:val="22"/>
                <w:szCs w:val="22"/>
                <w:shd w:val="clear" w:color="auto" w:fill="FFFFFF"/>
              </w:rPr>
            </w:pPr>
          </w:p>
          <w:p w14:paraId="77D05563" w14:textId="77777777" w:rsidR="004B073B" w:rsidRDefault="004B073B" w:rsidP="00EE49B6">
            <w:pPr>
              <w:jc w:val="both"/>
              <w:rPr>
                <w:b/>
                <w:sz w:val="22"/>
                <w:szCs w:val="22"/>
                <w:shd w:val="clear" w:color="auto" w:fill="FFFFFF"/>
              </w:rPr>
            </w:pPr>
          </w:p>
          <w:p w14:paraId="0E68B61F" w14:textId="77777777" w:rsidR="004B073B" w:rsidRDefault="000304B8" w:rsidP="00EE49B6">
            <w:pPr>
              <w:jc w:val="both"/>
              <w:rPr>
                <w:b/>
                <w:sz w:val="22"/>
                <w:szCs w:val="22"/>
                <w:shd w:val="clear" w:color="auto" w:fill="FFFFFF"/>
              </w:rPr>
            </w:pPr>
            <w:r>
              <w:rPr>
                <w:b/>
                <w:sz w:val="22"/>
                <w:szCs w:val="22"/>
                <w:shd w:val="clear" w:color="auto" w:fill="FFFFFF"/>
              </w:rPr>
              <w:t>Не враховано</w:t>
            </w:r>
          </w:p>
          <w:p w14:paraId="621F802D" w14:textId="77777777" w:rsidR="004B073B" w:rsidRDefault="004B073B" w:rsidP="00EE49B6">
            <w:pPr>
              <w:jc w:val="both"/>
              <w:rPr>
                <w:b/>
                <w:sz w:val="22"/>
                <w:szCs w:val="22"/>
                <w:shd w:val="clear" w:color="auto" w:fill="FFFFFF"/>
              </w:rPr>
            </w:pPr>
          </w:p>
          <w:p w14:paraId="6D853209" w14:textId="77777777" w:rsidR="004B073B" w:rsidRDefault="00946256" w:rsidP="00EE49B6">
            <w:pPr>
              <w:jc w:val="both"/>
              <w:rPr>
                <w:sz w:val="22"/>
                <w:szCs w:val="22"/>
                <w:shd w:val="clear" w:color="auto" w:fill="FFFFFF"/>
              </w:rPr>
            </w:pPr>
            <w:r>
              <w:rPr>
                <w:sz w:val="22"/>
                <w:szCs w:val="22"/>
                <w:shd w:val="clear" w:color="auto" w:fill="FFFFFF"/>
              </w:rPr>
              <w:t>Анулювання ліцензії не завжди може бути можлив</w:t>
            </w:r>
            <w:r w:rsidR="000304B8">
              <w:rPr>
                <w:sz w:val="22"/>
                <w:szCs w:val="22"/>
                <w:shd w:val="clear" w:color="auto" w:fill="FFFFFF"/>
              </w:rPr>
              <w:t>ою</w:t>
            </w:r>
            <w:r>
              <w:rPr>
                <w:sz w:val="22"/>
                <w:szCs w:val="22"/>
                <w:shd w:val="clear" w:color="auto" w:fill="FFFFFF"/>
              </w:rPr>
              <w:t xml:space="preserve"> та дієв</w:t>
            </w:r>
            <w:r w:rsidR="000304B8">
              <w:rPr>
                <w:sz w:val="22"/>
                <w:szCs w:val="22"/>
                <w:shd w:val="clear" w:color="auto" w:fill="FFFFFF"/>
              </w:rPr>
              <w:t xml:space="preserve">ою санкцією. При цьому накладення штрафу у максимальному розмірі </w:t>
            </w:r>
            <w:r w:rsidR="000304B8">
              <w:rPr>
                <w:sz w:val="22"/>
                <w:szCs w:val="22"/>
                <w:shd w:val="clear" w:color="auto" w:fill="FFFFFF"/>
              </w:rPr>
              <w:lastRenderedPageBreak/>
              <w:t>може мати достатній стимул для недопущення порушення у вигляді відмови у проведенні перевірки</w:t>
            </w:r>
          </w:p>
          <w:p w14:paraId="29DD6E7E" w14:textId="77777777" w:rsidR="000C2DD6" w:rsidRDefault="000C2DD6" w:rsidP="00EE49B6">
            <w:pPr>
              <w:jc w:val="both"/>
              <w:rPr>
                <w:sz w:val="22"/>
                <w:szCs w:val="22"/>
                <w:shd w:val="clear" w:color="auto" w:fill="FFFFFF"/>
              </w:rPr>
            </w:pPr>
          </w:p>
          <w:p w14:paraId="2EE4AEEB" w14:textId="77777777" w:rsidR="000C2DD6" w:rsidRDefault="000C2DD6" w:rsidP="00EE49B6">
            <w:pPr>
              <w:jc w:val="both"/>
              <w:rPr>
                <w:sz w:val="22"/>
                <w:szCs w:val="22"/>
                <w:shd w:val="clear" w:color="auto" w:fill="FFFFFF"/>
              </w:rPr>
            </w:pPr>
          </w:p>
          <w:p w14:paraId="16172A5E" w14:textId="77777777" w:rsidR="000C2DD6" w:rsidRDefault="000C2DD6" w:rsidP="00EE49B6">
            <w:pPr>
              <w:jc w:val="both"/>
              <w:rPr>
                <w:sz w:val="22"/>
                <w:szCs w:val="22"/>
                <w:shd w:val="clear" w:color="auto" w:fill="FFFFFF"/>
              </w:rPr>
            </w:pPr>
          </w:p>
          <w:p w14:paraId="11C10615" w14:textId="77777777" w:rsidR="000C2DD6" w:rsidRDefault="000C2DD6" w:rsidP="00EE49B6">
            <w:pPr>
              <w:jc w:val="both"/>
              <w:rPr>
                <w:sz w:val="22"/>
                <w:szCs w:val="22"/>
                <w:shd w:val="clear" w:color="auto" w:fill="FFFFFF"/>
              </w:rPr>
            </w:pPr>
          </w:p>
          <w:p w14:paraId="3513145E" w14:textId="77777777" w:rsidR="000C2DD6" w:rsidRDefault="000C2DD6" w:rsidP="00EE49B6">
            <w:pPr>
              <w:jc w:val="both"/>
              <w:rPr>
                <w:sz w:val="22"/>
                <w:szCs w:val="22"/>
                <w:shd w:val="clear" w:color="auto" w:fill="FFFFFF"/>
              </w:rPr>
            </w:pPr>
          </w:p>
          <w:p w14:paraId="38013197" w14:textId="77777777" w:rsidR="000C2DD6" w:rsidRDefault="000C2DD6" w:rsidP="00EE49B6">
            <w:pPr>
              <w:jc w:val="both"/>
              <w:rPr>
                <w:sz w:val="22"/>
                <w:szCs w:val="22"/>
                <w:shd w:val="clear" w:color="auto" w:fill="FFFFFF"/>
              </w:rPr>
            </w:pPr>
          </w:p>
          <w:p w14:paraId="20D846B9" w14:textId="77777777" w:rsidR="000C2DD6" w:rsidRDefault="000C2DD6" w:rsidP="00EE49B6">
            <w:pPr>
              <w:jc w:val="both"/>
              <w:rPr>
                <w:sz w:val="22"/>
                <w:szCs w:val="22"/>
                <w:shd w:val="clear" w:color="auto" w:fill="FFFFFF"/>
              </w:rPr>
            </w:pPr>
          </w:p>
          <w:p w14:paraId="241DEB05" w14:textId="77777777" w:rsidR="000C2DD6" w:rsidRDefault="000C2DD6" w:rsidP="00EE49B6">
            <w:pPr>
              <w:jc w:val="both"/>
              <w:rPr>
                <w:sz w:val="22"/>
                <w:szCs w:val="22"/>
                <w:shd w:val="clear" w:color="auto" w:fill="FFFFFF"/>
              </w:rPr>
            </w:pPr>
          </w:p>
          <w:p w14:paraId="2ACDE10E" w14:textId="77777777" w:rsidR="000C2DD6" w:rsidRDefault="000C2DD6" w:rsidP="00EE49B6">
            <w:pPr>
              <w:jc w:val="both"/>
              <w:rPr>
                <w:sz w:val="22"/>
                <w:szCs w:val="22"/>
                <w:shd w:val="clear" w:color="auto" w:fill="FFFFFF"/>
              </w:rPr>
            </w:pPr>
          </w:p>
          <w:p w14:paraId="373F9F71" w14:textId="77777777" w:rsidR="000C2DD6" w:rsidRDefault="000C2DD6" w:rsidP="00EE49B6">
            <w:pPr>
              <w:jc w:val="both"/>
              <w:rPr>
                <w:sz w:val="22"/>
                <w:szCs w:val="22"/>
                <w:shd w:val="clear" w:color="auto" w:fill="FFFFFF"/>
              </w:rPr>
            </w:pPr>
          </w:p>
          <w:p w14:paraId="1ED48539" w14:textId="77777777" w:rsidR="000C2DD6" w:rsidRDefault="000C2DD6" w:rsidP="00EE49B6">
            <w:pPr>
              <w:jc w:val="both"/>
              <w:rPr>
                <w:sz w:val="22"/>
                <w:szCs w:val="22"/>
                <w:shd w:val="clear" w:color="auto" w:fill="FFFFFF"/>
              </w:rPr>
            </w:pPr>
          </w:p>
          <w:p w14:paraId="5A07A702" w14:textId="77777777" w:rsidR="000C2DD6" w:rsidRDefault="000C2DD6" w:rsidP="00EE49B6">
            <w:pPr>
              <w:jc w:val="both"/>
              <w:rPr>
                <w:sz w:val="22"/>
                <w:szCs w:val="22"/>
                <w:shd w:val="clear" w:color="auto" w:fill="FFFFFF"/>
              </w:rPr>
            </w:pPr>
          </w:p>
          <w:p w14:paraId="729EE69E" w14:textId="77777777" w:rsidR="000C2DD6" w:rsidRDefault="000C2DD6" w:rsidP="00EE49B6">
            <w:pPr>
              <w:jc w:val="both"/>
              <w:rPr>
                <w:sz w:val="22"/>
                <w:szCs w:val="22"/>
                <w:shd w:val="clear" w:color="auto" w:fill="FFFFFF"/>
              </w:rPr>
            </w:pPr>
          </w:p>
          <w:p w14:paraId="55023502" w14:textId="77777777" w:rsidR="000C2DD6" w:rsidRDefault="000C2DD6" w:rsidP="00EE49B6">
            <w:pPr>
              <w:jc w:val="both"/>
              <w:rPr>
                <w:sz w:val="22"/>
                <w:szCs w:val="22"/>
                <w:shd w:val="clear" w:color="auto" w:fill="FFFFFF"/>
              </w:rPr>
            </w:pPr>
          </w:p>
          <w:p w14:paraId="50B86012" w14:textId="77777777" w:rsidR="000C2DD6" w:rsidRDefault="000C2DD6" w:rsidP="00EE49B6">
            <w:pPr>
              <w:jc w:val="both"/>
              <w:rPr>
                <w:sz w:val="22"/>
                <w:szCs w:val="22"/>
                <w:shd w:val="clear" w:color="auto" w:fill="FFFFFF"/>
              </w:rPr>
            </w:pPr>
          </w:p>
          <w:p w14:paraId="4C4A8448" w14:textId="77777777" w:rsidR="000C2DD6" w:rsidRDefault="000C2DD6" w:rsidP="00EE49B6">
            <w:pPr>
              <w:jc w:val="both"/>
              <w:rPr>
                <w:sz w:val="22"/>
                <w:szCs w:val="22"/>
                <w:shd w:val="clear" w:color="auto" w:fill="FFFFFF"/>
              </w:rPr>
            </w:pPr>
          </w:p>
          <w:p w14:paraId="61C18DA7" w14:textId="77777777" w:rsidR="000C2DD6" w:rsidRDefault="000C2DD6" w:rsidP="00EE49B6">
            <w:pPr>
              <w:jc w:val="both"/>
              <w:rPr>
                <w:sz w:val="22"/>
                <w:szCs w:val="22"/>
                <w:shd w:val="clear" w:color="auto" w:fill="FFFFFF"/>
              </w:rPr>
            </w:pPr>
          </w:p>
          <w:p w14:paraId="59643528" w14:textId="77777777" w:rsidR="000C2DD6" w:rsidRDefault="000C2DD6" w:rsidP="00EE49B6">
            <w:pPr>
              <w:jc w:val="both"/>
              <w:rPr>
                <w:sz w:val="22"/>
                <w:szCs w:val="22"/>
                <w:shd w:val="clear" w:color="auto" w:fill="FFFFFF"/>
              </w:rPr>
            </w:pPr>
          </w:p>
          <w:p w14:paraId="7458122D" w14:textId="77777777" w:rsidR="000C2DD6" w:rsidRDefault="000C2DD6" w:rsidP="00EE49B6">
            <w:pPr>
              <w:jc w:val="both"/>
              <w:rPr>
                <w:sz w:val="22"/>
                <w:szCs w:val="22"/>
                <w:shd w:val="clear" w:color="auto" w:fill="FFFFFF"/>
              </w:rPr>
            </w:pPr>
          </w:p>
          <w:p w14:paraId="71BE2F99" w14:textId="77777777" w:rsidR="000C2DD6" w:rsidRDefault="000C2DD6" w:rsidP="00EE49B6">
            <w:pPr>
              <w:jc w:val="both"/>
              <w:rPr>
                <w:sz w:val="22"/>
                <w:szCs w:val="22"/>
                <w:shd w:val="clear" w:color="auto" w:fill="FFFFFF"/>
              </w:rPr>
            </w:pPr>
          </w:p>
          <w:p w14:paraId="2834E61D" w14:textId="77777777" w:rsidR="000C2DD6" w:rsidRDefault="000C2DD6" w:rsidP="00EE49B6">
            <w:pPr>
              <w:jc w:val="both"/>
              <w:rPr>
                <w:sz w:val="22"/>
                <w:szCs w:val="22"/>
                <w:shd w:val="clear" w:color="auto" w:fill="FFFFFF"/>
              </w:rPr>
            </w:pPr>
          </w:p>
          <w:p w14:paraId="106C9ECF" w14:textId="77777777" w:rsidR="000C2DD6" w:rsidRDefault="000C2DD6" w:rsidP="00EE49B6">
            <w:pPr>
              <w:jc w:val="both"/>
              <w:rPr>
                <w:sz w:val="22"/>
                <w:szCs w:val="22"/>
                <w:shd w:val="clear" w:color="auto" w:fill="FFFFFF"/>
              </w:rPr>
            </w:pPr>
          </w:p>
          <w:p w14:paraId="32152E7C" w14:textId="77777777" w:rsidR="000C2DD6" w:rsidRDefault="000C2DD6" w:rsidP="00EE49B6">
            <w:pPr>
              <w:jc w:val="both"/>
              <w:rPr>
                <w:sz w:val="22"/>
                <w:szCs w:val="22"/>
                <w:shd w:val="clear" w:color="auto" w:fill="FFFFFF"/>
              </w:rPr>
            </w:pPr>
          </w:p>
          <w:p w14:paraId="71A5293B" w14:textId="77777777" w:rsidR="000C2DD6" w:rsidRDefault="000C2DD6" w:rsidP="00EE49B6">
            <w:pPr>
              <w:jc w:val="both"/>
              <w:rPr>
                <w:sz w:val="22"/>
                <w:szCs w:val="22"/>
                <w:shd w:val="clear" w:color="auto" w:fill="FFFFFF"/>
              </w:rPr>
            </w:pPr>
          </w:p>
          <w:p w14:paraId="682BA2A2" w14:textId="77777777" w:rsidR="000C2DD6" w:rsidRDefault="000C2DD6" w:rsidP="00EE49B6">
            <w:pPr>
              <w:jc w:val="both"/>
              <w:rPr>
                <w:sz w:val="22"/>
                <w:szCs w:val="22"/>
                <w:shd w:val="clear" w:color="auto" w:fill="FFFFFF"/>
              </w:rPr>
            </w:pPr>
          </w:p>
          <w:p w14:paraId="6D0B17C3" w14:textId="77777777" w:rsidR="000C2DD6" w:rsidRDefault="000C2DD6" w:rsidP="00EE49B6">
            <w:pPr>
              <w:jc w:val="both"/>
              <w:rPr>
                <w:sz w:val="22"/>
                <w:szCs w:val="22"/>
                <w:shd w:val="clear" w:color="auto" w:fill="FFFFFF"/>
              </w:rPr>
            </w:pPr>
          </w:p>
          <w:p w14:paraId="5D9B77CB" w14:textId="77777777" w:rsidR="000C2DD6" w:rsidRDefault="000C2DD6" w:rsidP="00EE49B6">
            <w:pPr>
              <w:jc w:val="both"/>
              <w:rPr>
                <w:sz w:val="22"/>
                <w:szCs w:val="22"/>
                <w:shd w:val="clear" w:color="auto" w:fill="FFFFFF"/>
              </w:rPr>
            </w:pPr>
          </w:p>
          <w:p w14:paraId="304F8C93" w14:textId="77777777" w:rsidR="000C2DD6" w:rsidRDefault="000C2DD6" w:rsidP="00EE49B6">
            <w:pPr>
              <w:jc w:val="both"/>
              <w:rPr>
                <w:sz w:val="22"/>
                <w:szCs w:val="22"/>
                <w:shd w:val="clear" w:color="auto" w:fill="FFFFFF"/>
              </w:rPr>
            </w:pPr>
          </w:p>
          <w:p w14:paraId="76D0B778" w14:textId="77777777" w:rsidR="000C2DD6" w:rsidRDefault="000C2DD6" w:rsidP="00EE49B6">
            <w:pPr>
              <w:jc w:val="both"/>
              <w:rPr>
                <w:sz w:val="22"/>
                <w:szCs w:val="22"/>
                <w:shd w:val="clear" w:color="auto" w:fill="FFFFFF"/>
              </w:rPr>
            </w:pPr>
          </w:p>
          <w:p w14:paraId="401B6F27" w14:textId="77777777" w:rsidR="000C2DD6" w:rsidRDefault="000C2DD6" w:rsidP="00EE49B6">
            <w:pPr>
              <w:jc w:val="both"/>
              <w:rPr>
                <w:sz w:val="22"/>
                <w:szCs w:val="22"/>
                <w:shd w:val="clear" w:color="auto" w:fill="FFFFFF"/>
              </w:rPr>
            </w:pPr>
          </w:p>
          <w:p w14:paraId="77840F0B" w14:textId="77777777" w:rsidR="000C2DD6" w:rsidRDefault="000C2DD6" w:rsidP="00EE49B6">
            <w:pPr>
              <w:jc w:val="both"/>
              <w:rPr>
                <w:b/>
                <w:sz w:val="22"/>
                <w:szCs w:val="22"/>
                <w:shd w:val="clear" w:color="auto" w:fill="FFFFFF"/>
              </w:rPr>
            </w:pPr>
            <w:r w:rsidRPr="000C2DD6">
              <w:rPr>
                <w:b/>
                <w:sz w:val="22"/>
                <w:szCs w:val="22"/>
                <w:shd w:val="clear" w:color="auto" w:fill="FFFFFF"/>
              </w:rPr>
              <w:t>Не враховано</w:t>
            </w:r>
          </w:p>
          <w:p w14:paraId="20421E12" w14:textId="77777777" w:rsidR="000C2DD6" w:rsidRDefault="000C2DD6" w:rsidP="00EE49B6">
            <w:pPr>
              <w:jc w:val="both"/>
              <w:rPr>
                <w:b/>
                <w:sz w:val="22"/>
                <w:szCs w:val="22"/>
                <w:shd w:val="clear" w:color="auto" w:fill="FFFFFF"/>
              </w:rPr>
            </w:pPr>
          </w:p>
          <w:p w14:paraId="238862CC" w14:textId="77777777" w:rsidR="000C2DD6" w:rsidRDefault="000C2DD6" w:rsidP="00EE49B6">
            <w:pPr>
              <w:jc w:val="both"/>
              <w:rPr>
                <w:sz w:val="22"/>
                <w:szCs w:val="22"/>
                <w:shd w:val="clear" w:color="auto" w:fill="FFFFFF"/>
              </w:rPr>
            </w:pPr>
            <w:r>
              <w:rPr>
                <w:sz w:val="22"/>
                <w:szCs w:val="22"/>
                <w:shd w:val="clear" w:color="auto" w:fill="FFFFFF"/>
              </w:rPr>
              <w:t xml:space="preserve">Вважаємо, що за таке суттєве порушення, як відмова у проведенні перевірки, </w:t>
            </w:r>
            <w:r w:rsidR="00EE49B6">
              <w:rPr>
                <w:sz w:val="22"/>
                <w:szCs w:val="22"/>
                <w:shd w:val="clear" w:color="auto" w:fill="FFFFFF"/>
              </w:rPr>
              <w:t xml:space="preserve">що може свідчити про бажання </w:t>
            </w:r>
            <w:proofErr w:type="spellStart"/>
            <w:r w:rsidR="00EE49B6">
              <w:rPr>
                <w:sz w:val="22"/>
                <w:szCs w:val="22"/>
                <w:shd w:val="clear" w:color="auto" w:fill="FFFFFF"/>
              </w:rPr>
              <w:t>суб</w:t>
            </w:r>
            <w:proofErr w:type="spellEnd"/>
            <w:r w:rsidR="00EE49B6" w:rsidRPr="004B5D74">
              <w:rPr>
                <w:sz w:val="22"/>
                <w:szCs w:val="22"/>
                <w:shd w:val="clear" w:color="auto" w:fill="FFFFFF"/>
                <w:lang w:val="ru-RU"/>
              </w:rPr>
              <w:t>’</w:t>
            </w:r>
            <w:proofErr w:type="spellStart"/>
            <w:r w:rsidR="00EE49B6">
              <w:rPr>
                <w:sz w:val="22"/>
                <w:szCs w:val="22"/>
                <w:shd w:val="clear" w:color="auto" w:fill="FFFFFF"/>
              </w:rPr>
              <w:t>єкта</w:t>
            </w:r>
            <w:proofErr w:type="spellEnd"/>
            <w:r w:rsidR="00EE49B6">
              <w:rPr>
                <w:sz w:val="22"/>
                <w:szCs w:val="22"/>
                <w:shd w:val="clear" w:color="auto" w:fill="FFFFFF"/>
              </w:rPr>
              <w:t xml:space="preserve"> </w:t>
            </w:r>
            <w:r w:rsidR="00EE49B6">
              <w:rPr>
                <w:sz w:val="22"/>
                <w:szCs w:val="22"/>
                <w:shd w:val="clear" w:color="auto" w:fill="FFFFFF"/>
              </w:rPr>
              <w:lastRenderedPageBreak/>
              <w:t xml:space="preserve">приховати низку інших суттєвих порушень ліцензійних умов та законодавства, може бути застосована санкція у вигляді накладення штрафу у максимальному розмірі, тобто Регулятором дотримано </w:t>
            </w:r>
            <w:r w:rsidR="00EE49B6" w:rsidRPr="00EE49B6">
              <w:rPr>
                <w:sz w:val="22"/>
                <w:szCs w:val="22"/>
                <w:shd w:val="clear" w:color="auto" w:fill="FFFFFF"/>
              </w:rPr>
              <w:t>принципів пропорційності порушення і покарання та ефективності санкцій, які мають стримуючий вплив</w:t>
            </w:r>
            <w:r w:rsidR="00EE49B6">
              <w:rPr>
                <w:sz w:val="22"/>
                <w:szCs w:val="22"/>
                <w:shd w:val="clear" w:color="auto" w:fill="FFFFFF"/>
              </w:rPr>
              <w:t>.</w:t>
            </w:r>
          </w:p>
          <w:p w14:paraId="4242DFCF" w14:textId="77777777" w:rsidR="00EE49B6" w:rsidRDefault="00EE49B6" w:rsidP="00EE49B6">
            <w:pPr>
              <w:jc w:val="both"/>
              <w:rPr>
                <w:sz w:val="22"/>
                <w:szCs w:val="22"/>
                <w:shd w:val="clear" w:color="auto" w:fill="FFFFFF"/>
              </w:rPr>
            </w:pPr>
            <w:r>
              <w:rPr>
                <w:sz w:val="22"/>
                <w:szCs w:val="22"/>
                <w:shd w:val="clear" w:color="auto" w:fill="FFFFFF"/>
              </w:rPr>
              <w:t xml:space="preserve">Крім того, право Регулятора вимагати </w:t>
            </w:r>
            <w:r w:rsidRPr="00EE49B6">
              <w:rPr>
                <w:sz w:val="22"/>
                <w:szCs w:val="22"/>
                <w:shd w:val="clear" w:color="auto" w:fill="FFFFFF"/>
              </w:rPr>
              <w:t>від суб’єктів господарювання, що провадять діяльність у сферах енергетики та комунальних послуг, надання у визначені Регулятором строки, але не менш як протягом 10 робочих днів, завірених в установленому законодавством порядку копій документів, пояснень та іншої інформації, пов’язаної з провадженням такими суб’єктами ліцензованої діяльності, необхідних для виконання покладених функцій</w:t>
            </w:r>
            <w:r>
              <w:rPr>
                <w:sz w:val="22"/>
                <w:szCs w:val="22"/>
                <w:shd w:val="clear" w:color="auto" w:fill="FFFFFF"/>
              </w:rPr>
              <w:t xml:space="preserve"> передбачено пунктом 4 </w:t>
            </w:r>
            <w:r w:rsidRPr="00EE49B6">
              <w:rPr>
                <w:sz w:val="22"/>
                <w:szCs w:val="22"/>
                <w:shd w:val="clear" w:color="auto" w:fill="FFFFFF"/>
              </w:rPr>
              <w:t>частини другої статті 17</w:t>
            </w:r>
            <w:r>
              <w:rPr>
                <w:sz w:val="22"/>
                <w:szCs w:val="22"/>
                <w:shd w:val="clear" w:color="auto" w:fill="FFFFFF"/>
              </w:rPr>
              <w:t xml:space="preserve"> Закону</w:t>
            </w:r>
          </w:p>
          <w:p w14:paraId="1A90EEC7" w14:textId="77777777" w:rsidR="00F743EA" w:rsidRDefault="00F743EA" w:rsidP="00EE49B6">
            <w:pPr>
              <w:jc w:val="both"/>
              <w:rPr>
                <w:sz w:val="22"/>
                <w:szCs w:val="22"/>
                <w:shd w:val="clear" w:color="auto" w:fill="FFFFFF"/>
              </w:rPr>
            </w:pPr>
          </w:p>
          <w:p w14:paraId="45251552" w14:textId="77777777" w:rsidR="00F743EA" w:rsidRDefault="00F743EA" w:rsidP="00EE49B6">
            <w:pPr>
              <w:jc w:val="both"/>
              <w:rPr>
                <w:sz w:val="22"/>
                <w:szCs w:val="22"/>
                <w:shd w:val="clear" w:color="auto" w:fill="FFFFFF"/>
              </w:rPr>
            </w:pPr>
          </w:p>
          <w:p w14:paraId="3AAFBA24" w14:textId="77777777" w:rsidR="00F743EA" w:rsidRDefault="00F743EA" w:rsidP="00EE49B6">
            <w:pPr>
              <w:jc w:val="both"/>
              <w:rPr>
                <w:sz w:val="22"/>
                <w:szCs w:val="22"/>
                <w:shd w:val="clear" w:color="auto" w:fill="FFFFFF"/>
              </w:rPr>
            </w:pPr>
          </w:p>
          <w:p w14:paraId="0284B845" w14:textId="77777777" w:rsidR="00F743EA" w:rsidRDefault="00F743EA" w:rsidP="00F743EA">
            <w:pPr>
              <w:jc w:val="both"/>
              <w:rPr>
                <w:b/>
                <w:sz w:val="22"/>
                <w:szCs w:val="22"/>
                <w:shd w:val="clear" w:color="auto" w:fill="FFFFFF"/>
              </w:rPr>
            </w:pPr>
            <w:r>
              <w:rPr>
                <w:b/>
                <w:sz w:val="22"/>
                <w:szCs w:val="22"/>
                <w:shd w:val="clear" w:color="auto" w:fill="FFFFFF"/>
              </w:rPr>
              <w:t>Враховано частково</w:t>
            </w:r>
          </w:p>
          <w:p w14:paraId="389DE398" w14:textId="77777777" w:rsidR="00F743EA" w:rsidRDefault="00F743EA" w:rsidP="00F743EA">
            <w:pPr>
              <w:jc w:val="both"/>
              <w:rPr>
                <w:b/>
                <w:sz w:val="22"/>
                <w:szCs w:val="22"/>
                <w:shd w:val="clear" w:color="auto" w:fill="FFFFFF"/>
              </w:rPr>
            </w:pPr>
          </w:p>
          <w:p w14:paraId="1C30FE5D" w14:textId="77777777" w:rsidR="00F743EA" w:rsidRPr="00EE49B6" w:rsidRDefault="00F743EA" w:rsidP="00EE49B6">
            <w:pPr>
              <w:jc w:val="both"/>
              <w:rPr>
                <w:sz w:val="22"/>
                <w:szCs w:val="22"/>
                <w:shd w:val="clear" w:color="auto" w:fill="FFFFFF"/>
              </w:rPr>
            </w:pPr>
            <w:r>
              <w:rPr>
                <w:sz w:val="22"/>
                <w:szCs w:val="22"/>
                <w:shd w:val="clear" w:color="auto" w:fill="FFFFFF"/>
              </w:rPr>
              <w:t xml:space="preserve">В частині </w:t>
            </w:r>
            <w:r>
              <w:rPr>
                <w:sz w:val="22"/>
                <w:szCs w:val="22"/>
                <w:u w:val="single"/>
                <w:shd w:val="clear" w:color="auto" w:fill="FFFFFF"/>
              </w:rPr>
              <w:t>о</w:t>
            </w:r>
            <w:r w:rsidRPr="00F743EA">
              <w:rPr>
                <w:sz w:val="22"/>
                <w:szCs w:val="22"/>
                <w:u w:val="single"/>
                <w:shd w:val="clear" w:color="auto" w:fill="FFFFFF"/>
              </w:rPr>
              <w:t>бґрунтован</w:t>
            </w:r>
            <w:r>
              <w:rPr>
                <w:sz w:val="22"/>
                <w:szCs w:val="22"/>
                <w:u w:val="single"/>
                <w:shd w:val="clear" w:color="auto" w:fill="FFFFFF"/>
              </w:rPr>
              <w:t>ої</w:t>
            </w:r>
            <w:r w:rsidRPr="00F743EA">
              <w:rPr>
                <w:sz w:val="22"/>
                <w:szCs w:val="22"/>
                <w:shd w:val="clear" w:color="auto" w:fill="FFFFFF"/>
              </w:rPr>
              <w:t xml:space="preserve"> відмови у проведенні перевірки</w:t>
            </w:r>
          </w:p>
        </w:tc>
      </w:tr>
      <w:tr w:rsidR="00894ECB" w:rsidRPr="00D927E4" w14:paraId="743D37A0" w14:textId="77777777" w:rsidTr="00894ECB">
        <w:trPr>
          <w:trHeight w:val="595"/>
        </w:trPr>
        <w:tc>
          <w:tcPr>
            <w:tcW w:w="5839" w:type="dxa"/>
            <w:vAlign w:val="center"/>
          </w:tcPr>
          <w:p w14:paraId="386F1B74" w14:textId="77777777" w:rsidR="00894ECB" w:rsidRPr="00D927E4" w:rsidRDefault="00894ECB" w:rsidP="00894ECB">
            <w:pPr>
              <w:spacing w:after="160" w:line="259" w:lineRule="auto"/>
              <w:ind w:firstLine="240"/>
              <w:rPr>
                <w:rFonts w:eastAsia="Calibri"/>
                <w:color w:val="000000"/>
                <w:sz w:val="22"/>
                <w:szCs w:val="22"/>
                <w:lang w:eastAsia="en-US"/>
              </w:rPr>
            </w:pPr>
          </w:p>
          <w:p w14:paraId="197CF2C8" w14:textId="77777777" w:rsidR="00894ECB" w:rsidRPr="00D927E4" w:rsidRDefault="00894ECB" w:rsidP="00894ECB">
            <w:pPr>
              <w:spacing w:after="160" w:line="259" w:lineRule="auto"/>
              <w:ind w:firstLine="240"/>
              <w:rPr>
                <w:rFonts w:eastAsia="Calibri"/>
                <w:color w:val="000000"/>
                <w:sz w:val="22"/>
                <w:szCs w:val="22"/>
                <w:lang w:eastAsia="en-US"/>
              </w:rPr>
            </w:pPr>
            <w:r w:rsidRPr="00D927E4">
              <w:rPr>
                <w:rFonts w:eastAsia="Calibri"/>
                <w:color w:val="000000"/>
                <w:sz w:val="22"/>
                <w:szCs w:val="22"/>
                <w:lang w:eastAsia="en-US"/>
              </w:rPr>
              <w:t>2.2.4. Початковий розмір штрафу розраховується на основі оцінки серйозності та характеру порушення за формулою</w:t>
            </w:r>
          </w:p>
          <w:p w14:paraId="697A9AA0" w14:textId="77777777" w:rsidR="00894ECB" w:rsidRPr="00D927E4" w:rsidRDefault="00894ECB" w:rsidP="00894ECB">
            <w:pPr>
              <w:spacing w:after="160" w:line="259" w:lineRule="auto"/>
              <w:ind w:firstLine="240"/>
              <w:rPr>
                <w:rFonts w:eastAsia="Calibri"/>
                <w:sz w:val="22"/>
                <w:szCs w:val="22"/>
                <w:lang w:eastAsia="en-US"/>
              </w:rPr>
            </w:pPr>
          </w:p>
          <w:tbl>
            <w:tblPr>
              <w:tblW w:w="0" w:type="auto"/>
              <w:tblCellSpacing w:w="0" w:type="auto"/>
              <w:tblLayout w:type="fixed"/>
              <w:tblLook w:val="04A0" w:firstRow="1" w:lastRow="0" w:firstColumn="1" w:lastColumn="0" w:noHBand="0" w:noVBand="1"/>
            </w:tblPr>
            <w:tblGrid>
              <w:gridCol w:w="2778"/>
              <w:gridCol w:w="2778"/>
            </w:tblGrid>
            <w:tr w:rsidR="00894ECB" w:rsidRPr="00D927E4" w14:paraId="46C5866E" w14:textId="77777777" w:rsidTr="009E0942">
              <w:trPr>
                <w:trHeight w:val="30"/>
                <w:tblCellSpacing w:w="0" w:type="auto"/>
              </w:trPr>
              <w:tc>
                <w:tcPr>
                  <w:tcW w:w="2778" w:type="dxa"/>
                  <w:vAlign w:val="center"/>
                </w:tcPr>
                <w:p w14:paraId="1F8AE044" w14:textId="77777777" w:rsidR="00894ECB" w:rsidRPr="00D927E4" w:rsidRDefault="00894ECB" w:rsidP="00894ECB">
                  <w:pPr>
                    <w:spacing w:line="259" w:lineRule="auto"/>
                    <w:rPr>
                      <w:rFonts w:eastAsia="Calibri"/>
                      <w:sz w:val="22"/>
                      <w:szCs w:val="22"/>
                      <w:lang w:eastAsia="en-US"/>
                    </w:rPr>
                  </w:pPr>
                  <w:proofErr w:type="spellStart"/>
                  <w:r w:rsidRPr="00D927E4">
                    <w:rPr>
                      <w:rFonts w:eastAsia="Calibri"/>
                      <w:i/>
                      <w:color w:val="000000"/>
                      <w:sz w:val="22"/>
                      <w:szCs w:val="22"/>
                      <w:lang w:eastAsia="en-US"/>
                    </w:rPr>
                    <w:t>P</w:t>
                  </w:r>
                  <w:r w:rsidRPr="00D927E4">
                    <w:rPr>
                      <w:rFonts w:eastAsia="Calibri"/>
                      <w:i/>
                      <w:color w:val="000000"/>
                      <w:sz w:val="22"/>
                      <w:szCs w:val="22"/>
                      <w:vertAlign w:val="subscript"/>
                      <w:lang w:eastAsia="en-US"/>
                    </w:rPr>
                    <w:t>basic</w:t>
                  </w:r>
                  <w:proofErr w:type="spellEnd"/>
                  <w:r w:rsidRPr="00D927E4">
                    <w:rPr>
                      <w:rFonts w:eastAsia="Calibri"/>
                      <w:color w:val="000000"/>
                      <w:sz w:val="22"/>
                      <w:szCs w:val="22"/>
                      <w:lang w:eastAsia="en-US"/>
                    </w:rPr>
                    <w:t xml:space="preserve"> = (</w:t>
                  </w:r>
                  <w:r w:rsidRPr="00D927E4">
                    <w:rPr>
                      <w:rFonts w:eastAsia="Calibri"/>
                      <w:i/>
                      <w:color w:val="000000"/>
                      <w:sz w:val="22"/>
                      <w:szCs w:val="22"/>
                      <w:lang w:eastAsia="en-US"/>
                    </w:rPr>
                    <w:t>XX</w:t>
                  </w:r>
                  <w:r w:rsidRPr="00D927E4">
                    <w:rPr>
                      <w:rFonts w:eastAsia="Calibri"/>
                      <w:color w:val="000000"/>
                      <w:sz w:val="22"/>
                      <w:szCs w:val="22"/>
                      <w:lang w:eastAsia="en-US"/>
                    </w:rPr>
                    <w:t xml:space="preserve"> % х </w:t>
                  </w:r>
                  <w:proofErr w:type="spellStart"/>
                  <w:r w:rsidRPr="00D927E4">
                    <w:rPr>
                      <w:rFonts w:eastAsia="Calibri"/>
                      <w:i/>
                      <w:color w:val="000000"/>
                      <w:sz w:val="22"/>
                      <w:szCs w:val="22"/>
                      <w:lang w:eastAsia="en-US"/>
                    </w:rPr>
                    <w:t>P</w:t>
                  </w:r>
                  <w:r w:rsidRPr="00D927E4">
                    <w:rPr>
                      <w:rFonts w:eastAsia="Calibri"/>
                      <w:i/>
                      <w:color w:val="000000"/>
                      <w:sz w:val="22"/>
                      <w:szCs w:val="22"/>
                      <w:vertAlign w:val="subscript"/>
                      <w:lang w:eastAsia="en-US"/>
                    </w:rPr>
                    <w:t>max</w:t>
                  </w:r>
                  <w:proofErr w:type="spellEnd"/>
                  <w:r w:rsidRPr="00D927E4">
                    <w:rPr>
                      <w:rFonts w:eastAsia="Calibri"/>
                      <w:color w:val="000000"/>
                      <w:sz w:val="22"/>
                      <w:szCs w:val="22"/>
                      <w:lang w:eastAsia="en-US"/>
                    </w:rPr>
                    <w:t xml:space="preserve"> х </w:t>
                  </w:r>
                  <w:proofErr w:type="spellStart"/>
                  <w:r w:rsidRPr="00D927E4">
                    <w:rPr>
                      <w:rFonts w:eastAsia="Calibri"/>
                      <w:i/>
                      <w:color w:val="000000"/>
                      <w:sz w:val="22"/>
                      <w:szCs w:val="22"/>
                      <w:lang w:eastAsia="en-US"/>
                    </w:rPr>
                    <w:t>Dmg</w:t>
                  </w:r>
                  <w:proofErr w:type="spellEnd"/>
                  <w:r w:rsidRPr="00D927E4">
                    <w:rPr>
                      <w:rFonts w:eastAsia="Calibri"/>
                      <w:color w:val="000000"/>
                      <w:sz w:val="22"/>
                      <w:szCs w:val="22"/>
                      <w:lang w:eastAsia="en-US"/>
                    </w:rPr>
                    <w:t xml:space="preserve">) </w:t>
                  </w:r>
                </w:p>
              </w:tc>
              <w:tc>
                <w:tcPr>
                  <w:tcW w:w="2778" w:type="dxa"/>
                  <w:vAlign w:val="center"/>
                </w:tcPr>
                <w:p w14:paraId="2DCA5903" w14:textId="77777777" w:rsidR="00894ECB" w:rsidRPr="00D927E4" w:rsidRDefault="00894ECB" w:rsidP="00894ECB">
                  <w:pPr>
                    <w:spacing w:line="259" w:lineRule="auto"/>
                    <w:jc w:val="center"/>
                    <w:rPr>
                      <w:rFonts w:eastAsia="Calibri"/>
                      <w:sz w:val="22"/>
                      <w:szCs w:val="22"/>
                      <w:lang w:eastAsia="en-US"/>
                    </w:rPr>
                  </w:pPr>
                  <w:r w:rsidRPr="00D927E4">
                    <w:rPr>
                      <w:rFonts w:eastAsia="Calibri"/>
                      <w:color w:val="000000"/>
                      <w:sz w:val="22"/>
                      <w:szCs w:val="22"/>
                      <w:lang w:eastAsia="en-US"/>
                    </w:rPr>
                    <w:t>(1)</w:t>
                  </w:r>
                </w:p>
              </w:tc>
            </w:tr>
          </w:tbl>
          <w:p w14:paraId="22C30899" w14:textId="77777777" w:rsidR="00894ECB" w:rsidRPr="00D927E4" w:rsidRDefault="00894ECB" w:rsidP="00894ECB">
            <w:pPr>
              <w:spacing w:after="160" w:line="259" w:lineRule="auto"/>
              <w:ind w:firstLine="240"/>
              <w:jc w:val="right"/>
              <w:rPr>
                <w:rFonts w:eastAsia="Calibri"/>
                <w:sz w:val="22"/>
                <w:szCs w:val="22"/>
                <w:lang w:eastAsia="en-US"/>
              </w:rPr>
            </w:pPr>
          </w:p>
          <w:tbl>
            <w:tblPr>
              <w:tblW w:w="5566" w:type="dxa"/>
              <w:tblCellSpacing w:w="0" w:type="auto"/>
              <w:tblLayout w:type="fixed"/>
              <w:tblLook w:val="04A0" w:firstRow="1" w:lastRow="0" w:firstColumn="1" w:lastColumn="0" w:noHBand="0" w:noVBand="1"/>
            </w:tblPr>
            <w:tblGrid>
              <w:gridCol w:w="516"/>
              <w:gridCol w:w="968"/>
              <w:gridCol w:w="4082"/>
            </w:tblGrid>
            <w:tr w:rsidR="00D927E4" w:rsidRPr="00D927E4" w14:paraId="3867BBAE" w14:textId="77777777" w:rsidTr="009E0942">
              <w:trPr>
                <w:trHeight w:val="120"/>
                <w:tblCellSpacing w:w="0" w:type="auto"/>
              </w:trPr>
              <w:tc>
                <w:tcPr>
                  <w:tcW w:w="516" w:type="dxa"/>
                  <w:vAlign w:val="center"/>
                </w:tcPr>
                <w:p w14:paraId="2F2D98DE" w14:textId="77777777" w:rsidR="00894ECB" w:rsidRPr="00D927E4" w:rsidRDefault="00894ECB" w:rsidP="00894ECB">
                  <w:pPr>
                    <w:spacing w:line="259" w:lineRule="auto"/>
                    <w:rPr>
                      <w:rFonts w:eastAsia="Calibri"/>
                      <w:sz w:val="22"/>
                      <w:szCs w:val="22"/>
                      <w:lang w:eastAsia="en-US"/>
                    </w:rPr>
                  </w:pPr>
                  <w:r w:rsidRPr="00D927E4">
                    <w:rPr>
                      <w:rFonts w:eastAsia="Calibri"/>
                      <w:color w:val="000000"/>
                      <w:sz w:val="22"/>
                      <w:szCs w:val="22"/>
                      <w:lang w:eastAsia="en-US"/>
                    </w:rPr>
                    <w:t>де:</w:t>
                  </w:r>
                </w:p>
              </w:tc>
              <w:tc>
                <w:tcPr>
                  <w:tcW w:w="968" w:type="dxa"/>
                  <w:vAlign w:val="center"/>
                </w:tcPr>
                <w:p w14:paraId="034E5AD6" w14:textId="77777777" w:rsidR="00894ECB" w:rsidRPr="00D927E4" w:rsidRDefault="00894ECB" w:rsidP="00894ECB">
                  <w:pPr>
                    <w:spacing w:line="259" w:lineRule="auto"/>
                    <w:jc w:val="center"/>
                    <w:rPr>
                      <w:rFonts w:eastAsia="Calibri"/>
                      <w:sz w:val="22"/>
                      <w:szCs w:val="22"/>
                      <w:lang w:eastAsia="en-US"/>
                    </w:rPr>
                  </w:pPr>
                  <w:r w:rsidRPr="00D927E4">
                    <w:rPr>
                      <w:rFonts w:eastAsia="Calibri"/>
                      <w:i/>
                      <w:color w:val="000000"/>
                      <w:sz w:val="22"/>
                      <w:szCs w:val="22"/>
                      <w:lang w:eastAsia="en-US"/>
                    </w:rPr>
                    <w:t>XX%</w:t>
                  </w:r>
                </w:p>
              </w:tc>
              <w:tc>
                <w:tcPr>
                  <w:tcW w:w="4082" w:type="dxa"/>
                  <w:vAlign w:val="center"/>
                </w:tcPr>
                <w:p w14:paraId="6FFF8394" w14:textId="77777777" w:rsidR="00894ECB" w:rsidRPr="00D927E4" w:rsidRDefault="00894ECB" w:rsidP="00894ECB">
                  <w:pPr>
                    <w:spacing w:line="259" w:lineRule="auto"/>
                    <w:rPr>
                      <w:rFonts w:eastAsia="Calibri"/>
                      <w:sz w:val="22"/>
                      <w:szCs w:val="22"/>
                      <w:lang w:eastAsia="en-US"/>
                    </w:rPr>
                  </w:pPr>
                  <w:r w:rsidRPr="00D927E4">
                    <w:rPr>
                      <w:rFonts w:eastAsia="Calibri"/>
                      <w:color w:val="000000"/>
                      <w:sz w:val="22"/>
                      <w:szCs w:val="22"/>
                      <w:lang w:eastAsia="en-US"/>
                    </w:rPr>
                    <w:t xml:space="preserve">- відсоток серйозності та характеру порушення, що визначається за результатами оцінки серйозності порушення, яка здійснюється у порядку, визначеному пунктами 2.2.6 - </w:t>
                  </w:r>
                  <w:r w:rsidRPr="00D927E4">
                    <w:rPr>
                      <w:rFonts w:eastAsia="Calibri"/>
                      <w:b/>
                      <w:color w:val="000000"/>
                      <w:sz w:val="22"/>
                      <w:szCs w:val="22"/>
                      <w:lang w:eastAsia="en-US"/>
                    </w:rPr>
                    <w:t>2.2.13</w:t>
                  </w:r>
                  <w:r w:rsidRPr="00D927E4">
                    <w:rPr>
                      <w:rFonts w:eastAsia="Calibri"/>
                      <w:color w:val="000000"/>
                      <w:sz w:val="22"/>
                      <w:szCs w:val="22"/>
                      <w:lang w:eastAsia="en-US"/>
                    </w:rPr>
                    <w:t xml:space="preserve"> цієї глави, %;</w:t>
                  </w:r>
                </w:p>
              </w:tc>
            </w:tr>
            <w:tr w:rsidR="00D927E4" w:rsidRPr="00D927E4" w14:paraId="06E7C1AA" w14:textId="77777777" w:rsidTr="009E0942">
              <w:trPr>
                <w:trHeight w:val="120"/>
                <w:tblCellSpacing w:w="0" w:type="auto"/>
              </w:trPr>
              <w:tc>
                <w:tcPr>
                  <w:tcW w:w="516" w:type="dxa"/>
                  <w:vAlign w:val="center"/>
                </w:tcPr>
                <w:p w14:paraId="7E97D6CD" w14:textId="77777777" w:rsidR="00894ECB" w:rsidRPr="00D927E4" w:rsidRDefault="00894ECB" w:rsidP="00894ECB">
                  <w:pPr>
                    <w:spacing w:line="259" w:lineRule="auto"/>
                    <w:rPr>
                      <w:rFonts w:eastAsia="Calibri"/>
                      <w:sz w:val="22"/>
                      <w:szCs w:val="22"/>
                      <w:lang w:eastAsia="en-US"/>
                    </w:rPr>
                  </w:pPr>
                  <w:r w:rsidRPr="00D927E4">
                    <w:rPr>
                      <w:rFonts w:eastAsia="Calibri"/>
                      <w:color w:val="000000"/>
                      <w:sz w:val="22"/>
                      <w:szCs w:val="22"/>
                      <w:lang w:eastAsia="en-US"/>
                    </w:rPr>
                    <w:t xml:space="preserve"> </w:t>
                  </w:r>
                </w:p>
              </w:tc>
              <w:tc>
                <w:tcPr>
                  <w:tcW w:w="968" w:type="dxa"/>
                  <w:vAlign w:val="center"/>
                </w:tcPr>
                <w:p w14:paraId="22187973" w14:textId="77777777" w:rsidR="00894ECB" w:rsidRPr="00D927E4" w:rsidRDefault="00894ECB" w:rsidP="00894ECB">
                  <w:pPr>
                    <w:spacing w:line="259" w:lineRule="auto"/>
                    <w:jc w:val="center"/>
                    <w:rPr>
                      <w:rFonts w:eastAsia="Calibri"/>
                      <w:sz w:val="22"/>
                      <w:szCs w:val="22"/>
                      <w:lang w:eastAsia="en-US"/>
                    </w:rPr>
                  </w:pPr>
                  <w:proofErr w:type="spellStart"/>
                  <w:r w:rsidRPr="00D927E4">
                    <w:rPr>
                      <w:rFonts w:eastAsia="Calibri"/>
                      <w:i/>
                      <w:color w:val="000000"/>
                      <w:sz w:val="22"/>
                      <w:szCs w:val="22"/>
                      <w:lang w:eastAsia="en-US"/>
                    </w:rPr>
                    <w:t>P</w:t>
                  </w:r>
                  <w:r w:rsidRPr="00D927E4">
                    <w:rPr>
                      <w:rFonts w:eastAsia="Calibri"/>
                      <w:i/>
                      <w:color w:val="000000"/>
                      <w:sz w:val="22"/>
                      <w:szCs w:val="22"/>
                      <w:vertAlign w:val="subscript"/>
                      <w:lang w:eastAsia="en-US"/>
                    </w:rPr>
                    <w:t>max</w:t>
                  </w:r>
                  <w:proofErr w:type="spellEnd"/>
                </w:p>
              </w:tc>
              <w:tc>
                <w:tcPr>
                  <w:tcW w:w="4082" w:type="dxa"/>
                  <w:vAlign w:val="center"/>
                </w:tcPr>
                <w:p w14:paraId="1FF7F7BD" w14:textId="77777777" w:rsidR="00894ECB" w:rsidRPr="00D927E4" w:rsidRDefault="00894ECB" w:rsidP="00894ECB">
                  <w:pPr>
                    <w:spacing w:line="259" w:lineRule="auto"/>
                    <w:rPr>
                      <w:rFonts w:eastAsia="Calibri"/>
                      <w:sz w:val="22"/>
                      <w:szCs w:val="22"/>
                      <w:lang w:eastAsia="en-US"/>
                    </w:rPr>
                  </w:pPr>
                  <w:r w:rsidRPr="00D927E4">
                    <w:rPr>
                      <w:rFonts w:eastAsia="Calibri"/>
                      <w:color w:val="000000"/>
                      <w:sz w:val="22"/>
                      <w:szCs w:val="22"/>
                      <w:lang w:eastAsia="en-US"/>
                    </w:rPr>
                    <w:t>- максимальний розмір штрафу за відповідне порушення законодавства та/або ліцензійних умов, передбачений чинним законодавством;</w:t>
                  </w:r>
                </w:p>
              </w:tc>
            </w:tr>
            <w:tr w:rsidR="00D927E4" w:rsidRPr="00D927E4" w14:paraId="2E83F4DB" w14:textId="77777777" w:rsidTr="009E0942">
              <w:trPr>
                <w:trHeight w:val="120"/>
                <w:tblCellSpacing w:w="0" w:type="auto"/>
              </w:trPr>
              <w:tc>
                <w:tcPr>
                  <w:tcW w:w="516" w:type="dxa"/>
                  <w:vAlign w:val="center"/>
                </w:tcPr>
                <w:p w14:paraId="03FD4C7C" w14:textId="77777777" w:rsidR="00894ECB" w:rsidRPr="00D927E4" w:rsidRDefault="00894ECB" w:rsidP="00894ECB">
                  <w:pPr>
                    <w:spacing w:line="259" w:lineRule="auto"/>
                    <w:rPr>
                      <w:rFonts w:eastAsia="Calibri"/>
                      <w:sz w:val="22"/>
                      <w:szCs w:val="22"/>
                      <w:lang w:eastAsia="en-US"/>
                    </w:rPr>
                  </w:pPr>
                  <w:r w:rsidRPr="00D927E4">
                    <w:rPr>
                      <w:rFonts w:eastAsia="Calibri"/>
                      <w:color w:val="000000"/>
                      <w:sz w:val="22"/>
                      <w:szCs w:val="22"/>
                      <w:lang w:eastAsia="en-US"/>
                    </w:rPr>
                    <w:t xml:space="preserve"> </w:t>
                  </w:r>
                </w:p>
              </w:tc>
              <w:tc>
                <w:tcPr>
                  <w:tcW w:w="968" w:type="dxa"/>
                  <w:vAlign w:val="center"/>
                </w:tcPr>
                <w:p w14:paraId="276BED97" w14:textId="77777777" w:rsidR="00894ECB" w:rsidRPr="00D927E4" w:rsidRDefault="00894ECB" w:rsidP="00894ECB">
                  <w:pPr>
                    <w:spacing w:line="259" w:lineRule="auto"/>
                    <w:jc w:val="center"/>
                    <w:rPr>
                      <w:rFonts w:eastAsia="Calibri"/>
                      <w:sz w:val="22"/>
                      <w:szCs w:val="22"/>
                      <w:lang w:eastAsia="en-US"/>
                    </w:rPr>
                  </w:pPr>
                  <w:proofErr w:type="spellStart"/>
                  <w:r w:rsidRPr="00D927E4">
                    <w:rPr>
                      <w:rFonts w:eastAsia="Calibri"/>
                      <w:i/>
                      <w:color w:val="000000"/>
                      <w:sz w:val="22"/>
                      <w:szCs w:val="22"/>
                      <w:lang w:eastAsia="en-US"/>
                    </w:rPr>
                    <w:t>Dmg</w:t>
                  </w:r>
                  <w:proofErr w:type="spellEnd"/>
                </w:p>
              </w:tc>
              <w:tc>
                <w:tcPr>
                  <w:tcW w:w="4082" w:type="dxa"/>
                  <w:vAlign w:val="center"/>
                </w:tcPr>
                <w:p w14:paraId="72868AB3" w14:textId="77777777" w:rsidR="00894ECB" w:rsidRPr="00D927E4" w:rsidRDefault="00894ECB" w:rsidP="00894ECB">
                  <w:pPr>
                    <w:spacing w:line="259" w:lineRule="auto"/>
                    <w:rPr>
                      <w:rFonts w:eastAsia="Calibri"/>
                      <w:sz w:val="22"/>
                      <w:szCs w:val="22"/>
                      <w:lang w:eastAsia="en-US"/>
                    </w:rPr>
                  </w:pPr>
                  <w:r w:rsidRPr="00D927E4">
                    <w:rPr>
                      <w:rFonts w:eastAsia="Calibri"/>
                      <w:color w:val="000000"/>
                      <w:sz w:val="22"/>
                      <w:szCs w:val="22"/>
                      <w:lang w:eastAsia="en-US"/>
                    </w:rPr>
                    <w:t xml:space="preserve">- коефіцієнт завданої шкоди або додаткової вигоди (у разі можливості встановлення завданої шкоди та/або додаткової вигоди), наведений у пункті </w:t>
                  </w:r>
                  <w:r w:rsidRPr="00D927E4">
                    <w:rPr>
                      <w:rFonts w:eastAsia="Calibri"/>
                      <w:b/>
                      <w:color w:val="000000"/>
                      <w:sz w:val="22"/>
                      <w:szCs w:val="22"/>
                      <w:lang w:eastAsia="en-US"/>
                    </w:rPr>
                    <w:t>2.2.15</w:t>
                  </w:r>
                  <w:r w:rsidRPr="00D927E4">
                    <w:rPr>
                      <w:rFonts w:eastAsia="Calibri"/>
                      <w:color w:val="000000"/>
                      <w:sz w:val="22"/>
                      <w:szCs w:val="22"/>
                      <w:lang w:eastAsia="en-US"/>
                    </w:rPr>
                    <w:t xml:space="preserve"> цієї глави.</w:t>
                  </w:r>
                </w:p>
              </w:tc>
            </w:tr>
          </w:tbl>
          <w:p w14:paraId="17554AE8" w14:textId="77777777" w:rsidR="00894ECB" w:rsidRPr="00D927E4" w:rsidRDefault="00894ECB" w:rsidP="00894ECB">
            <w:pPr>
              <w:spacing w:after="160" w:line="259" w:lineRule="auto"/>
              <w:ind w:firstLine="306"/>
              <w:jc w:val="both"/>
              <w:rPr>
                <w:rFonts w:eastAsia="Calibri"/>
                <w:b/>
                <w:sz w:val="22"/>
                <w:szCs w:val="22"/>
                <w:lang w:eastAsia="en-US"/>
              </w:rPr>
            </w:pPr>
          </w:p>
          <w:p w14:paraId="3E27557D" w14:textId="77777777" w:rsidR="00894ECB" w:rsidRPr="00D927E4" w:rsidRDefault="00894ECB" w:rsidP="00894ECB">
            <w:pPr>
              <w:spacing w:after="160" w:line="259" w:lineRule="auto"/>
              <w:ind w:firstLine="306"/>
              <w:jc w:val="both"/>
              <w:rPr>
                <w:rFonts w:eastAsia="Calibri"/>
                <w:b/>
                <w:sz w:val="22"/>
                <w:szCs w:val="22"/>
                <w:lang w:eastAsia="en-US"/>
              </w:rPr>
            </w:pPr>
          </w:p>
        </w:tc>
        <w:tc>
          <w:tcPr>
            <w:tcW w:w="5809" w:type="dxa"/>
          </w:tcPr>
          <w:p w14:paraId="06076086" w14:textId="77777777" w:rsidR="00894ECB" w:rsidRPr="00D927E4" w:rsidRDefault="00894ECB" w:rsidP="00894ECB">
            <w:pPr>
              <w:spacing w:after="120"/>
              <w:rPr>
                <w:i/>
                <w:sz w:val="22"/>
                <w:szCs w:val="22"/>
              </w:rPr>
            </w:pPr>
            <w:r w:rsidRPr="00D927E4">
              <w:rPr>
                <w:i/>
                <w:sz w:val="22"/>
                <w:szCs w:val="22"/>
              </w:rPr>
              <w:t>ТОВ «Д.ТРЕЙДІНГ»</w:t>
            </w:r>
          </w:p>
          <w:p w14:paraId="640EAC6D" w14:textId="77777777" w:rsidR="00894ECB" w:rsidRPr="00D927E4" w:rsidRDefault="00894ECB" w:rsidP="00894ECB">
            <w:pPr>
              <w:spacing w:after="120"/>
              <w:rPr>
                <w:iCs/>
                <w:sz w:val="22"/>
                <w:szCs w:val="22"/>
              </w:rPr>
            </w:pPr>
            <w:r w:rsidRPr="00D927E4">
              <w:rPr>
                <w:iCs/>
                <w:sz w:val="22"/>
                <w:szCs w:val="22"/>
              </w:rPr>
              <w:t>Оскільки пропонується не доповнювати пунктом 2.2.9., пункт 2.2.4. також просимо залишити у діючій редакції</w:t>
            </w:r>
          </w:p>
          <w:p w14:paraId="21F9B0D5" w14:textId="77777777" w:rsidR="00894ECB" w:rsidRPr="00D927E4" w:rsidRDefault="00894ECB" w:rsidP="00894ECB">
            <w:pPr>
              <w:spacing w:after="120"/>
              <w:rPr>
                <w:i/>
                <w:sz w:val="22"/>
                <w:szCs w:val="22"/>
              </w:rPr>
            </w:pPr>
            <w:r w:rsidRPr="00D927E4">
              <w:rPr>
                <w:i/>
                <w:sz w:val="22"/>
                <w:szCs w:val="22"/>
              </w:rPr>
              <w:t>ОБГРУНТУВАННЯ:</w:t>
            </w:r>
          </w:p>
          <w:p w14:paraId="0301B00D" w14:textId="77777777" w:rsidR="00894ECB" w:rsidRPr="00D927E4" w:rsidRDefault="00894ECB" w:rsidP="00894ECB">
            <w:pPr>
              <w:ind w:firstLine="306"/>
              <w:rPr>
                <w:bCs/>
                <w:color w:val="000000" w:themeColor="text1"/>
                <w:sz w:val="22"/>
                <w:szCs w:val="22"/>
              </w:rPr>
            </w:pPr>
            <w:r w:rsidRPr="00D927E4">
              <w:rPr>
                <w:bCs/>
                <w:color w:val="000000" w:themeColor="text1"/>
                <w:sz w:val="22"/>
                <w:szCs w:val="22"/>
              </w:rPr>
              <w:t>—</w:t>
            </w:r>
          </w:p>
          <w:p w14:paraId="72CB9FF0" w14:textId="77777777" w:rsidR="00894ECB" w:rsidRPr="00D927E4" w:rsidRDefault="00894ECB" w:rsidP="00894ECB">
            <w:pPr>
              <w:spacing w:after="120"/>
              <w:rPr>
                <w:i/>
                <w:sz w:val="22"/>
                <w:szCs w:val="22"/>
              </w:rPr>
            </w:pPr>
          </w:p>
        </w:tc>
        <w:tc>
          <w:tcPr>
            <w:tcW w:w="3549" w:type="dxa"/>
          </w:tcPr>
          <w:p w14:paraId="08C3A365" w14:textId="77777777" w:rsidR="00894ECB" w:rsidRDefault="00E865BF" w:rsidP="00894ECB">
            <w:pPr>
              <w:rPr>
                <w:b/>
                <w:sz w:val="22"/>
                <w:szCs w:val="22"/>
                <w:shd w:val="clear" w:color="auto" w:fill="FFFFFF"/>
              </w:rPr>
            </w:pPr>
            <w:r>
              <w:rPr>
                <w:b/>
                <w:sz w:val="22"/>
                <w:szCs w:val="22"/>
                <w:shd w:val="clear" w:color="auto" w:fill="FFFFFF"/>
              </w:rPr>
              <w:t>Не враховано</w:t>
            </w:r>
          </w:p>
          <w:p w14:paraId="545FFEC8" w14:textId="77777777" w:rsidR="00E865BF" w:rsidRPr="00E865BF" w:rsidRDefault="00E865BF" w:rsidP="00894ECB">
            <w:pPr>
              <w:rPr>
                <w:sz w:val="22"/>
                <w:szCs w:val="22"/>
                <w:shd w:val="clear" w:color="auto" w:fill="FFFFFF"/>
              </w:rPr>
            </w:pPr>
          </w:p>
          <w:p w14:paraId="01BE1521" w14:textId="77777777" w:rsidR="00E865BF" w:rsidRPr="00D927E4" w:rsidRDefault="00E865BF" w:rsidP="00894ECB">
            <w:pPr>
              <w:rPr>
                <w:b/>
                <w:sz w:val="22"/>
                <w:szCs w:val="22"/>
                <w:shd w:val="clear" w:color="auto" w:fill="FFFFFF"/>
              </w:rPr>
            </w:pPr>
            <w:r w:rsidRPr="00E865BF">
              <w:rPr>
                <w:sz w:val="22"/>
                <w:szCs w:val="22"/>
                <w:shd w:val="clear" w:color="auto" w:fill="FFFFFF"/>
              </w:rPr>
              <w:t xml:space="preserve">Оскільки </w:t>
            </w:r>
            <w:r w:rsidR="00D93C28">
              <w:rPr>
                <w:sz w:val="22"/>
                <w:szCs w:val="22"/>
                <w:shd w:val="clear" w:color="auto" w:fill="FFFFFF"/>
              </w:rPr>
              <w:t>пропонується доповнити Порядок пунктом 2.2.9</w:t>
            </w:r>
          </w:p>
        </w:tc>
      </w:tr>
      <w:tr w:rsidR="00894ECB" w:rsidRPr="00D927E4" w14:paraId="279ABBC6" w14:textId="77777777" w:rsidTr="00894ECB">
        <w:trPr>
          <w:trHeight w:val="595"/>
        </w:trPr>
        <w:tc>
          <w:tcPr>
            <w:tcW w:w="5839" w:type="dxa"/>
          </w:tcPr>
          <w:p w14:paraId="6B8BEE82" w14:textId="77777777" w:rsidR="00894ECB" w:rsidRPr="00D927E4" w:rsidRDefault="00894ECB" w:rsidP="00894ECB">
            <w:pPr>
              <w:spacing w:after="160" w:line="259" w:lineRule="auto"/>
              <w:rPr>
                <w:rFonts w:eastAsia="Calibri"/>
                <w:sz w:val="22"/>
                <w:szCs w:val="22"/>
                <w:lang w:eastAsia="en-US"/>
              </w:rPr>
            </w:pPr>
          </w:p>
          <w:p w14:paraId="7249EC08" w14:textId="77777777" w:rsidR="00894ECB" w:rsidRPr="00D927E4" w:rsidRDefault="00894ECB" w:rsidP="00894ECB">
            <w:pPr>
              <w:spacing w:after="160" w:line="259" w:lineRule="auto"/>
              <w:ind w:firstLine="306"/>
              <w:rPr>
                <w:rFonts w:eastAsia="Calibri"/>
                <w:b/>
                <w:sz w:val="22"/>
                <w:szCs w:val="22"/>
                <w:lang w:eastAsia="en-US"/>
              </w:rPr>
            </w:pPr>
            <w:r w:rsidRPr="00D927E4">
              <w:rPr>
                <w:rFonts w:eastAsia="Calibri"/>
                <w:b/>
                <w:sz w:val="22"/>
                <w:szCs w:val="22"/>
                <w:lang w:eastAsia="en-US"/>
              </w:rPr>
              <w:t>2.2.9. За критерієм «досвід ліцензіатів НКРЕКП» визначаються:</w:t>
            </w:r>
          </w:p>
          <w:p w14:paraId="18F0E406" w14:textId="77777777" w:rsidR="00894ECB" w:rsidRPr="00D927E4" w:rsidRDefault="00894ECB" w:rsidP="00894ECB">
            <w:pPr>
              <w:spacing w:after="160" w:line="259" w:lineRule="auto"/>
              <w:ind w:firstLine="306"/>
              <w:rPr>
                <w:rFonts w:eastAsia="Calibri"/>
                <w:b/>
                <w:sz w:val="22"/>
                <w:szCs w:val="22"/>
                <w:lang w:eastAsia="en-US"/>
              </w:rPr>
            </w:pPr>
            <w:r w:rsidRPr="00D927E4">
              <w:rPr>
                <w:rFonts w:eastAsia="Calibri"/>
                <w:b/>
                <w:sz w:val="22"/>
                <w:szCs w:val="22"/>
                <w:lang w:eastAsia="en-US"/>
              </w:rPr>
              <w:t>ліцензіат 1-ого рівня (який провадить господарську діяльність до 1 року) (1 бал);</w:t>
            </w:r>
          </w:p>
          <w:p w14:paraId="6C686A0E" w14:textId="77777777" w:rsidR="00894ECB" w:rsidRPr="00D927E4" w:rsidRDefault="00894ECB" w:rsidP="00894ECB">
            <w:pPr>
              <w:spacing w:after="160" w:line="259" w:lineRule="auto"/>
              <w:ind w:firstLine="306"/>
              <w:rPr>
                <w:rFonts w:eastAsia="Calibri"/>
                <w:b/>
                <w:sz w:val="22"/>
                <w:szCs w:val="22"/>
                <w:lang w:eastAsia="en-US"/>
              </w:rPr>
            </w:pPr>
            <w:r w:rsidRPr="00D927E4">
              <w:rPr>
                <w:rFonts w:eastAsia="Calibri"/>
                <w:b/>
                <w:sz w:val="22"/>
                <w:szCs w:val="22"/>
                <w:lang w:eastAsia="en-US"/>
              </w:rPr>
              <w:lastRenderedPageBreak/>
              <w:t>ліцензіат 2-ого рівня (який провадить господарську діяльність від 1 до 3 років) (2 бали);</w:t>
            </w:r>
          </w:p>
          <w:p w14:paraId="7CB99DE8" w14:textId="77777777" w:rsidR="00894ECB" w:rsidRPr="00D927E4" w:rsidRDefault="00894ECB" w:rsidP="00894ECB">
            <w:pPr>
              <w:spacing w:after="160" w:line="259" w:lineRule="auto"/>
              <w:ind w:firstLine="306"/>
              <w:rPr>
                <w:rFonts w:eastAsia="Calibri"/>
                <w:b/>
                <w:sz w:val="22"/>
                <w:szCs w:val="22"/>
                <w:lang w:eastAsia="en-US"/>
              </w:rPr>
            </w:pPr>
            <w:r w:rsidRPr="00D927E4">
              <w:rPr>
                <w:rFonts w:eastAsia="Calibri"/>
                <w:b/>
                <w:sz w:val="22"/>
                <w:szCs w:val="22"/>
                <w:lang w:eastAsia="en-US"/>
              </w:rPr>
              <w:t>ліцензіат 3-ого рівня (який провадить господарську діяльність від 3 до 5 років) (3 бали);</w:t>
            </w:r>
          </w:p>
          <w:p w14:paraId="77EBD32D" w14:textId="77777777" w:rsidR="00894ECB" w:rsidRPr="00D927E4" w:rsidRDefault="00894ECB" w:rsidP="00894ECB">
            <w:pPr>
              <w:spacing w:after="160" w:line="259" w:lineRule="auto"/>
              <w:ind w:firstLine="306"/>
              <w:rPr>
                <w:rFonts w:eastAsia="Calibri"/>
                <w:sz w:val="22"/>
                <w:szCs w:val="22"/>
                <w:lang w:eastAsia="en-US"/>
              </w:rPr>
            </w:pPr>
            <w:r w:rsidRPr="00D927E4">
              <w:rPr>
                <w:rFonts w:eastAsia="Calibri"/>
                <w:b/>
                <w:sz w:val="22"/>
                <w:szCs w:val="22"/>
                <w:lang w:eastAsia="en-US"/>
              </w:rPr>
              <w:t>ліцензіат 4-ого рівня (який провадить господарську діяльність більше 5 років) (4 бали).</w:t>
            </w:r>
          </w:p>
          <w:p w14:paraId="2D1155F7" w14:textId="77777777" w:rsidR="00894ECB" w:rsidRPr="00D927E4" w:rsidRDefault="00894ECB" w:rsidP="00894ECB">
            <w:pPr>
              <w:spacing w:after="160" w:line="259" w:lineRule="auto"/>
              <w:ind w:firstLine="306"/>
              <w:rPr>
                <w:rFonts w:eastAsia="Calibri"/>
                <w:sz w:val="22"/>
                <w:szCs w:val="22"/>
                <w:lang w:eastAsia="en-US"/>
              </w:rPr>
            </w:pPr>
          </w:p>
          <w:p w14:paraId="0D1BBEDF" w14:textId="77777777" w:rsidR="00894ECB" w:rsidRPr="00D927E4" w:rsidRDefault="00894ECB" w:rsidP="00894ECB">
            <w:pPr>
              <w:spacing w:after="160" w:line="259" w:lineRule="auto"/>
              <w:ind w:firstLine="306"/>
              <w:rPr>
                <w:sz w:val="22"/>
                <w:szCs w:val="22"/>
              </w:rPr>
            </w:pPr>
          </w:p>
        </w:tc>
        <w:tc>
          <w:tcPr>
            <w:tcW w:w="5809" w:type="dxa"/>
            <w:vAlign w:val="center"/>
          </w:tcPr>
          <w:p w14:paraId="7C763831" w14:textId="77777777" w:rsidR="00894ECB" w:rsidRPr="00D927E4" w:rsidRDefault="00894ECB" w:rsidP="00894ECB">
            <w:pPr>
              <w:spacing w:after="120"/>
              <w:jc w:val="both"/>
              <w:rPr>
                <w:i/>
                <w:sz w:val="22"/>
                <w:szCs w:val="22"/>
              </w:rPr>
            </w:pPr>
            <w:r w:rsidRPr="00D927E4">
              <w:rPr>
                <w:i/>
                <w:sz w:val="22"/>
                <w:szCs w:val="22"/>
              </w:rPr>
              <w:lastRenderedPageBreak/>
              <w:t>ТОВ «Д.ТРЕЙДІНГ»</w:t>
            </w:r>
          </w:p>
          <w:p w14:paraId="5E569F11" w14:textId="77777777" w:rsidR="00894ECB" w:rsidRPr="00D927E4" w:rsidRDefault="00894ECB" w:rsidP="00894ECB">
            <w:pPr>
              <w:spacing w:after="160" w:line="259" w:lineRule="auto"/>
              <w:ind w:firstLine="306"/>
              <w:jc w:val="center"/>
              <w:rPr>
                <w:rFonts w:eastAsia="Calibri"/>
                <w:b/>
                <w:i/>
                <w:iCs/>
                <w:sz w:val="22"/>
                <w:szCs w:val="22"/>
                <w:lang w:eastAsia="en-US"/>
              </w:rPr>
            </w:pPr>
            <w:r w:rsidRPr="00D927E4">
              <w:rPr>
                <w:rFonts w:eastAsia="Calibri"/>
                <w:b/>
                <w:i/>
                <w:iCs/>
                <w:sz w:val="22"/>
                <w:szCs w:val="22"/>
                <w:lang w:eastAsia="en-US"/>
              </w:rPr>
              <w:t xml:space="preserve">Вилучити (не доповнювати пунктом </w:t>
            </w:r>
            <w:r w:rsidRPr="00D927E4">
              <w:rPr>
                <w:rFonts w:eastAsia="Calibri"/>
                <w:b/>
                <w:sz w:val="22"/>
                <w:szCs w:val="22"/>
                <w:lang w:eastAsia="en-US"/>
              </w:rPr>
              <w:t>2.2.9.</w:t>
            </w:r>
            <w:r w:rsidRPr="00D927E4">
              <w:rPr>
                <w:rFonts w:eastAsia="Calibri"/>
                <w:b/>
                <w:i/>
                <w:iCs/>
                <w:sz w:val="22"/>
                <w:szCs w:val="22"/>
                <w:lang w:eastAsia="en-US"/>
              </w:rPr>
              <w:t>)</w:t>
            </w:r>
          </w:p>
          <w:p w14:paraId="3C214557" w14:textId="77777777" w:rsidR="00894ECB" w:rsidRPr="00D927E4" w:rsidRDefault="00894ECB" w:rsidP="00894ECB">
            <w:pPr>
              <w:spacing w:after="120"/>
              <w:jc w:val="both"/>
              <w:rPr>
                <w:sz w:val="22"/>
                <w:szCs w:val="22"/>
              </w:rPr>
            </w:pPr>
            <w:r w:rsidRPr="00D927E4">
              <w:rPr>
                <w:sz w:val="22"/>
                <w:szCs w:val="22"/>
              </w:rPr>
              <w:t>ОБГРУНТУВАННЯ:</w:t>
            </w:r>
          </w:p>
          <w:p w14:paraId="636DDF3D" w14:textId="77777777" w:rsidR="00894ECB" w:rsidRPr="00D927E4" w:rsidRDefault="00894ECB" w:rsidP="00894ECB">
            <w:pPr>
              <w:ind w:firstLine="306"/>
              <w:jc w:val="both"/>
              <w:rPr>
                <w:bCs/>
                <w:color w:val="000000" w:themeColor="text1"/>
                <w:sz w:val="22"/>
                <w:szCs w:val="22"/>
              </w:rPr>
            </w:pPr>
            <w:r w:rsidRPr="00D927E4">
              <w:rPr>
                <w:bCs/>
                <w:color w:val="000000" w:themeColor="text1"/>
                <w:sz w:val="22"/>
                <w:szCs w:val="22"/>
              </w:rPr>
              <w:t xml:space="preserve">Пропонуємо відмовитись від доповнення пунктом 2.2.9. оскільки критерій «досвід ліцензіатів НКРЕКП» (фактично тривалість час у з моменту отримання суб’єктом господарювання ліцензії) не визначено законами про ринки </w:t>
            </w:r>
            <w:r w:rsidRPr="00D927E4">
              <w:rPr>
                <w:bCs/>
                <w:color w:val="000000" w:themeColor="text1"/>
                <w:sz w:val="22"/>
                <w:szCs w:val="22"/>
              </w:rPr>
              <w:lastRenderedPageBreak/>
              <w:t>як такий, що має братися до уваги під час прийняття рішення про накладення штрафів.</w:t>
            </w:r>
          </w:p>
          <w:p w14:paraId="091A0FB0" w14:textId="77777777" w:rsidR="00894ECB" w:rsidRPr="00D927E4" w:rsidRDefault="00894ECB" w:rsidP="00894ECB">
            <w:pPr>
              <w:ind w:firstLine="306"/>
              <w:jc w:val="both"/>
              <w:rPr>
                <w:b/>
                <w:color w:val="000000" w:themeColor="text1"/>
                <w:sz w:val="22"/>
                <w:szCs w:val="22"/>
              </w:rPr>
            </w:pPr>
            <w:r w:rsidRPr="00D927E4">
              <w:rPr>
                <w:bCs/>
                <w:color w:val="000000" w:themeColor="text1"/>
                <w:sz w:val="22"/>
                <w:szCs w:val="22"/>
              </w:rPr>
              <w:t>Абзац перший частини четвертої статті 77 Закону України «Про ринок електричної енергії»:</w:t>
            </w:r>
          </w:p>
          <w:p w14:paraId="47D89553" w14:textId="77777777" w:rsidR="00894ECB" w:rsidRPr="00D927E4" w:rsidRDefault="00894ECB" w:rsidP="00894ECB">
            <w:pPr>
              <w:ind w:firstLine="306"/>
              <w:jc w:val="both"/>
              <w:rPr>
                <w:bCs/>
                <w:color w:val="000000" w:themeColor="text1"/>
                <w:sz w:val="22"/>
                <w:szCs w:val="22"/>
              </w:rPr>
            </w:pPr>
            <w:r w:rsidRPr="00D927E4">
              <w:rPr>
                <w:bCs/>
                <w:color w:val="000000" w:themeColor="text1"/>
                <w:sz w:val="22"/>
                <w:szCs w:val="22"/>
              </w:rPr>
              <w:t xml:space="preserve">4. Регулятор у разі вчинення правопорушення на ринку електричної енергії приймає у межах своїх повноважень рішення про накладення штрафів на учасників ринку … беручи до уваги </w:t>
            </w:r>
            <w:r w:rsidRPr="00D927E4">
              <w:rPr>
                <w:bCs/>
                <w:color w:val="000000" w:themeColor="text1"/>
                <w:sz w:val="22"/>
                <w:szCs w:val="22"/>
                <w:u w:val="single"/>
              </w:rPr>
              <w:t>характер, тривалість та серйозність</w:t>
            </w:r>
            <w:r w:rsidRPr="00D927E4">
              <w:rPr>
                <w:bCs/>
                <w:color w:val="000000" w:themeColor="text1"/>
                <w:sz w:val="22"/>
                <w:szCs w:val="22"/>
              </w:rPr>
              <w:t xml:space="preserve"> порушення, </w:t>
            </w:r>
            <w:r w:rsidRPr="00D927E4">
              <w:rPr>
                <w:bCs/>
                <w:color w:val="000000" w:themeColor="text1"/>
                <w:sz w:val="22"/>
                <w:szCs w:val="22"/>
                <w:u w:val="single"/>
              </w:rPr>
              <w:t>розмір заподіяної шкоди та розмір потенційного доходу</w:t>
            </w:r>
            <w:r w:rsidRPr="00D927E4">
              <w:rPr>
                <w:bCs/>
                <w:color w:val="000000" w:themeColor="text1"/>
                <w:sz w:val="22"/>
                <w:szCs w:val="22"/>
              </w:rPr>
              <w:t>, який міг бути отриманий внаслідок порушення …</w:t>
            </w:r>
          </w:p>
          <w:p w14:paraId="5AE56871" w14:textId="77777777" w:rsidR="00894ECB" w:rsidRPr="00D927E4" w:rsidRDefault="00894ECB" w:rsidP="00894ECB">
            <w:pPr>
              <w:ind w:firstLine="306"/>
              <w:jc w:val="both"/>
              <w:rPr>
                <w:bCs/>
                <w:color w:val="000000" w:themeColor="text1"/>
                <w:sz w:val="22"/>
                <w:szCs w:val="22"/>
              </w:rPr>
            </w:pPr>
            <w:r w:rsidRPr="00D927E4">
              <w:rPr>
                <w:bCs/>
                <w:color w:val="000000" w:themeColor="text1"/>
                <w:sz w:val="22"/>
                <w:szCs w:val="22"/>
              </w:rPr>
              <w:t>Частина п’ята статті 59 Закону України «Про ринок природного газу»:</w:t>
            </w:r>
          </w:p>
          <w:p w14:paraId="2DE4A858" w14:textId="77777777" w:rsidR="00894ECB" w:rsidRPr="00D927E4" w:rsidRDefault="00894ECB" w:rsidP="00894ECB">
            <w:pPr>
              <w:ind w:firstLine="306"/>
              <w:jc w:val="both"/>
              <w:rPr>
                <w:bCs/>
                <w:color w:val="000000" w:themeColor="text1"/>
                <w:sz w:val="22"/>
                <w:szCs w:val="22"/>
              </w:rPr>
            </w:pPr>
            <w:r w:rsidRPr="00D927E4">
              <w:rPr>
                <w:bCs/>
                <w:color w:val="000000" w:themeColor="text1"/>
                <w:sz w:val="22"/>
                <w:szCs w:val="22"/>
              </w:rPr>
              <w:t xml:space="preserve">5. Під час визначення санкцій за порушення, передбачені цією статтею, Регулятор враховує </w:t>
            </w:r>
            <w:r w:rsidRPr="00D927E4">
              <w:rPr>
                <w:bCs/>
                <w:color w:val="000000" w:themeColor="text1"/>
                <w:sz w:val="22"/>
                <w:szCs w:val="22"/>
                <w:u w:val="single"/>
              </w:rPr>
              <w:t>серйозність і тривалість</w:t>
            </w:r>
            <w:r w:rsidRPr="00D927E4">
              <w:rPr>
                <w:bCs/>
                <w:color w:val="000000" w:themeColor="text1"/>
                <w:sz w:val="22"/>
                <w:szCs w:val="22"/>
              </w:rPr>
              <w:t xml:space="preserve"> правопорушення, </w:t>
            </w:r>
            <w:r w:rsidRPr="00D927E4">
              <w:rPr>
                <w:bCs/>
                <w:color w:val="000000" w:themeColor="text1"/>
                <w:sz w:val="22"/>
                <w:szCs w:val="22"/>
                <w:u w:val="single"/>
              </w:rPr>
              <w:t>наслідки правопорушення для інтересів ринку</w:t>
            </w:r>
            <w:r w:rsidRPr="00D927E4">
              <w:rPr>
                <w:bCs/>
                <w:color w:val="000000" w:themeColor="text1"/>
                <w:sz w:val="22"/>
                <w:szCs w:val="22"/>
              </w:rPr>
              <w:t xml:space="preserve"> природного газу та його суб’єктів, пом’якшуючі та обтяжуючі обставини.</w:t>
            </w:r>
          </w:p>
          <w:p w14:paraId="381B0406" w14:textId="77777777" w:rsidR="00894ECB" w:rsidRPr="00D927E4" w:rsidRDefault="00894ECB" w:rsidP="00894ECB">
            <w:pPr>
              <w:spacing w:after="120"/>
              <w:jc w:val="both"/>
              <w:rPr>
                <w:sz w:val="22"/>
                <w:szCs w:val="22"/>
              </w:rPr>
            </w:pPr>
          </w:p>
          <w:p w14:paraId="7F761BAA" w14:textId="77777777" w:rsidR="00894ECB" w:rsidRPr="00D927E4" w:rsidRDefault="00894ECB" w:rsidP="00894ECB">
            <w:pPr>
              <w:spacing w:after="120"/>
              <w:jc w:val="both"/>
              <w:rPr>
                <w:i/>
                <w:sz w:val="22"/>
                <w:szCs w:val="22"/>
              </w:rPr>
            </w:pPr>
            <w:r w:rsidRPr="00D927E4">
              <w:rPr>
                <w:i/>
                <w:sz w:val="22"/>
                <w:szCs w:val="22"/>
              </w:rPr>
              <w:t>АТ</w:t>
            </w:r>
            <w:r w:rsidRPr="00D927E4">
              <w:rPr>
                <w:i/>
                <w:spacing w:val="-11"/>
                <w:sz w:val="22"/>
                <w:szCs w:val="22"/>
              </w:rPr>
              <w:t xml:space="preserve"> </w:t>
            </w:r>
            <w:r w:rsidRPr="00D927E4">
              <w:rPr>
                <w:i/>
                <w:sz w:val="22"/>
                <w:szCs w:val="22"/>
              </w:rPr>
              <w:t>«ДТЕК</w:t>
            </w:r>
            <w:r w:rsidRPr="00D927E4">
              <w:rPr>
                <w:i/>
                <w:spacing w:val="-9"/>
                <w:sz w:val="22"/>
                <w:szCs w:val="22"/>
              </w:rPr>
              <w:t xml:space="preserve"> </w:t>
            </w:r>
            <w:r w:rsidRPr="00D927E4">
              <w:rPr>
                <w:i/>
                <w:spacing w:val="-2"/>
                <w:sz w:val="22"/>
                <w:szCs w:val="22"/>
              </w:rPr>
              <w:t>ЗАХІДЕНЕРГО»</w:t>
            </w:r>
          </w:p>
          <w:p w14:paraId="71103F84" w14:textId="77777777" w:rsidR="00894ECB" w:rsidRPr="00D927E4" w:rsidRDefault="00894ECB" w:rsidP="00894ECB">
            <w:pPr>
              <w:spacing w:after="120"/>
              <w:jc w:val="both"/>
              <w:rPr>
                <w:sz w:val="22"/>
                <w:szCs w:val="22"/>
              </w:rPr>
            </w:pPr>
            <w:r w:rsidRPr="00D927E4">
              <w:rPr>
                <w:sz w:val="22"/>
                <w:szCs w:val="22"/>
              </w:rPr>
              <w:t>Пропонований підхід необґрунтовано ставить величину штрафу до величини досвіду суб’єкта, тобто, періоду його діяльності на ринку.</w:t>
            </w:r>
          </w:p>
          <w:p w14:paraId="1761A769" w14:textId="77777777" w:rsidR="00894ECB" w:rsidRPr="00D927E4" w:rsidRDefault="00894ECB" w:rsidP="00894ECB">
            <w:pPr>
              <w:spacing w:after="120"/>
              <w:jc w:val="both"/>
              <w:rPr>
                <w:sz w:val="22"/>
                <w:szCs w:val="22"/>
              </w:rPr>
            </w:pPr>
            <w:r w:rsidRPr="00D927E4">
              <w:rPr>
                <w:sz w:val="22"/>
                <w:szCs w:val="22"/>
              </w:rPr>
              <w:t>Пропозиція: відмовитись від запровадження.</w:t>
            </w:r>
          </w:p>
          <w:p w14:paraId="186035BF" w14:textId="77777777" w:rsidR="00894ECB" w:rsidRPr="00D927E4" w:rsidRDefault="00894ECB" w:rsidP="00894ECB">
            <w:pPr>
              <w:spacing w:after="120"/>
              <w:jc w:val="both"/>
              <w:rPr>
                <w:sz w:val="22"/>
                <w:szCs w:val="22"/>
              </w:rPr>
            </w:pPr>
          </w:p>
          <w:p w14:paraId="3DFAA89E" w14:textId="77777777" w:rsidR="00894ECB" w:rsidRPr="00D927E4" w:rsidRDefault="00894ECB" w:rsidP="00894ECB">
            <w:pPr>
              <w:spacing w:after="120"/>
              <w:jc w:val="both"/>
              <w:rPr>
                <w:i/>
                <w:sz w:val="22"/>
                <w:szCs w:val="22"/>
              </w:rPr>
            </w:pPr>
            <w:r w:rsidRPr="00D927E4">
              <w:rPr>
                <w:i/>
                <w:sz w:val="22"/>
                <w:szCs w:val="22"/>
              </w:rPr>
              <w:t>ОБГРУНТУВАННЯ:</w:t>
            </w:r>
          </w:p>
          <w:p w14:paraId="54239322" w14:textId="77777777" w:rsidR="00894ECB" w:rsidRPr="00D927E4" w:rsidRDefault="00894ECB" w:rsidP="00894ECB">
            <w:pPr>
              <w:spacing w:after="120"/>
              <w:jc w:val="both"/>
              <w:rPr>
                <w:sz w:val="22"/>
                <w:szCs w:val="22"/>
              </w:rPr>
            </w:pPr>
            <w:r w:rsidRPr="00D927E4">
              <w:rPr>
                <w:sz w:val="22"/>
                <w:szCs w:val="22"/>
              </w:rPr>
              <w:t>Величина досвіду суб’єкта означає більшу кількість виробленої та відпущеної</w:t>
            </w:r>
          </w:p>
          <w:p w14:paraId="73D0621B" w14:textId="77777777" w:rsidR="00894ECB" w:rsidRPr="00D927E4" w:rsidRDefault="00894ECB" w:rsidP="00894ECB">
            <w:pPr>
              <w:spacing w:after="120"/>
              <w:jc w:val="both"/>
              <w:rPr>
                <w:sz w:val="22"/>
                <w:szCs w:val="22"/>
              </w:rPr>
            </w:pPr>
            <w:r w:rsidRPr="00D927E4">
              <w:rPr>
                <w:sz w:val="22"/>
                <w:szCs w:val="22"/>
              </w:rPr>
              <w:t>електроенергії, більшу кількість сплачених податків, створених робочих місць та забезпечення</w:t>
            </w:r>
          </w:p>
          <w:p w14:paraId="1C508F16" w14:textId="77777777" w:rsidR="00894ECB" w:rsidRPr="00D927E4" w:rsidRDefault="00894ECB" w:rsidP="00894ECB">
            <w:pPr>
              <w:spacing w:after="120"/>
              <w:jc w:val="both"/>
              <w:rPr>
                <w:sz w:val="22"/>
                <w:szCs w:val="22"/>
              </w:rPr>
            </w:pPr>
            <w:r w:rsidRPr="00D927E4">
              <w:rPr>
                <w:sz w:val="22"/>
                <w:szCs w:val="22"/>
              </w:rPr>
              <w:t>соціально-економічних гарантів у місці присутності протягом більш тривалого періоду час. Ці всі</w:t>
            </w:r>
          </w:p>
          <w:p w14:paraId="598DFA69" w14:textId="77777777" w:rsidR="00894ECB" w:rsidRPr="00D927E4" w:rsidRDefault="00894ECB" w:rsidP="00894ECB">
            <w:pPr>
              <w:spacing w:after="120"/>
              <w:jc w:val="both"/>
              <w:rPr>
                <w:sz w:val="22"/>
                <w:szCs w:val="22"/>
              </w:rPr>
            </w:pPr>
            <w:r w:rsidRPr="00D927E4">
              <w:rPr>
                <w:sz w:val="22"/>
                <w:szCs w:val="22"/>
              </w:rPr>
              <w:lastRenderedPageBreak/>
              <w:t>обставини мають спонукати Державу в особі її уповноважених органів формувати свою політику по відношенню до досвідчених</w:t>
            </w:r>
          </w:p>
          <w:p w14:paraId="36CC698F" w14:textId="77777777" w:rsidR="00894ECB" w:rsidRPr="00D927E4" w:rsidRDefault="00894ECB" w:rsidP="00894ECB">
            <w:pPr>
              <w:spacing w:after="120"/>
              <w:jc w:val="both"/>
              <w:rPr>
                <w:sz w:val="22"/>
                <w:szCs w:val="22"/>
              </w:rPr>
            </w:pPr>
            <w:r w:rsidRPr="00D927E4">
              <w:rPr>
                <w:sz w:val="22"/>
                <w:szCs w:val="22"/>
              </w:rPr>
              <w:t>суб’єктів таким чином, щоб підтримувати, мотивувати та примножувати їх вклад в</w:t>
            </w:r>
          </w:p>
          <w:p w14:paraId="5AFA5D80" w14:textId="77777777" w:rsidR="00894ECB" w:rsidRPr="00D927E4" w:rsidRDefault="00894ECB" w:rsidP="00894ECB">
            <w:pPr>
              <w:spacing w:after="120"/>
              <w:jc w:val="both"/>
              <w:rPr>
                <w:sz w:val="22"/>
                <w:szCs w:val="22"/>
              </w:rPr>
            </w:pPr>
            <w:r w:rsidRPr="00D927E4">
              <w:rPr>
                <w:sz w:val="22"/>
                <w:szCs w:val="22"/>
              </w:rPr>
              <w:t>забезпечення діяльності Держави.</w:t>
            </w:r>
          </w:p>
          <w:p w14:paraId="51E1ED70" w14:textId="77777777" w:rsidR="00894ECB" w:rsidRPr="00D927E4" w:rsidRDefault="00894ECB" w:rsidP="00894ECB">
            <w:pPr>
              <w:spacing w:after="120"/>
              <w:jc w:val="both"/>
              <w:rPr>
                <w:sz w:val="22"/>
                <w:szCs w:val="22"/>
              </w:rPr>
            </w:pPr>
            <w:r w:rsidRPr="00D927E4">
              <w:rPr>
                <w:sz w:val="22"/>
                <w:szCs w:val="22"/>
              </w:rPr>
              <w:t xml:space="preserve">Натомість, пропоновані зміни нівелюють участь досвідчених суб’єктів та </w:t>
            </w:r>
            <w:proofErr w:type="spellStart"/>
            <w:r w:rsidRPr="00D927E4">
              <w:rPr>
                <w:sz w:val="22"/>
                <w:szCs w:val="22"/>
              </w:rPr>
              <w:t>демотивують</w:t>
            </w:r>
            <w:proofErr w:type="spellEnd"/>
            <w:r w:rsidRPr="00D927E4">
              <w:rPr>
                <w:sz w:val="22"/>
                <w:szCs w:val="22"/>
              </w:rPr>
              <w:t xml:space="preserve"> їх діяльність на користь Держави.</w:t>
            </w:r>
          </w:p>
          <w:p w14:paraId="635EB7C7" w14:textId="77777777" w:rsidR="00894ECB" w:rsidRPr="00D927E4" w:rsidRDefault="00894ECB" w:rsidP="00894ECB">
            <w:pPr>
              <w:spacing w:after="120"/>
              <w:jc w:val="both"/>
              <w:rPr>
                <w:sz w:val="22"/>
                <w:szCs w:val="22"/>
              </w:rPr>
            </w:pPr>
          </w:p>
          <w:p w14:paraId="43BD422E" w14:textId="77777777" w:rsidR="00894ECB" w:rsidRPr="00D927E4" w:rsidRDefault="00894ECB" w:rsidP="00894ECB">
            <w:pPr>
              <w:spacing w:after="120"/>
              <w:jc w:val="both"/>
              <w:rPr>
                <w:i/>
                <w:sz w:val="22"/>
                <w:szCs w:val="22"/>
              </w:rPr>
            </w:pPr>
            <w:r w:rsidRPr="00D927E4">
              <w:rPr>
                <w:i/>
                <w:sz w:val="22"/>
                <w:szCs w:val="22"/>
              </w:rPr>
              <w:t>АТ «ДТЕК ДНІПРОВСЬКІ ЕЛЕКТРОМЕРЕЖІ»</w:t>
            </w:r>
          </w:p>
          <w:p w14:paraId="4EA0C656" w14:textId="77777777" w:rsidR="00894ECB" w:rsidRPr="00D927E4" w:rsidRDefault="00894ECB" w:rsidP="00894ECB">
            <w:pPr>
              <w:spacing w:after="120"/>
              <w:jc w:val="both"/>
              <w:rPr>
                <w:sz w:val="22"/>
                <w:szCs w:val="22"/>
              </w:rPr>
            </w:pPr>
            <w:r w:rsidRPr="00D927E4">
              <w:rPr>
                <w:sz w:val="22"/>
                <w:szCs w:val="22"/>
              </w:rPr>
              <w:t>Вилучити</w:t>
            </w:r>
          </w:p>
          <w:p w14:paraId="08E5B31A" w14:textId="77777777" w:rsidR="00894ECB" w:rsidRPr="00D927E4" w:rsidRDefault="00894ECB" w:rsidP="00894ECB">
            <w:pPr>
              <w:spacing w:after="120"/>
              <w:jc w:val="both"/>
              <w:rPr>
                <w:i/>
                <w:sz w:val="22"/>
                <w:szCs w:val="22"/>
              </w:rPr>
            </w:pPr>
            <w:r w:rsidRPr="00D927E4">
              <w:rPr>
                <w:i/>
                <w:sz w:val="22"/>
                <w:szCs w:val="22"/>
              </w:rPr>
              <w:t>ОБГРУНТУВАННЯ:</w:t>
            </w:r>
          </w:p>
          <w:p w14:paraId="6F14A876" w14:textId="77777777" w:rsidR="00894ECB" w:rsidRPr="00D927E4" w:rsidRDefault="00894ECB" w:rsidP="00894ECB">
            <w:pPr>
              <w:spacing w:after="120"/>
              <w:jc w:val="both"/>
              <w:rPr>
                <w:sz w:val="22"/>
                <w:szCs w:val="22"/>
              </w:rPr>
            </w:pPr>
            <w:r w:rsidRPr="00D927E4">
              <w:rPr>
                <w:sz w:val="22"/>
                <w:szCs w:val="22"/>
              </w:rPr>
              <w:t>Вважаємо, що ознака досвіду ліцензіата не має використовуватися з метою визначення розміру штрафу, що відповідає підходу в  інших галузях життєдіяльності стосовно визначення штрафів за певні порушення.</w:t>
            </w:r>
          </w:p>
          <w:p w14:paraId="068FA3AB" w14:textId="77777777" w:rsidR="00894ECB" w:rsidRPr="00D927E4" w:rsidRDefault="00894ECB" w:rsidP="00894ECB">
            <w:pPr>
              <w:spacing w:after="120"/>
              <w:jc w:val="both"/>
              <w:rPr>
                <w:sz w:val="22"/>
                <w:szCs w:val="22"/>
              </w:rPr>
            </w:pPr>
          </w:p>
          <w:p w14:paraId="4F8680B5" w14:textId="77777777" w:rsidR="00894ECB" w:rsidRPr="00D927E4" w:rsidRDefault="00D927E4" w:rsidP="00894ECB">
            <w:pPr>
              <w:spacing w:after="120"/>
              <w:jc w:val="both"/>
              <w:rPr>
                <w:i/>
                <w:sz w:val="22"/>
                <w:szCs w:val="22"/>
              </w:rPr>
            </w:pPr>
            <w:r w:rsidRPr="00D927E4">
              <w:rPr>
                <w:i/>
                <w:sz w:val="22"/>
                <w:szCs w:val="22"/>
              </w:rPr>
              <w:t>ПРАТ «УКРГІДРОЕНЕРГО»</w:t>
            </w:r>
          </w:p>
          <w:p w14:paraId="76047252" w14:textId="77777777" w:rsidR="00894ECB" w:rsidRPr="00D927E4" w:rsidRDefault="00894ECB" w:rsidP="00894ECB">
            <w:pPr>
              <w:spacing w:after="160" w:line="259" w:lineRule="auto"/>
              <w:ind w:firstLine="306"/>
              <w:jc w:val="both"/>
              <w:rPr>
                <w:rFonts w:eastAsia="Calibri"/>
                <w:sz w:val="22"/>
                <w:szCs w:val="22"/>
                <w:lang w:eastAsia="en-US"/>
              </w:rPr>
            </w:pPr>
            <w:r w:rsidRPr="00D927E4">
              <w:rPr>
                <w:rFonts w:eastAsia="Calibri"/>
                <w:sz w:val="22"/>
                <w:szCs w:val="22"/>
                <w:lang w:eastAsia="en-US"/>
              </w:rPr>
              <w:t>2.2. Визначення початкового розміру штрафу</w:t>
            </w:r>
          </w:p>
          <w:p w14:paraId="23A2BA70" w14:textId="77777777" w:rsidR="00894ECB" w:rsidRPr="00D927E4" w:rsidRDefault="00894ECB" w:rsidP="00894ECB">
            <w:pPr>
              <w:spacing w:after="160" w:line="259" w:lineRule="auto"/>
              <w:ind w:firstLine="306"/>
              <w:jc w:val="both"/>
              <w:rPr>
                <w:rFonts w:eastAsia="Calibri"/>
                <w:sz w:val="22"/>
                <w:szCs w:val="22"/>
                <w:lang w:val="ru-RU" w:eastAsia="en-US"/>
              </w:rPr>
            </w:pPr>
            <w:r w:rsidRPr="00D927E4">
              <w:rPr>
                <w:rFonts w:eastAsia="Calibri"/>
                <w:sz w:val="22"/>
                <w:szCs w:val="22"/>
                <w:lang w:val="ru-RU" w:eastAsia="en-US"/>
              </w:rPr>
              <w:t>&lt;…&gt;</w:t>
            </w:r>
          </w:p>
          <w:p w14:paraId="34D71DE6" w14:textId="77777777" w:rsidR="00894ECB" w:rsidRPr="00D927E4" w:rsidRDefault="00894ECB" w:rsidP="00894ECB">
            <w:pPr>
              <w:spacing w:after="160" w:line="259" w:lineRule="auto"/>
              <w:ind w:firstLine="306"/>
              <w:jc w:val="both"/>
              <w:rPr>
                <w:rFonts w:eastAsia="Calibri"/>
                <w:sz w:val="22"/>
                <w:szCs w:val="22"/>
                <w:lang w:eastAsia="en-US"/>
              </w:rPr>
            </w:pPr>
            <w:r w:rsidRPr="00D927E4">
              <w:rPr>
                <w:rFonts w:eastAsia="Calibri"/>
                <w:sz w:val="22"/>
                <w:szCs w:val="22"/>
                <w:lang w:eastAsia="en-US"/>
              </w:rPr>
              <w:t>2.2.9. За критерієм «досвід ліцензіатів НКРЕКП» визначаються:</w:t>
            </w:r>
          </w:p>
          <w:p w14:paraId="3BA2D7C6" w14:textId="77777777" w:rsidR="00894ECB" w:rsidRPr="00D927E4" w:rsidRDefault="00894ECB" w:rsidP="00894ECB">
            <w:pPr>
              <w:spacing w:after="160" w:line="259" w:lineRule="auto"/>
              <w:ind w:firstLine="306"/>
              <w:jc w:val="both"/>
              <w:rPr>
                <w:rFonts w:eastAsia="Calibri"/>
                <w:strike/>
                <w:sz w:val="22"/>
                <w:szCs w:val="22"/>
                <w:lang w:eastAsia="en-US"/>
              </w:rPr>
            </w:pPr>
            <w:r w:rsidRPr="00D927E4">
              <w:rPr>
                <w:rFonts w:eastAsia="Calibri"/>
                <w:strike/>
                <w:sz w:val="22"/>
                <w:szCs w:val="22"/>
                <w:lang w:eastAsia="en-US"/>
              </w:rPr>
              <w:t>ліцензіат 1-ого рівня (який провадить господарську діяльність до 1 року) (1 бал);</w:t>
            </w:r>
          </w:p>
          <w:p w14:paraId="713C8AE3" w14:textId="77777777" w:rsidR="00894ECB" w:rsidRPr="00D927E4" w:rsidRDefault="00894ECB" w:rsidP="00894ECB">
            <w:pPr>
              <w:spacing w:after="160" w:line="259" w:lineRule="auto"/>
              <w:ind w:firstLine="306"/>
              <w:jc w:val="both"/>
              <w:rPr>
                <w:rFonts w:eastAsia="Calibri"/>
                <w:b/>
                <w:sz w:val="22"/>
                <w:szCs w:val="22"/>
                <w:lang w:eastAsia="en-US"/>
              </w:rPr>
            </w:pPr>
            <w:r w:rsidRPr="00D927E4">
              <w:rPr>
                <w:rFonts w:eastAsia="Calibri"/>
                <w:sz w:val="22"/>
                <w:szCs w:val="22"/>
                <w:lang w:eastAsia="en-US"/>
              </w:rPr>
              <w:t>ліцензіат</w:t>
            </w:r>
            <w:r w:rsidRPr="00D927E4">
              <w:rPr>
                <w:rFonts w:eastAsia="Calibri"/>
                <w:b/>
                <w:sz w:val="22"/>
                <w:szCs w:val="22"/>
                <w:lang w:eastAsia="en-US"/>
              </w:rPr>
              <w:t xml:space="preserve"> 1-</w:t>
            </w:r>
            <w:r w:rsidRPr="00D927E4">
              <w:rPr>
                <w:rFonts w:eastAsia="Calibri"/>
                <w:sz w:val="22"/>
                <w:szCs w:val="22"/>
                <w:lang w:eastAsia="en-US"/>
              </w:rPr>
              <w:t>ого рівня (який провадить господарську діяльність від 1 до 3 років)</w:t>
            </w:r>
            <w:r w:rsidRPr="00D927E4">
              <w:rPr>
                <w:rFonts w:eastAsia="Calibri"/>
                <w:b/>
                <w:sz w:val="22"/>
                <w:szCs w:val="22"/>
                <w:lang w:eastAsia="en-US"/>
              </w:rPr>
              <w:t xml:space="preserve"> (1 </w:t>
            </w:r>
            <w:r w:rsidRPr="00D927E4">
              <w:rPr>
                <w:rFonts w:eastAsia="Calibri"/>
                <w:sz w:val="22"/>
                <w:szCs w:val="22"/>
                <w:lang w:eastAsia="en-US"/>
              </w:rPr>
              <w:t>бал</w:t>
            </w:r>
            <w:r w:rsidRPr="00D927E4">
              <w:rPr>
                <w:rFonts w:eastAsia="Calibri"/>
                <w:strike/>
                <w:sz w:val="22"/>
                <w:szCs w:val="22"/>
                <w:lang w:eastAsia="en-US"/>
              </w:rPr>
              <w:t>и</w:t>
            </w:r>
            <w:r w:rsidRPr="00D927E4">
              <w:rPr>
                <w:rFonts w:eastAsia="Calibri"/>
                <w:sz w:val="22"/>
                <w:szCs w:val="22"/>
                <w:lang w:eastAsia="en-US"/>
              </w:rPr>
              <w:t>);</w:t>
            </w:r>
          </w:p>
          <w:p w14:paraId="3AA91D01" w14:textId="77777777" w:rsidR="00894ECB" w:rsidRPr="00D927E4" w:rsidRDefault="00894ECB" w:rsidP="00894ECB">
            <w:pPr>
              <w:spacing w:after="160" w:line="259" w:lineRule="auto"/>
              <w:ind w:firstLine="306"/>
              <w:jc w:val="both"/>
              <w:rPr>
                <w:rFonts w:eastAsia="Calibri"/>
                <w:b/>
                <w:sz w:val="22"/>
                <w:szCs w:val="22"/>
                <w:lang w:eastAsia="en-US"/>
              </w:rPr>
            </w:pPr>
            <w:r w:rsidRPr="00D927E4">
              <w:rPr>
                <w:rFonts w:eastAsia="Calibri"/>
                <w:sz w:val="22"/>
                <w:szCs w:val="22"/>
                <w:lang w:eastAsia="en-US"/>
              </w:rPr>
              <w:t>ліцензіат</w:t>
            </w:r>
            <w:r w:rsidRPr="00D927E4">
              <w:rPr>
                <w:rFonts w:eastAsia="Calibri"/>
                <w:b/>
                <w:sz w:val="22"/>
                <w:szCs w:val="22"/>
                <w:lang w:eastAsia="en-US"/>
              </w:rPr>
              <w:t xml:space="preserve"> 2-</w:t>
            </w:r>
            <w:r w:rsidRPr="00D927E4">
              <w:rPr>
                <w:rFonts w:eastAsia="Calibri"/>
                <w:sz w:val="22"/>
                <w:szCs w:val="22"/>
                <w:lang w:eastAsia="en-US"/>
              </w:rPr>
              <w:t>ого рівня (який провадить господарську діяльність від 3 до 5 років) (</w:t>
            </w:r>
            <w:r w:rsidRPr="00D927E4">
              <w:rPr>
                <w:rFonts w:eastAsia="Calibri"/>
                <w:b/>
                <w:sz w:val="22"/>
                <w:szCs w:val="22"/>
                <w:lang w:eastAsia="en-US"/>
              </w:rPr>
              <w:t xml:space="preserve">2 </w:t>
            </w:r>
            <w:r w:rsidRPr="00D927E4">
              <w:rPr>
                <w:rFonts w:eastAsia="Calibri"/>
                <w:sz w:val="22"/>
                <w:szCs w:val="22"/>
                <w:lang w:eastAsia="en-US"/>
              </w:rPr>
              <w:t>бали);</w:t>
            </w:r>
          </w:p>
          <w:p w14:paraId="04CA70A1" w14:textId="77777777" w:rsidR="00894ECB" w:rsidRPr="00D927E4" w:rsidRDefault="00894ECB" w:rsidP="00894ECB">
            <w:pPr>
              <w:spacing w:after="160" w:line="259" w:lineRule="auto"/>
              <w:ind w:firstLine="306"/>
              <w:jc w:val="both"/>
              <w:rPr>
                <w:rFonts w:eastAsia="Calibri"/>
                <w:b/>
                <w:sz w:val="22"/>
                <w:szCs w:val="22"/>
                <w:lang w:eastAsia="en-US"/>
              </w:rPr>
            </w:pPr>
            <w:r w:rsidRPr="00D927E4">
              <w:rPr>
                <w:rFonts w:eastAsia="Calibri"/>
                <w:sz w:val="22"/>
                <w:szCs w:val="22"/>
                <w:lang w:eastAsia="en-US"/>
              </w:rPr>
              <w:lastRenderedPageBreak/>
              <w:t>ліцензіат</w:t>
            </w:r>
            <w:r w:rsidRPr="00D927E4">
              <w:rPr>
                <w:rFonts w:eastAsia="Calibri"/>
                <w:b/>
                <w:sz w:val="22"/>
                <w:szCs w:val="22"/>
                <w:lang w:eastAsia="en-US"/>
              </w:rPr>
              <w:t xml:space="preserve"> 3-</w:t>
            </w:r>
            <w:r w:rsidRPr="00D927E4">
              <w:rPr>
                <w:rFonts w:eastAsia="Calibri"/>
                <w:sz w:val="22"/>
                <w:szCs w:val="22"/>
                <w:lang w:eastAsia="en-US"/>
              </w:rPr>
              <w:t>ого рівня (який провадить господарську діяльність більше 5 років)</w:t>
            </w:r>
            <w:r w:rsidRPr="00D927E4">
              <w:rPr>
                <w:rFonts w:eastAsia="Calibri"/>
                <w:b/>
                <w:sz w:val="22"/>
                <w:szCs w:val="22"/>
                <w:lang w:eastAsia="en-US"/>
              </w:rPr>
              <w:t xml:space="preserve"> </w:t>
            </w:r>
            <w:r w:rsidRPr="00D927E4">
              <w:rPr>
                <w:rFonts w:eastAsia="Calibri"/>
                <w:sz w:val="22"/>
                <w:szCs w:val="22"/>
                <w:lang w:eastAsia="en-US"/>
              </w:rPr>
              <w:t>(</w:t>
            </w:r>
            <w:r w:rsidRPr="00D927E4">
              <w:rPr>
                <w:rFonts w:eastAsia="Calibri"/>
                <w:b/>
                <w:sz w:val="22"/>
                <w:szCs w:val="22"/>
                <w:lang w:eastAsia="en-US"/>
              </w:rPr>
              <w:t xml:space="preserve">3 </w:t>
            </w:r>
            <w:r w:rsidRPr="00D927E4">
              <w:rPr>
                <w:rFonts w:eastAsia="Calibri"/>
                <w:sz w:val="22"/>
                <w:szCs w:val="22"/>
                <w:lang w:eastAsia="en-US"/>
              </w:rPr>
              <w:t>бали).</w:t>
            </w:r>
          </w:p>
          <w:p w14:paraId="654F8BFB" w14:textId="77777777" w:rsidR="00894ECB" w:rsidRPr="00D927E4" w:rsidRDefault="00894ECB" w:rsidP="00894ECB">
            <w:pPr>
              <w:spacing w:after="120"/>
              <w:jc w:val="both"/>
              <w:rPr>
                <w:sz w:val="22"/>
                <w:szCs w:val="22"/>
              </w:rPr>
            </w:pPr>
            <w:r w:rsidRPr="004B5D74">
              <w:rPr>
                <w:rFonts w:eastAsia="Calibri"/>
                <w:sz w:val="22"/>
                <w:szCs w:val="22"/>
                <w:lang w:eastAsia="en-US"/>
              </w:rPr>
              <w:t>&lt;…&gt;</w:t>
            </w:r>
          </w:p>
          <w:p w14:paraId="37B9FE91" w14:textId="77777777" w:rsidR="00894ECB" w:rsidRPr="00D927E4" w:rsidRDefault="00894ECB" w:rsidP="00894ECB">
            <w:pPr>
              <w:spacing w:after="120"/>
              <w:jc w:val="both"/>
              <w:rPr>
                <w:sz w:val="22"/>
                <w:szCs w:val="22"/>
              </w:rPr>
            </w:pPr>
          </w:p>
          <w:p w14:paraId="7567C71B" w14:textId="77777777" w:rsidR="00894ECB" w:rsidRPr="00D927E4" w:rsidRDefault="00894ECB" w:rsidP="00894ECB">
            <w:pPr>
              <w:spacing w:after="120"/>
              <w:jc w:val="both"/>
              <w:rPr>
                <w:i/>
                <w:sz w:val="22"/>
                <w:szCs w:val="22"/>
              </w:rPr>
            </w:pPr>
            <w:r w:rsidRPr="00D927E4">
              <w:rPr>
                <w:i/>
                <w:sz w:val="22"/>
                <w:szCs w:val="22"/>
              </w:rPr>
              <w:t>ОБГРУНТУВАННЯ:</w:t>
            </w:r>
          </w:p>
          <w:p w14:paraId="294E4D1F" w14:textId="77777777" w:rsidR="00894ECB" w:rsidRPr="00D927E4" w:rsidRDefault="00894ECB" w:rsidP="00894ECB">
            <w:pPr>
              <w:spacing w:after="120"/>
              <w:jc w:val="both"/>
              <w:rPr>
                <w:rFonts w:eastAsia="Calibri"/>
                <w:sz w:val="22"/>
                <w:szCs w:val="22"/>
                <w:lang w:eastAsia="en-US"/>
              </w:rPr>
            </w:pPr>
            <w:r w:rsidRPr="00D927E4">
              <w:rPr>
                <w:rFonts w:eastAsia="Calibri"/>
                <w:sz w:val="22"/>
                <w:szCs w:val="22"/>
                <w:lang w:eastAsia="en-US"/>
              </w:rPr>
              <w:t xml:space="preserve">За запропонованим критерієм пропонується встановити 3 рівня ліцензіатів із відповідною кількістю балів, оскільки на наш погляд ліцензіат </w:t>
            </w:r>
            <w:r w:rsidRPr="00D927E4">
              <w:rPr>
                <w:rFonts w:eastAsia="Calibri"/>
                <w:b/>
                <w:sz w:val="22"/>
                <w:szCs w:val="22"/>
                <w:lang w:eastAsia="en-US"/>
              </w:rPr>
              <w:t xml:space="preserve">до 1 року </w:t>
            </w:r>
            <w:r w:rsidRPr="00D927E4">
              <w:rPr>
                <w:rFonts w:eastAsia="Calibri"/>
                <w:sz w:val="22"/>
                <w:szCs w:val="22"/>
                <w:lang w:eastAsia="en-US"/>
              </w:rPr>
              <w:t xml:space="preserve">та ліцензіати </w:t>
            </w:r>
            <w:r w:rsidRPr="00D927E4">
              <w:rPr>
                <w:rFonts w:eastAsia="Calibri"/>
                <w:b/>
                <w:sz w:val="22"/>
                <w:szCs w:val="22"/>
                <w:lang w:eastAsia="en-US"/>
              </w:rPr>
              <w:t>до 3 років</w:t>
            </w:r>
            <w:r w:rsidRPr="00D927E4">
              <w:rPr>
                <w:rFonts w:eastAsia="Calibri"/>
                <w:sz w:val="22"/>
                <w:szCs w:val="22"/>
                <w:lang w:eastAsia="en-US"/>
              </w:rPr>
              <w:t xml:space="preserve"> мають однаковий досвід з огляду на те, що перевірка здійснюється за </w:t>
            </w:r>
            <w:r w:rsidRPr="00D927E4">
              <w:rPr>
                <w:rFonts w:eastAsia="Calibri"/>
                <w:b/>
                <w:sz w:val="22"/>
                <w:szCs w:val="22"/>
                <w:lang w:eastAsia="en-US"/>
              </w:rPr>
              <w:t>звітний рік</w:t>
            </w:r>
            <w:r w:rsidRPr="00D927E4">
              <w:rPr>
                <w:rFonts w:eastAsia="Calibri"/>
                <w:sz w:val="22"/>
                <w:szCs w:val="22"/>
                <w:lang w:eastAsia="en-US"/>
              </w:rPr>
              <w:t>, що вже само по собі є більше ніж 1.</w:t>
            </w:r>
          </w:p>
          <w:p w14:paraId="3BF170E8" w14:textId="77777777" w:rsidR="00894ECB" w:rsidRPr="00D927E4" w:rsidRDefault="00894ECB" w:rsidP="00894ECB">
            <w:pPr>
              <w:spacing w:after="120"/>
              <w:jc w:val="both"/>
              <w:rPr>
                <w:sz w:val="22"/>
                <w:szCs w:val="22"/>
              </w:rPr>
            </w:pPr>
          </w:p>
          <w:p w14:paraId="38855B89" w14:textId="77777777" w:rsidR="00894ECB" w:rsidRPr="00D927E4" w:rsidRDefault="00894ECB" w:rsidP="00894ECB">
            <w:pPr>
              <w:spacing w:after="120"/>
              <w:jc w:val="both"/>
              <w:rPr>
                <w:i/>
                <w:sz w:val="22"/>
                <w:szCs w:val="22"/>
              </w:rPr>
            </w:pPr>
            <w:r w:rsidRPr="00D927E4">
              <w:rPr>
                <w:i/>
                <w:sz w:val="22"/>
                <w:szCs w:val="22"/>
              </w:rPr>
              <w:t>ТОВ «РОЕК»</w:t>
            </w:r>
          </w:p>
          <w:p w14:paraId="6F1555C8" w14:textId="77777777" w:rsidR="00894ECB" w:rsidRPr="00D927E4" w:rsidRDefault="00894ECB" w:rsidP="00894ECB">
            <w:pPr>
              <w:spacing w:after="120"/>
              <w:jc w:val="both"/>
              <w:rPr>
                <w:b/>
                <w:sz w:val="22"/>
                <w:szCs w:val="22"/>
              </w:rPr>
            </w:pPr>
            <w:r w:rsidRPr="00D927E4">
              <w:rPr>
                <w:b/>
                <w:sz w:val="22"/>
                <w:szCs w:val="22"/>
              </w:rPr>
              <w:t>Вилучити</w:t>
            </w:r>
          </w:p>
          <w:p w14:paraId="2088D0A5" w14:textId="77777777" w:rsidR="00894ECB" w:rsidRPr="00D927E4" w:rsidRDefault="00894ECB" w:rsidP="00894ECB">
            <w:pPr>
              <w:spacing w:after="120"/>
              <w:jc w:val="both"/>
              <w:rPr>
                <w:i/>
                <w:sz w:val="22"/>
                <w:szCs w:val="22"/>
              </w:rPr>
            </w:pPr>
          </w:p>
          <w:p w14:paraId="3BB90E80" w14:textId="77777777" w:rsidR="00894ECB" w:rsidRPr="00D927E4" w:rsidRDefault="00894ECB" w:rsidP="00894ECB">
            <w:pPr>
              <w:spacing w:after="120"/>
              <w:jc w:val="both"/>
              <w:rPr>
                <w:i/>
                <w:sz w:val="22"/>
                <w:szCs w:val="22"/>
              </w:rPr>
            </w:pPr>
            <w:r w:rsidRPr="00D927E4">
              <w:rPr>
                <w:i/>
                <w:sz w:val="22"/>
                <w:szCs w:val="22"/>
              </w:rPr>
              <w:t>ОБГРУНТУВАННЯ:</w:t>
            </w:r>
          </w:p>
          <w:p w14:paraId="456E260E" w14:textId="77777777" w:rsidR="003E0173" w:rsidRPr="00D927E4" w:rsidRDefault="003E0173" w:rsidP="003E0173">
            <w:pPr>
              <w:pStyle w:val="afc"/>
              <w:tabs>
                <w:tab w:val="left" w:pos="0"/>
                <w:tab w:val="left" w:pos="567"/>
                <w:tab w:val="left" w:pos="709"/>
                <w:tab w:val="left" w:pos="5670"/>
                <w:tab w:val="left" w:pos="6946"/>
              </w:tabs>
              <w:jc w:val="both"/>
              <w:rPr>
                <w:rFonts w:ascii="Times New Roman" w:eastAsia="Times New Roman" w:hAnsi="Times New Roman" w:cs="Times New Roman"/>
              </w:rPr>
            </w:pPr>
            <w:r w:rsidRPr="00D927E4">
              <w:rPr>
                <w:rFonts w:ascii="Times New Roman" w:eastAsia="Times New Roman" w:hAnsi="Times New Roman" w:cs="Times New Roman"/>
              </w:rPr>
              <w:t xml:space="preserve">Дана норма має дискримінаційний та упереджений характер. Адже конкурентне середовище не може містити умов нерівності ліцензіатів за критерієм «досвід ліцензіатів НКРЕКП», оскільки всі ліцензіати повинні перебувати в рівних умовах незалежно від наявного досвіду. </w:t>
            </w:r>
          </w:p>
          <w:p w14:paraId="2DB6D3F5" w14:textId="77777777" w:rsidR="003E0173" w:rsidRPr="00D927E4" w:rsidRDefault="003E0173" w:rsidP="003E0173">
            <w:pPr>
              <w:pStyle w:val="afc"/>
              <w:tabs>
                <w:tab w:val="left" w:pos="0"/>
                <w:tab w:val="left" w:pos="567"/>
                <w:tab w:val="left" w:pos="709"/>
                <w:tab w:val="left" w:pos="5670"/>
                <w:tab w:val="left" w:pos="6946"/>
              </w:tabs>
              <w:jc w:val="both"/>
              <w:rPr>
                <w:rFonts w:ascii="Times New Roman" w:eastAsia="Times New Roman" w:hAnsi="Times New Roman" w:cs="Times New Roman"/>
                <w:u w:val="single"/>
              </w:rPr>
            </w:pPr>
            <w:r w:rsidRPr="00D927E4">
              <w:rPr>
                <w:rFonts w:ascii="Times New Roman" w:eastAsia="Times New Roman" w:hAnsi="Times New Roman" w:cs="Times New Roman"/>
              </w:rPr>
              <w:t xml:space="preserve">Введення класифікації ліцензіатів за критерієм «досвід ліцензіатів НКРЕКП» при визначенні розміру штрафів є  недоцільним, оскільки </w:t>
            </w:r>
            <w:r w:rsidRPr="00D927E4">
              <w:rPr>
                <w:rFonts w:ascii="Times New Roman" w:eastAsia="Times New Roman" w:hAnsi="Times New Roman" w:cs="Times New Roman"/>
                <w:u w:val="single"/>
              </w:rPr>
              <w:t>всі учасники енергетичного ринку</w:t>
            </w:r>
            <w:r w:rsidRPr="00D927E4">
              <w:rPr>
                <w:rFonts w:ascii="Times New Roman" w:eastAsia="Times New Roman" w:hAnsi="Times New Roman" w:cs="Times New Roman"/>
              </w:rPr>
              <w:t xml:space="preserve"> </w:t>
            </w:r>
            <w:r w:rsidRPr="00D927E4">
              <w:rPr>
                <w:rFonts w:ascii="Times New Roman" w:eastAsia="Times New Roman" w:hAnsi="Times New Roman" w:cs="Times New Roman"/>
                <w:u w:val="single"/>
              </w:rPr>
              <w:t>повинні дотримуватись</w:t>
            </w:r>
            <w:r w:rsidRPr="00D927E4">
              <w:rPr>
                <w:rFonts w:ascii="Times New Roman" w:eastAsia="Times New Roman" w:hAnsi="Times New Roman" w:cs="Times New Roman"/>
              </w:rPr>
              <w:t xml:space="preserve"> </w:t>
            </w:r>
            <w:r w:rsidRPr="00D927E4">
              <w:rPr>
                <w:rFonts w:ascii="Times New Roman" w:eastAsia="Times New Roman" w:hAnsi="Times New Roman" w:cs="Times New Roman"/>
                <w:u w:val="single"/>
              </w:rPr>
              <w:t>ліцензійних умов</w:t>
            </w:r>
            <w:r w:rsidRPr="00D927E4">
              <w:rPr>
                <w:rFonts w:ascii="Times New Roman" w:eastAsia="Times New Roman" w:hAnsi="Times New Roman" w:cs="Times New Roman"/>
              </w:rPr>
              <w:t xml:space="preserve"> </w:t>
            </w:r>
            <w:r w:rsidRPr="00D927E4">
              <w:rPr>
                <w:rFonts w:ascii="Times New Roman" w:eastAsia="Times New Roman" w:hAnsi="Times New Roman" w:cs="Times New Roman"/>
                <w:u w:val="single"/>
              </w:rPr>
              <w:t xml:space="preserve">провадження діяльності у сферах енергетики та комунальних послуг. </w:t>
            </w:r>
          </w:p>
          <w:p w14:paraId="59EE34EB" w14:textId="77777777" w:rsidR="003E0173" w:rsidRPr="00D927E4" w:rsidRDefault="003E0173" w:rsidP="003E0173">
            <w:pPr>
              <w:pStyle w:val="afc"/>
              <w:tabs>
                <w:tab w:val="left" w:pos="0"/>
                <w:tab w:val="left" w:pos="567"/>
                <w:tab w:val="left" w:pos="709"/>
                <w:tab w:val="left" w:pos="5670"/>
                <w:tab w:val="left" w:pos="6946"/>
              </w:tabs>
              <w:jc w:val="both"/>
              <w:rPr>
                <w:rFonts w:ascii="Times New Roman" w:eastAsia="Times New Roman" w:hAnsi="Times New Roman" w:cs="Times New Roman"/>
              </w:rPr>
            </w:pPr>
            <w:r w:rsidRPr="00D927E4">
              <w:rPr>
                <w:rFonts w:ascii="Times New Roman" w:eastAsia="Times New Roman" w:hAnsi="Times New Roman" w:cs="Times New Roman"/>
              </w:rPr>
              <w:t>Досвід роботи на ринку не повинен стати причиною збільшення розміру штрафу для ліцензіата, ставити більш досвідчених учасників ринку у нерівні умови, щодо відповідальності за порушення, по відношенню до початківців на ринку електричної енергії.</w:t>
            </w:r>
          </w:p>
          <w:p w14:paraId="22711030" w14:textId="77777777" w:rsidR="003E0173" w:rsidRPr="00D927E4" w:rsidRDefault="003E0173" w:rsidP="003E0173">
            <w:pPr>
              <w:pStyle w:val="afc"/>
              <w:tabs>
                <w:tab w:val="left" w:pos="0"/>
                <w:tab w:val="left" w:pos="567"/>
                <w:tab w:val="left" w:pos="709"/>
                <w:tab w:val="left" w:pos="5670"/>
                <w:tab w:val="left" w:pos="6946"/>
              </w:tabs>
              <w:jc w:val="both"/>
              <w:rPr>
                <w:rFonts w:ascii="Times New Roman" w:eastAsia="Times New Roman" w:hAnsi="Times New Roman" w:cs="Times New Roman"/>
              </w:rPr>
            </w:pPr>
            <w:r w:rsidRPr="00D927E4">
              <w:rPr>
                <w:rFonts w:ascii="Times New Roman" w:eastAsia="Times New Roman" w:hAnsi="Times New Roman" w:cs="Times New Roman"/>
              </w:rPr>
              <w:t xml:space="preserve">Дана норма порушує основні принципи діяльності Регулятора, визначені пунктами 5, 8 та 10 статті 4 Закону України « Про Національну комісію, що здійснює державне </w:t>
            </w:r>
            <w:r w:rsidRPr="00D927E4">
              <w:rPr>
                <w:rFonts w:ascii="Times New Roman" w:eastAsia="Times New Roman" w:hAnsi="Times New Roman" w:cs="Times New Roman"/>
              </w:rPr>
              <w:lastRenderedPageBreak/>
              <w:t xml:space="preserve">регулювання у сферах енергетики та комунальних послуг», а саме: справедливість, неупередженість та об’єктивність під час прийняття рішень та недопущення дискримінації. Водночас така норма призведе до спонукання початківців на ринку електричної енергії до вчинення порушень ліцензійних умов, через зменшення рівня відповідальності. </w:t>
            </w:r>
          </w:p>
          <w:p w14:paraId="6686BBBB" w14:textId="77777777" w:rsidR="00894ECB" w:rsidRPr="00D927E4" w:rsidRDefault="00894ECB" w:rsidP="00894ECB">
            <w:pPr>
              <w:spacing w:after="120"/>
              <w:jc w:val="both"/>
              <w:rPr>
                <w:sz w:val="22"/>
                <w:szCs w:val="22"/>
              </w:rPr>
            </w:pPr>
            <w:r w:rsidRPr="00D927E4">
              <w:rPr>
                <w:sz w:val="22"/>
                <w:szCs w:val="22"/>
              </w:rPr>
              <w:t>.</w:t>
            </w:r>
          </w:p>
          <w:p w14:paraId="59DCDAE9" w14:textId="77777777" w:rsidR="00894ECB" w:rsidRPr="00D927E4" w:rsidRDefault="00894ECB" w:rsidP="00894ECB">
            <w:pPr>
              <w:spacing w:after="120"/>
              <w:jc w:val="both"/>
              <w:rPr>
                <w:sz w:val="22"/>
                <w:szCs w:val="22"/>
              </w:rPr>
            </w:pPr>
          </w:p>
          <w:p w14:paraId="08C6FEA8" w14:textId="77777777" w:rsidR="00894ECB" w:rsidRPr="00D927E4" w:rsidRDefault="00894ECB" w:rsidP="00894ECB">
            <w:pPr>
              <w:spacing w:after="120"/>
              <w:jc w:val="both"/>
              <w:rPr>
                <w:i/>
                <w:sz w:val="22"/>
                <w:szCs w:val="22"/>
              </w:rPr>
            </w:pPr>
            <w:r w:rsidRPr="00D927E4">
              <w:rPr>
                <w:i/>
                <w:sz w:val="22"/>
                <w:szCs w:val="22"/>
              </w:rPr>
              <w:t>АТ «НАЕК «ЕНЕРГОАТОМ»</w:t>
            </w:r>
          </w:p>
          <w:p w14:paraId="5524169F" w14:textId="77777777" w:rsidR="00894ECB" w:rsidRPr="00D927E4" w:rsidRDefault="00894ECB" w:rsidP="00894ECB">
            <w:pPr>
              <w:tabs>
                <w:tab w:val="left" w:pos="342"/>
              </w:tabs>
              <w:spacing w:after="60"/>
              <w:ind w:firstLine="342"/>
              <w:jc w:val="both"/>
              <w:rPr>
                <w:rFonts w:eastAsia="Calibri"/>
                <w:b/>
                <w:bCs/>
                <w:strike/>
                <w:sz w:val="22"/>
                <w:szCs w:val="22"/>
                <w:lang w:eastAsia="en-US"/>
              </w:rPr>
            </w:pPr>
            <w:r w:rsidRPr="00D927E4">
              <w:rPr>
                <w:rFonts w:eastAsia="Calibri"/>
                <w:b/>
                <w:bCs/>
                <w:strike/>
                <w:sz w:val="22"/>
                <w:szCs w:val="22"/>
                <w:lang w:eastAsia="en-US"/>
              </w:rPr>
              <w:t>2.2.9. За критерієм «досвід ліцензіатів НКРЕКП» визначаються:</w:t>
            </w:r>
          </w:p>
          <w:p w14:paraId="6484B650" w14:textId="77777777" w:rsidR="00894ECB" w:rsidRPr="00D927E4" w:rsidRDefault="00894ECB" w:rsidP="00894ECB">
            <w:pPr>
              <w:tabs>
                <w:tab w:val="left" w:pos="342"/>
              </w:tabs>
              <w:spacing w:after="60"/>
              <w:ind w:firstLine="342"/>
              <w:jc w:val="both"/>
              <w:rPr>
                <w:rFonts w:eastAsia="Calibri"/>
                <w:b/>
                <w:bCs/>
                <w:strike/>
                <w:sz w:val="22"/>
                <w:szCs w:val="22"/>
                <w:lang w:eastAsia="en-US"/>
              </w:rPr>
            </w:pPr>
            <w:r w:rsidRPr="00D927E4">
              <w:rPr>
                <w:rFonts w:eastAsia="Calibri"/>
                <w:b/>
                <w:bCs/>
                <w:strike/>
                <w:sz w:val="22"/>
                <w:szCs w:val="22"/>
                <w:lang w:eastAsia="en-US"/>
              </w:rPr>
              <w:t>ліцензіат 1-ого рівня (який провадить господарську діяльність до 1 року) (1 бал);</w:t>
            </w:r>
          </w:p>
          <w:p w14:paraId="5253121F" w14:textId="77777777" w:rsidR="00894ECB" w:rsidRPr="00D927E4" w:rsidRDefault="00894ECB" w:rsidP="00894ECB">
            <w:pPr>
              <w:tabs>
                <w:tab w:val="left" w:pos="342"/>
              </w:tabs>
              <w:spacing w:after="60"/>
              <w:ind w:firstLine="342"/>
              <w:jc w:val="both"/>
              <w:rPr>
                <w:rFonts w:eastAsia="Calibri"/>
                <w:b/>
                <w:bCs/>
                <w:strike/>
                <w:sz w:val="22"/>
                <w:szCs w:val="22"/>
                <w:lang w:eastAsia="en-US"/>
              </w:rPr>
            </w:pPr>
            <w:r w:rsidRPr="00D927E4">
              <w:rPr>
                <w:rFonts w:eastAsia="Calibri"/>
                <w:b/>
                <w:bCs/>
                <w:strike/>
                <w:sz w:val="22"/>
                <w:szCs w:val="22"/>
                <w:lang w:eastAsia="en-US"/>
              </w:rPr>
              <w:t>ліцензіат 2-ого рівня (який провадить господарську діяльність від 1 до 3 років) (2 бали);</w:t>
            </w:r>
          </w:p>
          <w:p w14:paraId="57EB2127" w14:textId="77777777" w:rsidR="00894ECB" w:rsidRPr="00D927E4" w:rsidRDefault="00894ECB" w:rsidP="00894ECB">
            <w:pPr>
              <w:tabs>
                <w:tab w:val="left" w:pos="342"/>
              </w:tabs>
              <w:spacing w:after="60"/>
              <w:ind w:firstLine="342"/>
              <w:jc w:val="both"/>
              <w:rPr>
                <w:rFonts w:eastAsia="Calibri"/>
                <w:b/>
                <w:bCs/>
                <w:strike/>
                <w:sz w:val="22"/>
                <w:szCs w:val="22"/>
                <w:lang w:eastAsia="en-US"/>
              </w:rPr>
            </w:pPr>
            <w:r w:rsidRPr="00D927E4">
              <w:rPr>
                <w:rFonts w:eastAsia="Calibri"/>
                <w:b/>
                <w:bCs/>
                <w:strike/>
                <w:sz w:val="22"/>
                <w:szCs w:val="22"/>
                <w:lang w:eastAsia="en-US"/>
              </w:rPr>
              <w:t>ліцензіат 3-ого рівня (який провадить господарську діяльність від 3 до 5 років) (3 бали);</w:t>
            </w:r>
          </w:p>
          <w:p w14:paraId="7263B29A" w14:textId="77777777" w:rsidR="00894ECB" w:rsidRPr="00D927E4" w:rsidRDefault="00894ECB" w:rsidP="00894ECB">
            <w:pPr>
              <w:spacing w:after="120"/>
              <w:jc w:val="both"/>
              <w:rPr>
                <w:rFonts w:eastAsia="Calibri"/>
                <w:b/>
                <w:bCs/>
                <w:strike/>
                <w:sz w:val="22"/>
                <w:szCs w:val="22"/>
                <w:lang w:eastAsia="en-US"/>
              </w:rPr>
            </w:pPr>
            <w:r w:rsidRPr="00D927E4">
              <w:rPr>
                <w:rFonts w:eastAsia="Calibri"/>
                <w:b/>
                <w:bCs/>
                <w:strike/>
                <w:sz w:val="22"/>
                <w:szCs w:val="22"/>
                <w:lang w:eastAsia="en-US"/>
              </w:rPr>
              <w:t>ліцензіат 4-ого рівня (який провадить господарську діяльність більше 5 років) (4 бали).</w:t>
            </w:r>
          </w:p>
          <w:p w14:paraId="75C7AB30" w14:textId="77777777" w:rsidR="00894ECB" w:rsidRPr="00D927E4" w:rsidRDefault="00894ECB" w:rsidP="00894ECB">
            <w:pPr>
              <w:spacing w:after="120"/>
              <w:jc w:val="both"/>
              <w:rPr>
                <w:sz w:val="22"/>
                <w:szCs w:val="22"/>
              </w:rPr>
            </w:pPr>
          </w:p>
          <w:p w14:paraId="07FF4A59" w14:textId="77777777" w:rsidR="00894ECB" w:rsidRPr="00D927E4" w:rsidRDefault="00894ECB" w:rsidP="00894ECB">
            <w:pPr>
              <w:spacing w:after="120"/>
              <w:jc w:val="both"/>
              <w:rPr>
                <w:i/>
                <w:sz w:val="22"/>
                <w:szCs w:val="22"/>
              </w:rPr>
            </w:pPr>
            <w:r w:rsidRPr="00D927E4">
              <w:rPr>
                <w:i/>
                <w:sz w:val="22"/>
                <w:szCs w:val="22"/>
              </w:rPr>
              <w:t>ОБГРУНТУВАННЯ:</w:t>
            </w:r>
          </w:p>
          <w:p w14:paraId="67D40030" w14:textId="77777777" w:rsidR="00894ECB" w:rsidRPr="00D927E4" w:rsidRDefault="00894ECB" w:rsidP="00894ECB">
            <w:pPr>
              <w:ind w:firstLine="322"/>
              <w:jc w:val="both"/>
              <w:rPr>
                <w:rFonts w:eastAsia="Calibri"/>
                <w:color w:val="000000"/>
                <w:sz w:val="22"/>
                <w:szCs w:val="22"/>
                <w:lang w:eastAsia="en-US"/>
              </w:rPr>
            </w:pPr>
            <w:r w:rsidRPr="00D927E4">
              <w:rPr>
                <w:rFonts w:eastAsia="Calibri"/>
                <w:sz w:val="22"/>
                <w:szCs w:val="22"/>
                <w:lang w:eastAsia="en-US"/>
              </w:rPr>
              <w:t>Пропонуємо залишити розділ 2.2 глави 2 Порядку у діючій редакції.</w:t>
            </w:r>
          </w:p>
          <w:p w14:paraId="4B1812B2" w14:textId="77777777" w:rsidR="00894ECB" w:rsidRPr="00D927E4" w:rsidRDefault="00894ECB" w:rsidP="00894ECB">
            <w:pPr>
              <w:ind w:firstLine="322"/>
              <w:jc w:val="both"/>
              <w:rPr>
                <w:rFonts w:eastAsia="Calibri"/>
                <w:color w:val="000000"/>
                <w:sz w:val="22"/>
                <w:szCs w:val="22"/>
                <w:shd w:val="clear" w:color="auto" w:fill="FFFFFF"/>
                <w:lang w:eastAsia="en-US"/>
              </w:rPr>
            </w:pPr>
            <w:r w:rsidRPr="00D927E4">
              <w:rPr>
                <w:rFonts w:eastAsia="Calibri"/>
                <w:color w:val="000000"/>
                <w:sz w:val="22"/>
                <w:szCs w:val="22"/>
                <w:lang w:eastAsia="en-US"/>
              </w:rPr>
              <w:t xml:space="preserve">Запропоновані зміни щодо введення критерія «досвід ліцензіатів НКРЕКП», порушують принципи прозорості та </w:t>
            </w:r>
            <w:r w:rsidRPr="00D927E4">
              <w:rPr>
                <w:rFonts w:eastAsia="Calibri"/>
                <w:color w:val="000000"/>
                <w:sz w:val="22"/>
                <w:szCs w:val="22"/>
                <w:shd w:val="clear" w:color="auto" w:fill="FFFFFF"/>
                <w:lang w:eastAsia="en-US"/>
              </w:rPr>
              <w:t>недискримінації, а саме прийняття суб’єктами владних повноважень рішень (заходів) без врахування положень частини 12 статті 2 ЗУ ПРЕЕ відповідно до якої рішення суб’єктами владних повноважень мають бути належним чином обґрунтовані та повідомлені суб’єктам, яких вони стосуються (</w:t>
            </w:r>
            <w:r w:rsidRPr="00D927E4">
              <w:rPr>
                <w:rFonts w:eastAsia="Calibri"/>
                <w:i/>
                <w:color w:val="000000"/>
                <w:sz w:val="22"/>
                <w:szCs w:val="22"/>
                <w:shd w:val="clear" w:color="auto" w:fill="FFFFFF"/>
                <w:lang w:eastAsia="en-US"/>
              </w:rPr>
              <w:t>принцип прозорості</w:t>
            </w:r>
            <w:r w:rsidRPr="00D927E4">
              <w:rPr>
                <w:rFonts w:eastAsia="Calibri"/>
                <w:color w:val="000000"/>
                <w:sz w:val="22"/>
                <w:szCs w:val="22"/>
                <w:shd w:val="clear" w:color="auto" w:fill="FFFFFF"/>
                <w:lang w:eastAsia="en-US"/>
              </w:rPr>
              <w:t>), а також не призводити до юридичного або фактичного обсягу прав та обов’язків особи, який є відмінним від обсягу прав та обов’язків інших осіб у подібних ситуаціях (</w:t>
            </w:r>
            <w:r w:rsidRPr="00D927E4">
              <w:rPr>
                <w:rFonts w:eastAsia="Calibri"/>
                <w:i/>
                <w:color w:val="000000"/>
                <w:sz w:val="22"/>
                <w:szCs w:val="22"/>
                <w:shd w:val="clear" w:color="auto" w:fill="FFFFFF"/>
                <w:lang w:eastAsia="en-US"/>
              </w:rPr>
              <w:t>принцип недискримінації</w:t>
            </w:r>
            <w:r w:rsidRPr="00D927E4">
              <w:rPr>
                <w:rFonts w:eastAsia="Calibri"/>
                <w:color w:val="000000"/>
                <w:sz w:val="22"/>
                <w:szCs w:val="22"/>
                <w:shd w:val="clear" w:color="auto" w:fill="FFFFFF"/>
                <w:lang w:eastAsia="en-US"/>
              </w:rPr>
              <w:t xml:space="preserve">). </w:t>
            </w:r>
          </w:p>
          <w:p w14:paraId="759207A9" w14:textId="77777777" w:rsidR="00894ECB" w:rsidRPr="00D927E4" w:rsidRDefault="00894ECB" w:rsidP="00894ECB">
            <w:pPr>
              <w:ind w:firstLine="322"/>
              <w:jc w:val="both"/>
              <w:rPr>
                <w:rFonts w:eastAsia="Calibri"/>
                <w:color w:val="000000"/>
                <w:sz w:val="22"/>
                <w:szCs w:val="22"/>
                <w:lang w:eastAsia="en-US"/>
              </w:rPr>
            </w:pPr>
            <w:r w:rsidRPr="00D927E4">
              <w:rPr>
                <w:rFonts w:eastAsia="Calibri"/>
                <w:color w:val="000000"/>
                <w:sz w:val="22"/>
                <w:szCs w:val="22"/>
                <w:lang w:eastAsia="en-US"/>
              </w:rPr>
              <w:lastRenderedPageBreak/>
              <w:t>Доповнення новими критерієм впливатиме на загальну суму оцінки серйозності та характеру порушення та визначатиме відсоткові величини такого порушення, що в кінцевому результаті відображатиметься на розрахунку початкового розміру штрафу та фактичному збільшені його підсумкового розміру виключно для групи учасників які зареєстровані більше одного року.</w:t>
            </w:r>
          </w:p>
          <w:p w14:paraId="7E3CC5CB" w14:textId="77777777" w:rsidR="00894ECB" w:rsidRPr="00D927E4" w:rsidRDefault="00894ECB" w:rsidP="00894ECB">
            <w:pPr>
              <w:ind w:firstLine="322"/>
              <w:jc w:val="both"/>
              <w:rPr>
                <w:rFonts w:eastAsia="Calibri"/>
                <w:color w:val="000000"/>
                <w:sz w:val="22"/>
                <w:szCs w:val="22"/>
                <w:shd w:val="clear" w:color="auto" w:fill="FFFFFF"/>
                <w:lang w:eastAsia="en-US"/>
              </w:rPr>
            </w:pPr>
            <w:r w:rsidRPr="00D927E4">
              <w:rPr>
                <w:rFonts w:eastAsia="Calibri"/>
                <w:color w:val="000000"/>
                <w:sz w:val="22"/>
                <w:szCs w:val="22"/>
                <w:shd w:val="clear" w:color="auto" w:fill="FFFFFF"/>
                <w:lang w:eastAsia="en-US"/>
              </w:rPr>
              <w:t xml:space="preserve">Таким чином, запропоновані зміни порушують принцип недискримінаційної участі в ринку електричної енергії (підпункт 13 частини 2 статті 3 ЗУ «ПРЕЕ»), оскільки зміни розподіляють учасників на досвідчених та недосвідчених. </w:t>
            </w:r>
          </w:p>
          <w:p w14:paraId="7C7CF00F" w14:textId="77777777" w:rsidR="00894ECB" w:rsidRPr="00D927E4" w:rsidRDefault="00894ECB" w:rsidP="00894ECB">
            <w:pPr>
              <w:ind w:firstLine="322"/>
              <w:jc w:val="both"/>
              <w:rPr>
                <w:rFonts w:eastAsia="Calibri"/>
                <w:color w:val="000000"/>
                <w:sz w:val="22"/>
                <w:szCs w:val="22"/>
                <w:lang w:eastAsia="en-US"/>
              </w:rPr>
            </w:pPr>
            <w:r w:rsidRPr="00D927E4">
              <w:rPr>
                <w:rFonts w:eastAsia="Calibri"/>
                <w:color w:val="000000"/>
                <w:sz w:val="22"/>
                <w:szCs w:val="22"/>
                <w:lang w:eastAsia="en-US"/>
              </w:rPr>
              <w:t>Введення нового критерію потребує більш детального розуміння принципу визначення досвіду ліцензіат. Важливо враховувати більше факторів та/або параметрів при визначені такого критерію, крім періоду діяльності ліцензіата на ринку (для прикладу, критерій «велична ліцензіата» має детальну класифікацію та  визначається окремо за видом господарської діяльності, що провадить ліцензіат).</w:t>
            </w:r>
          </w:p>
          <w:p w14:paraId="60125E44" w14:textId="77777777" w:rsidR="00894ECB" w:rsidRPr="00D927E4" w:rsidRDefault="00894ECB" w:rsidP="00894ECB">
            <w:pPr>
              <w:ind w:firstLine="322"/>
              <w:jc w:val="both"/>
              <w:rPr>
                <w:rFonts w:eastAsia="Calibri"/>
                <w:color w:val="000000"/>
                <w:sz w:val="22"/>
                <w:szCs w:val="22"/>
                <w:shd w:val="clear" w:color="auto" w:fill="FFFFFF"/>
                <w:lang w:eastAsia="en-US"/>
              </w:rPr>
            </w:pPr>
            <w:r w:rsidRPr="00D927E4">
              <w:rPr>
                <w:rFonts w:eastAsia="Calibri"/>
                <w:color w:val="000000"/>
                <w:sz w:val="22"/>
                <w:szCs w:val="22"/>
                <w:shd w:val="clear" w:color="auto" w:fill="FFFFFF"/>
                <w:lang w:eastAsia="en-US"/>
              </w:rPr>
              <w:t xml:space="preserve">Враховуючи динамічність </w:t>
            </w:r>
            <w:r w:rsidRPr="00D927E4">
              <w:rPr>
                <w:rFonts w:eastAsia="Calibri"/>
                <w:color w:val="000000"/>
                <w:sz w:val="22"/>
                <w:szCs w:val="22"/>
                <w:lang w:eastAsia="en-US"/>
              </w:rPr>
              <w:t>регуляторного середовища для учасників ринку (ліцензіатів), з огляду на стрімкий та постійний процес</w:t>
            </w:r>
            <w:r w:rsidRPr="00D927E4">
              <w:rPr>
                <w:rFonts w:eastAsia="Calibri"/>
                <w:color w:val="000000"/>
                <w:sz w:val="22"/>
                <w:szCs w:val="22"/>
                <w:shd w:val="clear" w:color="auto" w:fill="FFFFFF"/>
                <w:lang w:eastAsia="en-US"/>
              </w:rPr>
              <w:t xml:space="preserve"> імплементації актів Енергетичного Співтовариства та інших положень європейського законодавства у сфері енергетики до національного законодавства, та відповідним, </w:t>
            </w:r>
            <w:r w:rsidRPr="00D927E4">
              <w:rPr>
                <w:rFonts w:eastAsia="Calibri"/>
                <w:iCs/>
                <w:color w:val="000000"/>
                <w:sz w:val="22"/>
                <w:szCs w:val="22"/>
                <w:lang w:eastAsia="en-US"/>
              </w:rPr>
              <w:t>постійним вдосконаленням нормативної бази, зокрема, прийняттям нових та внесенням змін до діючих регуляторних актів НКРЕКП, «досвід ліцензіата НКРЕКП» не може бути критерієм для визначення суми штрафу.</w:t>
            </w:r>
          </w:p>
          <w:p w14:paraId="3BB7496B" w14:textId="77777777" w:rsidR="00894ECB" w:rsidRPr="00D927E4" w:rsidRDefault="00894ECB" w:rsidP="00894ECB">
            <w:pPr>
              <w:ind w:firstLine="322"/>
              <w:jc w:val="both"/>
              <w:rPr>
                <w:rFonts w:eastAsia="Calibri"/>
                <w:color w:val="000000"/>
                <w:sz w:val="22"/>
                <w:szCs w:val="22"/>
                <w:lang w:eastAsia="en-US"/>
              </w:rPr>
            </w:pPr>
            <w:r w:rsidRPr="00D927E4">
              <w:rPr>
                <w:rFonts w:eastAsia="Calibri"/>
                <w:color w:val="000000"/>
                <w:sz w:val="22"/>
                <w:szCs w:val="22"/>
                <w:lang w:eastAsia="en-US"/>
              </w:rPr>
              <w:t xml:space="preserve">Разом із цим, необхідно зважати на таку основоположну складову законодавства, як </w:t>
            </w:r>
            <w:r w:rsidRPr="00D927E4">
              <w:rPr>
                <w:rFonts w:eastAsia="Calibri"/>
                <w:bCs/>
                <w:color w:val="000000"/>
                <w:sz w:val="22"/>
                <w:szCs w:val="22"/>
                <w:lang w:eastAsia="en-US"/>
              </w:rPr>
              <w:t xml:space="preserve">презумпція знання законодавства, яка закріплена у частинні 2 статті 68 Конституції України. </w:t>
            </w:r>
          </w:p>
          <w:p w14:paraId="01886B3C" w14:textId="77777777" w:rsidR="00894ECB" w:rsidRPr="00D927E4" w:rsidRDefault="00894ECB" w:rsidP="00894ECB">
            <w:pPr>
              <w:spacing w:after="120"/>
              <w:jc w:val="both"/>
              <w:rPr>
                <w:rFonts w:eastAsia="Calibri"/>
                <w:color w:val="000000"/>
                <w:sz w:val="22"/>
                <w:szCs w:val="22"/>
                <w:lang w:eastAsia="en-US"/>
              </w:rPr>
            </w:pPr>
            <w:r w:rsidRPr="00D927E4">
              <w:rPr>
                <w:rFonts w:eastAsia="Calibri"/>
                <w:bCs/>
                <w:color w:val="000000"/>
                <w:sz w:val="22"/>
                <w:szCs w:val="22"/>
                <w:lang w:eastAsia="en-US"/>
              </w:rPr>
              <w:t xml:space="preserve">Зважаючи на зазначене </w:t>
            </w:r>
            <w:r w:rsidRPr="00D927E4">
              <w:rPr>
                <w:rFonts w:eastAsia="Calibri"/>
                <w:color w:val="000000"/>
                <w:sz w:val="22"/>
                <w:szCs w:val="22"/>
                <w:lang w:eastAsia="en-US"/>
              </w:rPr>
              <w:t>вважаємо передчасним та недоцільним в поточних умовах діяльності доповнювати Порядок критерієм «досвід ліцензіатів НКРЕКП».</w:t>
            </w:r>
          </w:p>
          <w:p w14:paraId="69869CB5" w14:textId="77777777" w:rsidR="00894ECB" w:rsidRPr="00D927E4" w:rsidRDefault="00894ECB" w:rsidP="00894ECB">
            <w:pPr>
              <w:spacing w:after="120"/>
              <w:jc w:val="both"/>
              <w:rPr>
                <w:rFonts w:eastAsia="Calibri"/>
                <w:color w:val="000000"/>
                <w:sz w:val="22"/>
                <w:szCs w:val="22"/>
                <w:lang w:eastAsia="en-US"/>
              </w:rPr>
            </w:pPr>
          </w:p>
          <w:p w14:paraId="6C36C9A2" w14:textId="77777777" w:rsidR="00894ECB" w:rsidRPr="00D927E4" w:rsidRDefault="00894ECB" w:rsidP="00894ECB">
            <w:pPr>
              <w:spacing w:after="120"/>
              <w:jc w:val="both"/>
              <w:rPr>
                <w:i/>
                <w:sz w:val="22"/>
                <w:szCs w:val="22"/>
              </w:rPr>
            </w:pPr>
            <w:r w:rsidRPr="00D927E4">
              <w:rPr>
                <w:i/>
                <w:sz w:val="22"/>
                <w:szCs w:val="22"/>
              </w:rPr>
              <w:t>ТОВ «ЕНЕРДЖІ 365»</w:t>
            </w:r>
          </w:p>
          <w:p w14:paraId="0CE23727" w14:textId="77777777" w:rsidR="00894ECB" w:rsidRPr="00D927E4" w:rsidRDefault="00894ECB" w:rsidP="00894ECB">
            <w:pPr>
              <w:spacing w:after="120"/>
              <w:jc w:val="both"/>
              <w:rPr>
                <w:sz w:val="22"/>
                <w:szCs w:val="22"/>
              </w:rPr>
            </w:pPr>
            <w:r w:rsidRPr="00D927E4">
              <w:rPr>
                <w:sz w:val="22"/>
                <w:szCs w:val="22"/>
              </w:rPr>
              <w:lastRenderedPageBreak/>
              <w:t>Виключити критерій "досвід ліцензіатів НКРЕКП" з проекту змін до методики штрафів.</w:t>
            </w:r>
          </w:p>
          <w:p w14:paraId="5D6A8AD7" w14:textId="77777777" w:rsidR="00894ECB" w:rsidRPr="00D927E4" w:rsidRDefault="00894ECB" w:rsidP="00894ECB">
            <w:pPr>
              <w:spacing w:after="120"/>
              <w:jc w:val="both"/>
              <w:rPr>
                <w:sz w:val="22"/>
                <w:szCs w:val="22"/>
              </w:rPr>
            </w:pPr>
          </w:p>
          <w:p w14:paraId="5B5D325F" w14:textId="77777777" w:rsidR="00894ECB" w:rsidRPr="00D927E4" w:rsidRDefault="00894ECB" w:rsidP="00894ECB">
            <w:pPr>
              <w:spacing w:after="120"/>
              <w:jc w:val="both"/>
              <w:rPr>
                <w:i/>
                <w:sz w:val="22"/>
                <w:szCs w:val="22"/>
              </w:rPr>
            </w:pPr>
            <w:r w:rsidRPr="00D927E4">
              <w:rPr>
                <w:i/>
                <w:sz w:val="22"/>
                <w:szCs w:val="22"/>
              </w:rPr>
              <w:t>ОБГРУНТУВАННЯ:</w:t>
            </w:r>
          </w:p>
          <w:p w14:paraId="21623F4E" w14:textId="77777777" w:rsidR="00894ECB" w:rsidRPr="00D927E4" w:rsidRDefault="00894ECB" w:rsidP="00894ECB">
            <w:pPr>
              <w:spacing w:after="120"/>
              <w:jc w:val="both"/>
              <w:rPr>
                <w:sz w:val="22"/>
                <w:szCs w:val="22"/>
              </w:rPr>
            </w:pPr>
            <w:r w:rsidRPr="00D927E4">
              <w:rPr>
                <w:sz w:val="22"/>
                <w:szCs w:val="22"/>
              </w:rPr>
              <w:t>Введення критерію "досвід ліцензіатів НКРЕКП" створює умови для дискримінації старих учасників ринку, які, незважаючи на можливе мінімальне порушення, автоматично отримують більше штрафних балів.</w:t>
            </w:r>
          </w:p>
          <w:p w14:paraId="5123502D" w14:textId="77777777" w:rsidR="00894ECB" w:rsidRPr="00D927E4" w:rsidRDefault="00894ECB" w:rsidP="00894ECB">
            <w:pPr>
              <w:spacing w:after="120"/>
              <w:jc w:val="both"/>
              <w:rPr>
                <w:sz w:val="22"/>
                <w:szCs w:val="22"/>
              </w:rPr>
            </w:pPr>
            <w:r w:rsidRPr="00D927E4">
              <w:rPr>
                <w:sz w:val="22"/>
                <w:szCs w:val="22"/>
              </w:rPr>
              <w:t>Створюються умови для маніпуляцій, коли компанії закриваються та реєструються знову для уникнення штрафів.</w:t>
            </w:r>
          </w:p>
          <w:p w14:paraId="52C7BB11" w14:textId="77777777" w:rsidR="00894ECB" w:rsidRPr="00D927E4" w:rsidRDefault="00894ECB" w:rsidP="00894ECB">
            <w:pPr>
              <w:spacing w:after="120"/>
              <w:jc w:val="both"/>
              <w:rPr>
                <w:sz w:val="22"/>
                <w:szCs w:val="22"/>
              </w:rPr>
            </w:pPr>
            <w:r w:rsidRPr="00D927E4">
              <w:rPr>
                <w:sz w:val="22"/>
                <w:szCs w:val="22"/>
              </w:rPr>
              <w:t>Дискримінація старих учасників ринку створює нерівні умови на ринку.</w:t>
            </w:r>
          </w:p>
          <w:p w14:paraId="53606A85" w14:textId="77777777" w:rsidR="00894ECB" w:rsidRPr="00D927E4" w:rsidRDefault="00894ECB" w:rsidP="00894ECB">
            <w:pPr>
              <w:spacing w:after="120"/>
              <w:jc w:val="both"/>
              <w:rPr>
                <w:sz w:val="22"/>
                <w:szCs w:val="22"/>
              </w:rPr>
            </w:pPr>
            <w:r w:rsidRPr="00D927E4">
              <w:rPr>
                <w:sz w:val="22"/>
                <w:szCs w:val="22"/>
              </w:rPr>
              <w:t>Часті зміни законодавства однаково впливають на всі компанії, що робить досвід нерелевантним показником для оцінки порушень.</w:t>
            </w:r>
          </w:p>
          <w:p w14:paraId="34E34702" w14:textId="77777777" w:rsidR="00894ECB" w:rsidRPr="00D927E4" w:rsidRDefault="00894ECB" w:rsidP="00894ECB">
            <w:pPr>
              <w:spacing w:after="120"/>
              <w:jc w:val="both"/>
              <w:rPr>
                <w:sz w:val="22"/>
                <w:szCs w:val="22"/>
              </w:rPr>
            </w:pPr>
          </w:p>
          <w:p w14:paraId="0E27F7A3" w14:textId="77777777" w:rsidR="00894ECB" w:rsidRPr="00D927E4" w:rsidRDefault="00894ECB" w:rsidP="00894ECB">
            <w:pPr>
              <w:spacing w:after="120"/>
              <w:jc w:val="both"/>
              <w:rPr>
                <w:i/>
                <w:sz w:val="22"/>
                <w:szCs w:val="22"/>
              </w:rPr>
            </w:pPr>
            <w:r w:rsidRPr="00D927E4">
              <w:rPr>
                <w:i/>
                <w:sz w:val="22"/>
                <w:szCs w:val="22"/>
              </w:rPr>
              <w:t>АТ «ДТЕК КИЇВСЬКІ ЕЛЕКТРОМЕРЕЖІ»</w:t>
            </w:r>
          </w:p>
          <w:p w14:paraId="2E53EEE0" w14:textId="77777777" w:rsidR="00894ECB" w:rsidRPr="00D927E4" w:rsidRDefault="00894ECB" w:rsidP="00894ECB">
            <w:pPr>
              <w:spacing w:after="120"/>
              <w:jc w:val="both"/>
              <w:rPr>
                <w:sz w:val="22"/>
                <w:szCs w:val="22"/>
              </w:rPr>
            </w:pPr>
            <w:r w:rsidRPr="00D927E4">
              <w:rPr>
                <w:sz w:val="22"/>
                <w:szCs w:val="22"/>
              </w:rPr>
              <w:t xml:space="preserve">Вилучити </w:t>
            </w:r>
          </w:p>
          <w:p w14:paraId="64FFC5DD" w14:textId="77777777" w:rsidR="00894ECB" w:rsidRPr="00D927E4" w:rsidRDefault="00894ECB" w:rsidP="00894ECB">
            <w:pPr>
              <w:spacing w:after="120"/>
              <w:jc w:val="both"/>
              <w:rPr>
                <w:i/>
                <w:sz w:val="22"/>
                <w:szCs w:val="22"/>
              </w:rPr>
            </w:pPr>
            <w:r w:rsidRPr="00D927E4">
              <w:rPr>
                <w:i/>
                <w:sz w:val="22"/>
                <w:szCs w:val="22"/>
              </w:rPr>
              <w:t>ОБГРУНТУВАННЯ:</w:t>
            </w:r>
          </w:p>
          <w:p w14:paraId="43569BDB" w14:textId="77777777" w:rsidR="00894ECB" w:rsidRPr="00D927E4" w:rsidRDefault="00894ECB" w:rsidP="00894ECB">
            <w:pPr>
              <w:spacing w:after="120"/>
              <w:jc w:val="both"/>
              <w:rPr>
                <w:sz w:val="22"/>
                <w:szCs w:val="22"/>
              </w:rPr>
            </w:pPr>
            <w:r w:rsidRPr="00D927E4">
              <w:rPr>
                <w:sz w:val="22"/>
                <w:szCs w:val="22"/>
              </w:rPr>
              <w:t>Вважаємо, що ознака досвіду ліцензіата не має використовуватися з метою визначення розміру штрафу, що відповідає підходу в  інших галузях життєдіяльності стосовно визначення штрафів за певні порушення.</w:t>
            </w:r>
          </w:p>
          <w:p w14:paraId="6CA601F7" w14:textId="77777777" w:rsidR="00894ECB" w:rsidRPr="00D927E4" w:rsidRDefault="00894ECB" w:rsidP="00894ECB">
            <w:pPr>
              <w:spacing w:after="120"/>
              <w:jc w:val="both"/>
              <w:rPr>
                <w:sz w:val="22"/>
                <w:szCs w:val="22"/>
              </w:rPr>
            </w:pPr>
          </w:p>
          <w:p w14:paraId="37A63FAA" w14:textId="77777777" w:rsidR="00894ECB" w:rsidRPr="00D927E4" w:rsidRDefault="00276771" w:rsidP="00894ECB">
            <w:pPr>
              <w:spacing w:after="120"/>
              <w:jc w:val="both"/>
              <w:rPr>
                <w:i/>
                <w:sz w:val="22"/>
                <w:szCs w:val="22"/>
              </w:rPr>
            </w:pPr>
            <w:r w:rsidRPr="00D927E4">
              <w:rPr>
                <w:i/>
                <w:sz w:val="22"/>
                <w:szCs w:val="22"/>
              </w:rPr>
              <w:t>ПРАТ «РІВНЕОБЛЕНЕРГО»</w:t>
            </w:r>
          </w:p>
          <w:p w14:paraId="7FE53BFD" w14:textId="77777777" w:rsidR="00894ECB" w:rsidRPr="00D927E4" w:rsidRDefault="00894ECB" w:rsidP="00894ECB">
            <w:pPr>
              <w:spacing w:after="120"/>
              <w:jc w:val="both"/>
              <w:rPr>
                <w:sz w:val="22"/>
                <w:szCs w:val="22"/>
              </w:rPr>
            </w:pPr>
            <w:r w:rsidRPr="00D927E4">
              <w:rPr>
                <w:sz w:val="22"/>
                <w:szCs w:val="22"/>
              </w:rPr>
              <w:t xml:space="preserve">Вилучити </w:t>
            </w:r>
          </w:p>
          <w:p w14:paraId="183B53F2" w14:textId="77777777" w:rsidR="00894ECB" w:rsidRPr="00D927E4" w:rsidRDefault="00894ECB" w:rsidP="00894ECB">
            <w:pPr>
              <w:spacing w:after="120"/>
              <w:jc w:val="both"/>
              <w:rPr>
                <w:i/>
                <w:sz w:val="22"/>
                <w:szCs w:val="22"/>
              </w:rPr>
            </w:pPr>
            <w:r w:rsidRPr="00D927E4">
              <w:rPr>
                <w:i/>
                <w:sz w:val="22"/>
                <w:szCs w:val="22"/>
              </w:rPr>
              <w:t>ОБГРУНТУВАННЯ:</w:t>
            </w:r>
          </w:p>
          <w:p w14:paraId="37102848" w14:textId="77777777" w:rsidR="00E37804" w:rsidRPr="00D927E4" w:rsidRDefault="00E37804" w:rsidP="00E37804">
            <w:pPr>
              <w:ind w:firstLine="458"/>
              <w:jc w:val="both"/>
              <w:rPr>
                <w:sz w:val="22"/>
                <w:szCs w:val="22"/>
              </w:rPr>
            </w:pPr>
            <w:r w:rsidRPr="00D927E4">
              <w:rPr>
                <w:sz w:val="22"/>
                <w:szCs w:val="22"/>
              </w:rPr>
              <w:t xml:space="preserve">Запропонована Комісією норма  щодо введення критерію «досвід ліцензіатів НКРЕКП» має дискримінаційний та упереджений характер, що суперечить </w:t>
            </w:r>
            <w:r w:rsidRPr="00D927E4">
              <w:rPr>
                <w:sz w:val="22"/>
                <w:szCs w:val="22"/>
              </w:rPr>
              <w:lastRenderedPageBreak/>
              <w:t>законодавству України на ринку електроенергії. Кожен  суб’єкт господарювання здобуваючи ліцензію на право провадження господарської діяльності чи то на ринку електроенергії, чи на іншому ринку комунальних послуг, з перших днів діяльності має діяти в рамках нормативно-правових актів і дотримуватися законодавства. Тривалість здійснення діяльності суб’єкта не впливає на знання та/або дотримання ним законодавства, адже є визначені ліцензійні умови, які він має дотримуватися з перших днів діяльності, за перевіркою яких і слідкує Комісія.</w:t>
            </w:r>
          </w:p>
          <w:p w14:paraId="01E622EF" w14:textId="77777777" w:rsidR="00E37804" w:rsidRPr="00D927E4" w:rsidRDefault="00E37804" w:rsidP="00E37804">
            <w:pPr>
              <w:ind w:firstLine="458"/>
              <w:jc w:val="both"/>
              <w:rPr>
                <w:sz w:val="22"/>
                <w:szCs w:val="22"/>
              </w:rPr>
            </w:pPr>
            <w:r w:rsidRPr="00D927E4">
              <w:rPr>
                <w:sz w:val="22"/>
                <w:szCs w:val="22"/>
              </w:rPr>
              <w:t xml:space="preserve">Поняття «досвід діяльності» - це твердження, яке коректне для застосування лише до фізичних осіб, а не суб’єктів господарювання.   Адже конкурентне середовище не може містити умов нерівності ліцензіатів за критерієм «досвід ліцензіатів НКРЕКП», оскільки всі ліцензіати повинні перебувати в рівних умовах незалежно від наявного досвіду. </w:t>
            </w:r>
          </w:p>
          <w:p w14:paraId="74D6D6F4" w14:textId="77777777" w:rsidR="00E37804" w:rsidRPr="00D927E4" w:rsidRDefault="00E37804" w:rsidP="00E37804">
            <w:pPr>
              <w:ind w:firstLine="458"/>
              <w:jc w:val="both"/>
              <w:rPr>
                <w:sz w:val="22"/>
                <w:szCs w:val="22"/>
              </w:rPr>
            </w:pPr>
            <w:r w:rsidRPr="00D927E4">
              <w:rPr>
                <w:sz w:val="22"/>
                <w:szCs w:val="22"/>
              </w:rPr>
              <w:t>Досвід діяльності (функціонування) на ринку електричної енергії  не повинен стати причиною збільшення розміру штрафу для ліцензіата, ставити більш досвідчених учасників ринку у нерівні умови, щодо відповідальності за порушення, по відношенню до початківців на ринку електричної енергії. Адже введення такого критерію може спонукати ліцензіатів-початківців до вчинення порушень ліцензійних умов, через зменшення рівня відповідальності.</w:t>
            </w:r>
          </w:p>
          <w:p w14:paraId="71014E51" w14:textId="77777777" w:rsidR="00E37804" w:rsidRPr="00D927E4" w:rsidRDefault="00E37804" w:rsidP="00E37804">
            <w:pPr>
              <w:shd w:val="clear" w:color="auto" w:fill="FFFFFF"/>
              <w:ind w:firstLineChars="231" w:firstLine="508"/>
              <w:contextualSpacing/>
              <w:jc w:val="both"/>
              <w:rPr>
                <w:rFonts w:eastAsiaTheme="minorHAnsi"/>
                <w:sz w:val="22"/>
                <w:szCs w:val="22"/>
              </w:rPr>
            </w:pPr>
            <w:r w:rsidRPr="00D927E4">
              <w:rPr>
                <w:sz w:val="22"/>
                <w:szCs w:val="22"/>
              </w:rPr>
              <w:t xml:space="preserve">Пропозиція щодо введення </w:t>
            </w:r>
            <w:r w:rsidRPr="00D927E4">
              <w:rPr>
                <w:b/>
                <w:sz w:val="22"/>
                <w:szCs w:val="22"/>
              </w:rPr>
              <w:t xml:space="preserve">критерію  «досвід ліцензіатів НКРЕКП» призведе до </w:t>
            </w:r>
            <w:r w:rsidRPr="00D927E4">
              <w:rPr>
                <w:sz w:val="22"/>
                <w:szCs w:val="22"/>
              </w:rPr>
              <w:t xml:space="preserve"> додаткового фінансового (штрафного) тиску на учасників ринку, які провадять господарську діяльність більше 1-го року, при визначені початкового та підсумкового штрафів відповідно та порушує принцип пропорційності покарання зважаючи на поточні економічні та організаційні засади функціонування ринку.  </w:t>
            </w:r>
          </w:p>
          <w:p w14:paraId="5A267E1F" w14:textId="77777777" w:rsidR="00894ECB" w:rsidRPr="00D927E4" w:rsidRDefault="00E37804" w:rsidP="00E37804">
            <w:pPr>
              <w:spacing w:after="120"/>
              <w:jc w:val="both"/>
              <w:rPr>
                <w:sz w:val="22"/>
                <w:szCs w:val="22"/>
              </w:rPr>
            </w:pPr>
            <w:r w:rsidRPr="00D927E4">
              <w:rPr>
                <w:sz w:val="22"/>
                <w:szCs w:val="22"/>
              </w:rPr>
              <w:t xml:space="preserve">Тому, даний </w:t>
            </w:r>
            <w:r w:rsidRPr="00D927E4">
              <w:rPr>
                <w:b/>
                <w:sz w:val="22"/>
                <w:szCs w:val="22"/>
              </w:rPr>
              <w:t>критерій  «досвід ліцензіатів НКРЕКП»  порушує основні принципи діяльності Регулятора</w:t>
            </w:r>
            <w:r w:rsidRPr="00D927E4">
              <w:rPr>
                <w:sz w:val="22"/>
                <w:szCs w:val="22"/>
              </w:rPr>
              <w:t xml:space="preserve">, визначені пунктами 5, 8 та 10 статті 4 Закону України «Про Національну комісію, що здійснює державне регулювання у сферах енергетики та комунальних послуг», а саме: </w:t>
            </w:r>
            <w:r w:rsidRPr="00D927E4">
              <w:rPr>
                <w:sz w:val="22"/>
                <w:szCs w:val="22"/>
                <w:u w:val="single"/>
              </w:rPr>
              <w:lastRenderedPageBreak/>
              <w:t>справедливість, неупередженість та об’єктивність під час прийняття рішень та недопущення дискримінації.</w:t>
            </w:r>
            <w:r w:rsidRPr="00D927E4">
              <w:rPr>
                <w:sz w:val="22"/>
                <w:szCs w:val="22"/>
              </w:rPr>
              <w:t xml:space="preserve"> ПрАТ «</w:t>
            </w:r>
            <w:proofErr w:type="spellStart"/>
            <w:r w:rsidRPr="00D927E4">
              <w:rPr>
                <w:sz w:val="22"/>
                <w:szCs w:val="22"/>
              </w:rPr>
              <w:t>Рівнеобленерго</w:t>
            </w:r>
            <w:proofErr w:type="spellEnd"/>
            <w:r w:rsidRPr="00D927E4">
              <w:rPr>
                <w:sz w:val="22"/>
                <w:szCs w:val="22"/>
              </w:rPr>
              <w:t>» пропонує вилучити даний п.2.2.9</w:t>
            </w:r>
            <w:r w:rsidR="00894ECB" w:rsidRPr="00D927E4">
              <w:rPr>
                <w:sz w:val="22"/>
                <w:szCs w:val="22"/>
              </w:rPr>
              <w:t>.</w:t>
            </w:r>
          </w:p>
          <w:p w14:paraId="11C15F7B" w14:textId="77777777" w:rsidR="00894ECB" w:rsidRPr="00D927E4" w:rsidRDefault="00894ECB" w:rsidP="00894ECB">
            <w:pPr>
              <w:spacing w:after="120"/>
              <w:jc w:val="both"/>
              <w:rPr>
                <w:sz w:val="22"/>
                <w:szCs w:val="22"/>
              </w:rPr>
            </w:pPr>
          </w:p>
          <w:p w14:paraId="42789A98" w14:textId="77777777" w:rsidR="00894ECB" w:rsidRPr="00D927E4" w:rsidRDefault="00894ECB" w:rsidP="00894ECB">
            <w:pPr>
              <w:spacing w:after="120"/>
              <w:jc w:val="both"/>
              <w:rPr>
                <w:i/>
                <w:sz w:val="22"/>
                <w:szCs w:val="22"/>
              </w:rPr>
            </w:pPr>
            <w:r w:rsidRPr="00D927E4">
              <w:rPr>
                <w:i/>
                <w:sz w:val="22"/>
                <w:szCs w:val="22"/>
              </w:rPr>
              <w:t>АТ «ОПЕРАТОР РИНКУ»</w:t>
            </w:r>
          </w:p>
          <w:p w14:paraId="27CF99CE" w14:textId="77777777" w:rsidR="00894ECB" w:rsidRPr="00D927E4" w:rsidRDefault="00894ECB" w:rsidP="00894ECB">
            <w:pPr>
              <w:ind w:firstLine="240"/>
              <w:jc w:val="both"/>
              <w:rPr>
                <w:b/>
                <w:i/>
                <w:color w:val="000000"/>
                <w:sz w:val="22"/>
                <w:szCs w:val="22"/>
              </w:rPr>
            </w:pPr>
            <w:r w:rsidRPr="00D927E4">
              <w:rPr>
                <w:b/>
                <w:i/>
                <w:color w:val="000000"/>
                <w:sz w:val="22"/>
                <w:szCs w:val="22"/>
              </w:rPr>
              <w:t>Виключити.</w:t>
            </w:r>
          </w:p>
          <w:p w14:paraId="624C2C7B" w14:textId="77777777" w:rsidR="00894ECB" w:rsidRPr="00D927E4" w:rsidRDefault="00894ECB" w:rsidP="00894ECB">
            <w:pPr>
              <w:spacing w:after="120"/>
              <w:jc w:val="both"/>
              <w:rPr>
                <w:i/>
                <w:sz w:val="22"/>
                <w:szCs w:val="22"/>
              </w:rPr>
            </w:pPr>
          </w:p>
          <w:p w14:paraId="1F5350D0" w14:textId="77777777" w:rsidR="00894ECB" w:rsidRPr="00D927E4" w:rsidRDefault="00894ECB" w:rsidP="00894ECB">
            <w:pPr>
              <w:spacing w:after="120"/>
              <w:jc w:val="both"/>
              <w:rPr>
                <w:i/>
                <w:sz w:val="22"/>
                <w:szCs w:val="22"/>
              </w:rPr>
            </w:pPr>
            <w:r w:rsidRPr="00D927E4">
              <w:rPr>
                <w:i/>
                <w:sz w:val="22"/>
                <w:szCs w:val="22"/>
              </w:rPr>
              <w:t>ОБГРУНТУВАННЯ:</w:t>
            </w:r>
          </w:p>
          <w:p w14:paraId="5A500524" w14:textId="77777777" w:rsidR="00894ECB" w:rsidRPr="00D927E4" w:rsidRDefault="00894ECB" w:rsidP="00894ECB">
            <w:pPr>
              <w:ind w:firstLine="306"/>
              <w:jc w:val="both"/>
              <w:rPr>
                <w:i/>
                <w:color w:val="000000"/>
                <w:sz w:val="22"/>
                <w:szCs w:val="22"/>
              </w:rPr>
            </w:pPr>
            <w:r w:rsidRPr="00D927E4">
              <w:rPr>
                <w:i/>
                <w:color w:val="000000"/>
                <w:sz w:val="22"/>
                <w:szCs w:val="22"/>
              </w:rPr>
              <w:t xml:space="preserve">На нашу думку, додавання оцінки за критерієм «досвід ліцензіата» є порушенням принципу недопущення дискримінації, якого має дотримуватися НКРЕКП відповідно до вимог статті 4 Закону України «Про НКРЕКП». </w:t>
            </w:r>
            <w:bookmarkStart w:id="1" w:name="n4390"/>
            <w:bookmarkEnd w:id="1"/>
          </w:p>
          <w:p w14:paraId="4AE21E27" w14:textId="77777777" w:rsidR="00894ECB" w:rsidRPr="00D927E4" w:rsidRDefault="00894ECB" w:rsidP="00894ECB">
            <w:pPr>
              <w:ind w:firstLine="306"/>
              <w:jc w:val="both"/>
              <w:rPr>
                <w:i/>
                <w:color w:val="000000"/>
                <w:sz w:val="22"/>
                <w:szCs w:val="22"/>
              </w:rPr>
            </w:pPr>
            <w:r w:rsidRPr="00D927E4">
              <w:rPr>
                <w:i/>
                <w:sz w:val="22"/>
                <w:szCs w:val="22"/>
              </w:rPr>
              <w:t>Так, збільшення оцінки серйозності та характеру порушення за рахунок введення додаткового критерію оцінювання самих ліцензіатів, а не вчинених ними порушень, виглядає як дискримінація ліцензіатів за тривалістю провадження ними господарської діяльності, адже відповідно до абзацу другого статті 68 Конституції України «Незнання законів не звільняє від юридичної відповідальності.». До того ж, досвід це надбання людей, які працюють на підприємстві, тому цілком можливо, що через зміну персоналу на старому підприємстві відповідно може зменшитися рівень його досвіду, водночас, новостворені ліцензіати цілком можуть мати у своєму складі досвідчених фахівців.</w:t>
            </w:r>
            <w:r w:rsidRPr="00D927E4">
              <w:rPr>
                <w:i/>
                <w:color w:val="000000"/>
                <w:sz w:val="22"/>
                <w:szCs w:val="22"/>
              </w:rPr>
              <w:t xml:space="preserve"> Також, прояснення потребує який саме досвід оцінюється, адже при постійних змінах правового поля, в якому працюють ліцензіати та згідно з яким у ліцензованій діяльності можуть з’являтися нові функції, виникає питання: чи коректним є визначення досвіду ліцензіата у виконанні цих функцій з дати отримання ним ліцензії?</w:t>
            </w:r>
          </w:p>
          <w:p w14:paraId="5FABA378" w14:textId="77777777" w:rsidR="00894ECB" w:rsidRPr="00D927E4" w:rsidRDefault="00894ECB" w:rsidP="00894ECB">
            <w:pPr>
              <w:ind w:firstLine="306"/>
              <w:jc w:val="both"/>
              <w:rPr>
                <w:i/>
                <w:color w:val="000000"/>
                <w:sz w:val="22"/>
                <w:szCs w:val="22"/>
              </w:rPr>
            </w:pPr>
            <w:r w:rsidRPr="00D927E4">
              <w:rPr>
                <w:i/>
                <w:color w:val="000000"/>
                <w:sz w:val="22"/>
                <w:szCs w:val="22"/>
              </w:rPr>
              <w:t xml:space="preserve">Вважаємо, що пропозиція додати нове положення сформована без достатнього аналізу чинних положень Порядку (методики), згідно з якими для ліцензіатів, що мають великий досвід на ринку електричної енергії, за критеріями «тип ліцензіата» та «величина ліцензіата» </w:t>
            </w:r>
            <w:r w:rsidRPr="00D927E4">
              <w:rPr>
                <w:i/>
                <w:color w:val="000000"/>
                <w:sz w:val="22"/>
                <w:szCs w:val="22"/>
              </w:rPr>
              <w:lastRenderedPageBreak/>
              <w:t xml:space="preserve">вже встановлено найбільшу кількість балів для оцінки серйозності та характеру їхніх порушень. Також, вважаємо, що відповідна пропозиція мала б супроводжуватися </w:t>
            </w:r>
            <w:r w:rsidRPr="00D927E4">
              <w:rPr>
                <w:i/>
                <w:sz w:val="22"/>
                <w:szCs w:val="22"/>
              </w:rPr>
              <w:t xml:space="preserve">ґрунтовним поясненням </w:t>
            </w:r>
            <w:r w:rsidRPr="00D927E4">
              <w:rPr>
                <w:i/>
                <w:color w:val="000000"/>
                <w:sz w:val="22"/>
                <w:szCs w:val="22"/>
              </w:rPr>
              <w:t>з прикладами того, чому запровадження даного критерію буде ефективним стримуючим заходом від порушень.</w:t>
            </w:r>
          </w:p>
          <w:p w14:paraId="56AB229C" w14:textId="77777777" w:rsidR="00894ECB" w:rsidRPr="00D927E4" w:rsidRDefault="00894ECB" w:rsidP="00894ECB">
            <w:pPr>
              <w:ind w:firstLine="306"/>
              <w:jc w:val="both"/>
              <w:rPr>
                <w:i/>
                <w:color w:val="000000"/>
                <w:sz w:val="22"/>
                <w:szCs w:val="22"/>
              </w:rPr>
            </w:pPr>
            <w:r w:rsidRPr="00D927E4">
              <w:rPr>
                <w:i/>
                <w:color w:val="000000"/>
                <w:sz w:val="22"/>
                <w:szCs w:val="22"/>
              </w:rPr>
              <w:t>Крім того, зауважимо, що у пунктах 2.2.7 – 2.2.11 чинного Порядку (методики), розкриваються положення щодо оцінки серйозності порушення за критеріями, які перелічені у п.2.2.6 (всього 5 критеріїв - тип ліцензіата, величина ліцензіата, предмет порушення, тип постраждалої сторони, масштаб впливу порушення). Тож, оскільки п.2.2.6 не передбачено застосування для оцінки серйозності та характеру порушення такого критерію як «досвід ліцензіата», додавання нових положень, зазначених у цьому пункті, створює суперечності між положеннями документу.</w:t>
            </w:r>
          </w:p>
          <w:p w14:paraId="7E5BA9B6" w14:textId="77777777" w:rsidR="00894ECB" w:rsidRPr="00D927E4" w:rsidRDefault="00894ECB" w:rsidP="00894ECB">
            <w:pPr>
              <w:spacing w:after="120"/>
              <w:jc w:val="both"/>
              <w:rPr>
                <w:sz w:val="22"/>
                <w:szCs w:val="22"/>
              </w:rPr>
            </w:pPr>
          </w:p>
        </w:tc>
        <w:tc>
          <w:tcPr>
            <w:tcW w:w="3549" w:type="dxa"/>
          </w:tcPr>
          <w:p w14:paraId="1D8AB2AA" w14:textId="77777777" w:rsidR="00FD48F1" w:rsidRDefault="00FD48F1" w:rsidP="00D93C28">
            <w:pPr>
              <w:jc w:val="both"/>
              <w:rPr>
                <w:b/>
                <w:sz w:val="22"/>
                <w:szCs w:val="22"/>
                <w:shd w:val="clear" w:color="auto" w:fill="FFFFFF"/>
              </w:rPr>
            </w:pPr>
          </w:p>
          <w:p w14:paraId="6CF4EDDC" w14:textId="77777777" w:rsidR="00D93C28" w:rsidRDefault="00D93C28" w:rsidP="00D93C28">
            <w:pPr>
              <w:jc w:val="both"/>
              <w:rPr>
                <w:b/>
                <w:sz w:val="22"/>
                <w:szCs w:val="22"/>
                <w:shd w:val="clear" w:color="auto" w:fill="FFFFFF"/>
              </w:rPr>
            </w:pPr>
            <w:r w:rsidRPr="000C2DD6">
              <w:rPr>
                <w:b/>
                <w:sz w:val="22"/>
                <w:szCs w:val="22"/>
                <w:shd w:val="clear" w:color="auto" w:fill="FFFFFF"/>
              </w:rPr>
              <w:t>Не враховано</w:t>
            </w:r>
            <w:r w:rsidR="00FD48F1">
              <w:rPr>
                <w:b/>
                <w:sz w:val="22"/>
                <w:szCs w:val="22"/>
                <w:shd w:val="clear" w:color="auto" w:fill="FFFFFF"/>
              </w:rPr>
              <w:t xml:space="preserve"> (загальна позиція щодо усіх зауважень до цього пункту)</w:t>
            </w:r>
          </w:p>
          <w:p w14:paraId="0B56036A" w14:textId="77777777" w:rsidR="00D93C28" w:rsidRPr="009C7939" w:rsidRDefault="00D93C28" w:rsidP="00D93C28">
            <w:pPr>
              <w:jc w:val="both"/>
              <w:rPr>
                <w:sz w:val="22"/>
                <w:szCs w:val="22"/>
                <w:shd w:val="clear" w:color="auto" w:fill="FFFFFF"/>
              </w:rPr>
            </w:pPr>
          </w:p>
          <w:p w14:paraId="7DCDC1F6" w14:textId="77777777" w:rsidR="00894ECB" w:rsidRDefault="009C7939" w:rsidP="009C7939">
            <w:pPr>
              <w:jc w:val="both"/>
              <w:rPr>
                <w:sz w:val="22"/>
                <w:szCs w:val="22"/>
                <w:shd w:val="clear" w:color="auto" w:fill="FFFFFF"/>
              </w:rPr>
            </w:pPr>
            <w:r>
              <w:rPr>
                <w:sz w:val="22"/>
                <w:szCs w:val="22"/>
                <w:shd w:val="clear" w:color="auto" w:fill="FFFFFF"/>
              </w:rPr>
              <w:t xml:space="preserve">НКРЕКП не погоджується з твердженням, що </w:t>
            </w:r>
            <w:r w:rsidRPr="009C7939">
              <w:rPr>
                <w:sz w:val="22"/>
                <w:szCs w:val="22"/>
                <w:shd w:val="clear" w:color="auto" w:fill="FFFFFF"/>
              </w:rPr>
              <w:t>критері</w:t>
            </w:r>
            <w:r>
              <w:rPr>
                <w:sz w:val="22"/>
                <w:szCs w:val="22"/>
                <w:shd w:val="clear" w:color="auto" w:fill="FFFFFF"/>
              </w:rPr>
              <w:t>й</w:t>
            </w:r>
            <w:r w:rsidRPr="009C7939">
              <w:rPr>
                <w:sz w:val="22"/>
                <w:szCs w:val="22"/>
                <w:shd w:val="clear" w:color="auto" w:fill="FFFFFF"/>
              </w:rPr>
              <w:t xml:space="preserve"> «досвід ліцензіатів НКРЕКП»</w:t>
            </w:r>
            <w:r>
              <w:rPr>
                <w:sz w:val="22"/>
                <w:szCs w:val="22"/>
                <w:shd w:val="clear" w:color="auto" w:fill="FFFFFF"/>
              </w:rPr>
              <w:t xml:space="preserve"> є дискримінаційною </w:t>
            </w:r>
            <w:r w:rsidR="007D4953">
              <w:rPr>
                <w:sz w:val="22"/>
                <w:szCs w:val="22"/>
                <w:shd w:val="clear" w:color="auto" w:fill="FFFFFF"/>
              </w:rPr>
              <w:t>практикою</w:t>
            </w:r>
            <w:r>
              <w:rPr>
                <w:sz w:val="22"/>
                <w:szCs w:val="22"/>
                <w:shd w:val="clear" w:color="auto" w:fill="FFFFFF"/>
              </w:rPr>
              <w:t xml:space="preserve"> та </w:t>
            </w:r>
            <w:r>
              <w:rPr>
                <w:sz w:val="22"/>
                <w:szCs w:val="22"/>
                <w:shd w:val="clear" w:color="auto" w:fill="FFFFFF"/>
              </w:rPr>
              <w:lastRenderedPageBreak/>
              <w:t>ставить суб</w:t>
            </w:r>
            <w:r w:rsidRPr="004B5D74">
              <w:rPr>
                <w:sz w:val="22"/>
                <w:szCs w:val="22"/>
                <w:shd w:val="clear" w:color="auto" w:fill="FFFFFF"/>
              </w:rPr>
              <w:t>’</w:t>
            </w:r>
            <w:r>
              <w:rPr>
                <w:sz w:val="22"/>
                <w:szCs w:val="22"/>
                <w:shd w:val="clear" w:color="auto" w:fill="FFFFFF"/>
              </w:rPr>
              <w:t xml:space="preserve">єктів у різне становище відповідно до тривалості здійснення </w:t>
            </w:r>
            <w:r w:rsidR="00FD48F1">
              <w:rPr>
                <w:sz w:val="22"/>
                <w:szCs w:val="22"/>
                <w:shd w:val="clear" w:color="auto" w:fill="FFFFFF"/>
              </w:rPr>
              <w:t xml:space="preserve">ними </w:t>
            </w:r>
            <w:r>
              <w:rPr>
                <w:sz w:val="22"/>
                <w:szCs w:val="22"/>
                <w:shd w:val="clear" w:color="auto" w:fill="FFFFFF"/>
              </w:rPr>
              <w:t xml:space="preserve">відповідної ліцензованої діяльності, оскільки </w:t>
            </w:r>
            <w:r w:rsidR="00FD48F1">
              <w:rPr>
                <w:sz w:val="22"/>
                <w:szCs w:val="22"/>
                <w:shd w:val="clear" w:color="auto" w:fill="FFFFFF"/>
              </w:rPr>
              <w:t>даний критерій не встановлює жодних вимог чи обмежень щодо провадження ліцензованої діяльності.</w:t>
            </w:r>
          </w:p>
          <w:p w14:paraId="5996ED02" w14:textId="77777777" w:rsidR="00FD48F1" w:rsidRDefault="00FD48F1" w:rsidP="00FD48F1">
            <w:pPr>
              <w:jc w:val="both"/>
              <w:rPr>
                <w:sz w:val="22"/>
                <w:szCs w:val="22"/>
                <w:shd w:val="clear" w:color="auto" w:fill="FFFFFF"/>
              </w:rPr>
            </w:pPr>
            <w:r>
              <w:rPr>
                <w:sz w:val="22"/>
                <w:szCs w:val="22"/>
                <w:shd w:val="clear" w:color="auto" w:fill="FFFFFF"/>
              </w:rPr>
              <w:t xml:space="preserve">Як зазначено </w:t>
            </w:r>
            <w:r w:rsidRPr="00FD48F1">
              <w:rPr>
                <w:sz w:val="22"/>
                <w:szCs w:val="22"/>
                <w:shd w:val="clear" w:color="auto" w:fill="FFFFFF"/>
              </w:rPr>
              <w:t>ТОВ «РОЕК»</w:t>
            </w:r>
            <w:r>
              <w:rPr>
                <w:sz w:val="22"/>
                <w:szCs w:val="22"/>
                <w:shd w:val="clear" w:color="auto" w:fill="FFFFFF"/>
              </w:rPr>
              <w:t>: «</w:t>
            </w:r>
            <w:r w:rsidRPr="00FD48F1">
              <w:rPr>
                <w:sz w:val="22"/>
                <w:szCs w:val="22"/>
                <w:shd w:val="clear" w:color="auto" w:fill="FFFFFF"/>
              </w:rPr>
              <w:t>всі учасники енергетичного ринку повинні дотримуватись ліцензійних умов провадження діяльності у сферах енергетики та комунальних послуг</w:t>
            </w:r>
            <w:r>
              <w:rPr>
                <w:sz w:val="22"/>
                <w:szCs w:val="22"/>
                <w:shd w:val="clear" w:color="auto" w:fill="FFFFFF"/>
              </w:rPr>
              <w:t>».</w:t>
            </w:r>
          </w:p>
          <w:p w14:paraId="0E0F3C46" w14:textId="77777777" w:rsidR="00FD48F1" w:rsidRDefault="00FD48F1" w:rsidP="00FD48F1">
            <w:pPr>
              <w:jc w:val="both"/>
              <w:rPr>
                <w:sz w:val="22"/>
                <w:szCs w:val="22"/>
                <w:shd w:val="clear" w:color="auto" w:fill="FFFFFF"/>
              </w:rPr>
            </w:pPr>
            <w:r>
              <w:rPr>
                <w:sz w:val="22"/>
                <w:szCs w:val="22"/>
                <w:shd w:val="clear" w:color="auto" w:fill="FFFFFF"/>
              </w:rPr>
              <w:t xml:space="preserve">Зазначений критерій лише </w:t>
            </w:r>
            <w:r w:rsidR="00C4480F">
              <w:rPr>
                <w:sz w:val="22"/>
                <w:szCs w:val="22"/>
                <w:shd w:val="clear" w:color="auto" w:fill="FFFFFF"/>
              </w:rPr>
              <w:t>впливає на можливий розмір штрафу за відповідне порушення в залежності від досвіду ліцензіата, який його вчинив.</w:t>
            </w:r>
          </w:p>
          <w:p w14:paraId="7987F509" w14:textId="77777777" w:rsidR="00C4480F" w:rsidRDefault="00C4480F" w:rsidP="00FD48F1">
            <w:pPr>
              <w:jc w:val="both"/>
              <w:rPr>
                <w:sz w:val="22"/>
                <w:szCs w:val="22"/>
                <w:shd w:val="clear" w:color="auto" w:fill="FFFFFF"/>
              </w:rPr>
            </w:pPr>
            <w:r>
              <w:rPr>
                <w:sz w:val="22"/>
                <w:szCs w:val="22"/>
                <w:shd w:val="clear" w:color="auto" w:fill="FFFFFF"/>
              </w:rPr>
              <w:t>Введення такого критерію спрямоване, в тому числі, на зменшенням можливого розміру штрафу для ліцензіатів, які є «новачками» шляхом застосування мінімального балу.</w:t>
            </w:r>
          </w:p>
          <w:p w14:paraId="6FD04F88" w14:textId="77777777" w:rsidR="00C4480F" w:rsidRDefault="00C4480F" w:rsidP="00FD48F1">
            <w:pPr>
              <w:jc w:val="both"/>
              <w:rPr>
                <w:sz w:val="22"/>
                <w:szCs w:val="22"/>
                <w:shd w:val="clear" w:color="auto" w:fill="FFFFFF"/>
              </w:rPr>
            </w:pPr>
          </w:p>
          <w:p w14:paraId="2587F896" w14:textId="77777777" w:rsidR="00C4480F" w:rsidRDefault="00C4480F" w:rsidP="00FD48F1">
            <w:pPr>
              <w:jc w:val="both"/>
              <w:rPr>
                <w:sz w:val="22"/>
                <w:szCs w:val="22"/>
                <w:shd w:val="clear" w:color="auto" w:fill="FFFFFF"/>
              </w:rPr>
            </w:pPr>
          </w:p>
          <w:p w14:paraId="6C5866C9" w14:textId="77777777" w:rsidR="00C4480F" w:rsidRDefault="00C4480F" w:rsidP="00FD48F1">
            <w:pPr>
              <w:jc w:val="both"/>
              <w:rPr>
                <w:sz w:val="22"/>
                <w:szCs w:val="22"/>
                <w:shd w:val="clear" w:color="auto" w:fill="FFFFFF"/>
              </w:rPr>
            </w:pPr>
          </w:p>
          <w:p w14:paraId="166C1420" w14:textId="77777777" w:rsidR="00C4480F" w:rsidRDefault="00C4480F" w:rsidP="00FD48F1">
            <w:pPr>
              <w:jc w:val="both"/>
              <w:rPr>
                <w:sz w:val="22"/>
                <w:szCs w:val="22"/>
                <w:shd w:val="clear" w:color="auto" w:fill="FFFFFF"/>
              </w:rPr>
            </w:pPr>
          </w:p>
          <w:p w14:paraId="4B4CC0B4" w14:textId="77777777" w:rsidR="00C4480F" w:rsidRDefault="00C4480F" w:rsidP="00FD48F1">
            <w:pPr>
              <w:jc w:val="both"/>
              <w:rPr>
                <w:sz w:val="22"/>
                <w:szCs w:val="22"/>
                <w:shd w:val="clear" w:color="auto" w:fill="FFFFFF"/>
              </w:rPr>
            </w:pPr>
          </w:p>
          <w:p w14:paraId="5A899241" w14:textId="77777777" w:rsidR="00C4480F" w:rsidRDefault="00C4480F" w:rsidP="00FD48F1">
            <w:pPr>
              <w:jc w:val="both"/>
              <w:rPr>
                <w:sz w:val="22"/>
                <w:szCs w:val="22"/>
                <w:shd w:val="clear" w:color="auto" w:fill="FFFFFF"/>
              </w:rPr>
            </w:pPr>
          </w:p>
          <w:p w14:paraId="6ABCB1C9" w14:textId="77777777" w:rsidR="00C4480F" w:rsidRDefault="00C4480F" w:rsidP="00FD48F1">
            <w:pPr>
              <w:jc w:val="both"/>
              <w:rPr>
                <w:sz w:val="22"/>
                <w:szCs w:val="22"/>
                <w:shd w:val="clear" w:color="auto" w:fill="FFFFFF"/>
              </w:rPr>
            </w:pPr>
          </w:p>
          <w:p w14:paraId="63FD549E" w14:textId="77777777" w:rsidR="00C4480F" w:rsidRDefault="00C4480F" w:rsidP="00FD48F1">
            <w:pPr>
              <w:jc w:val="both"/>
              <w:rPr>
                <w:sz w:val="22"/>
                <w:szCs w:val="22"/>
                <w:shd w:val="clear" w:color="auto" w:fill="FFFFFF"/>
              </w:rPr>
            </w:pPr>
          </w:p>
          <w:p w14:paraId="08A4211F" w14:textId="77777777" w:rsidR="00C4480F" w:rsidRDefault="00C4480F" w:rsidP="00FD48F1">
            <w:pPr>
              <w:jc w:val="both"/>
              <w:rPr>
                <w:sz w:val="22"/>
                <w:szCs w:val="22"/>
                <w:shd w:val="clear" w:color="auto" w:fill="FFFFFF"/>
              </w:rPr>
            </w:pPr>
          </w:p>
          <w:p w14:paraId="1B974F12" w14:textId="77777777" w:rsidR="00C4480F" w:rsidRDefault="00C4480F" w:rsidP="00FD48F1">
            <w:pPr>
              <w:jc w:val="both"/>
              <w:rPr>
                <w:sz w:val="22"/>
                <w:szCs w:val="22"/>
                <w:shd w:val="clear" w:color="auto" w:fill="FFFFFF"/>
              </w:rPr>
            </w:pPr>
          </w:p>
          <w:p w14:paraId="16C130D8" w14:textId="77777777" w:rsidR="00C4480F" w:rsidRDefault="00C4480F" w:rsidP="00FD48F1">
            <w:pPr>
              <w:jc w:val="both"/>
              <w:rPr>
                <w:sz w:val="22"/>
                <w:szCs w:val="22"/>
                <w:shd w:val="clear" w:color="auto" w:fill="FFFFFF"/>
              </w:rPr>
            </w:pPr>
          </w:p>
          <w:p w14:paraId="0C7B9701" w14:textId="77777777" w:rsidR="00C4480F" w:rsidRDefault="00C4480F" w:rsidP="00FD48F1">
            <w:pPr>
              <w:jc w:val="both"/>
              <w:rPr>
                <w:sz w:val="22"/>
                <w:szCs w:val="22"/>
                <w:shd w:val="clear" w:color="auto" w:fill="FFFFFF"/>
              </w:rPr>
            </w:pPr>
          </w:p>
          <w:p w14:paraId="7C5CAE3E" w14:textId="77777777" w:rsidR="00C4480F" w:rsidRDefault="00C4480F" w:rsidP="00FD48F1">
            <w:pPr>
              <w:jc w:val="both"/>
              <w:rPr>
                <w:sz w:val="22"/>
                <w:szCs w:val="22"/>
                <w:shd w:val="clear" w:color="auto" w:fill="FFFFFF"/>
              </w:rPr>
            </w:pPr>
          </w:p>
          <w:p w14:paraId="0A957929" w14:textId="77777777" w:rsidR="00C4480F" w:rsidRDefault="00C4480F" w:rsidP="00FD48F1">
            <w:pPr>
              <w:jc w:val="both"/>
              <w:rPr>
                <w:sz w:val="22"/>
                <w:szCs w:val="22"/>
                <w:shd w:val="clear" w:color="auto" w:fill="FFFFFF"/>
              </w:rPr>
            </w:pPr>
          </w:p>
          <w:p w14:paraId="2355DE75" w14:textId="77777777" w:rsidR="00C4480F" w:rsidRDefault="00C4480F" w:rsidP="00FD48F1">
            <w:pPr>
              <w:jc w:val="both"/>
              <w:rPr>
                <w:sz w:val="22"/>
                <w:szCs w:val="22"/>
                <w:shd w:val="clear" w:color="auto" w:fill="FFFFFF"/>
              </w:rPr>
            </w:pPr>
          </w:p>
          <w:p w14:paraId="3043E9B3" w14:textId="77777777" w:rsidR="00C4480F" w:rsidRDefault="00C4480F" w:rsidP="00FD48F1">
            <w:pPr>
              <w:jc w:val="both"/>
              <w:rPr>
                <w:sz w:val="22"/>
                <w:szCs w:val="22"/>
                <w:shd w:val="clear" w:color="auto" w:fill="FFFFFF"/>
              </w:rPr>
            </w:pPr>
          </w:p>
          <w:p w14:paraId="38693E89" w14:textId="77777777" w:rsidR="00C4480F" w:rsidRDefault="00C4480F" w:rsidP="00FD48F1">
            <w:pPr>
              <w:jc w:val="both"/>
              <w:rPr>
                <w:sz w:val="22"/>
                <w:szCs w:val="22"/>
                <w:shd w:val="clear" w:color="auto" w:fill="FFFFFF"/>
              </w:rPr>
            </w:pPr>
          </w:p>
          <w:p w14:paraId="3890E4B0" w14:textId="77777777" w:rsidR="00C4480F" w:rsidRDefault="00C4480F" w:rsidP="00FD48F1">
            <w:pPr>
              <w:jc w:val="both"/>
              <w:rPr>
                <w:sz w:val="22"/>
                <w:szCs w:val="22"/>
                <w:shd w:val="clear" w:color="auto" w:fill="FFFFFF"/>
              </w:rPr>
            </w:pPr>
          </w:p>
          <w:p w14:paraId="29A20264" w14:textId="77777777" w:rsidR="00C4480F" w:rsidRDefault="00C4480F" w:rsidP="00FD48F1">
            <w:pPr>
              <w:jc w:val="both"/>
              <w:rPr>
                <w:sz w:val="22"/>
                <w:szCs w:val="22"/>
                <w:shd w:val="clear" w:color="auto" w:fill="FFFFFF"/>
              </w:rPr>
            </w:pPr>
          </w:p>
          <w:p w14:paraId="4742709F" w14:textId="77777777" w:rsidR="00C4480F" w:rsidRDefault="00C4480F" w:rsidP="00FD48F1">
            <w:pPr>
              <w:jc w:val="both"/>
              <w:rPr>
                <w:sz w:val="22"/>
                <w:szCs w:val="22"/>
                <w:shd w:val="clear" w:color="auto" w:fill="FFFFFF"/>
              </w:rPr>
            </w:pPr>
          </w:p>
          <w:p w14:paraId="5AE769BD" w14:textId="77777777" w:rsidR="00C4480F" w:rsidRDefault="00C4480F" w:rsidP="00FD48F1">
            <w:pPr>
              <w:jc w:val="both"/>
              <w:rPr>
                <w:sz w:val="22"/>
                <w:szCs w:val="22"/>
                <w:shd w:val="clear" w:color="auto" w:fill="FFFFFF"/>
              </w:rPr>
            </w:pPr>
          </w:p>
          <w:p w14:paraId="7AD059AA" w14:textId="77777777" w:rsidR="00C4480F" w:rsidRDefault="00C4480F" w:rsidP="00FD48F1">
            <w:pPr>
              <w:jc w:val="both"/>
              <w:rPr>
                <w:sz w:val="22"/>
                <w:szCs w:val="22"/>
                <w:shd w:val="clear" w:color="auto" w:fill="FFFFFF"/>
              </w:rPr>
            </w:pPr>
          </w:p>
          <w:p w14:paraId="260CBF14" w14:textId="77777777" w:rsidR="00C4480F" w:rsidRDefault="00C4480F" w:rsidP="00FD48F1">
            <w:pPr>
              <w:jc w:val="both"/>
              <w:rPr>
                <w:sz w:val="22"/>
                <w:szCs w:val="22"/>
                <w:shd w:val="clear" w:color="auto" w:fill="FFFFFF"/>
              </w:rPr>
            </w:pPr>
          </w:p>
          <w:p w14:paraId="520B2088" w14:textId="77777777" w:rsidR="00C4480F" w:rsidRDefault="00C4480F" w:rsidP="00FD48F1">
            <w:pPr>
              <w:jc w:val="both"/>
              <w:rPr>
                <w:sz w:val="22"/>
                <w:szCs w:val="22"/>
                <w:shd w:val="clear" w:color="auto" w:fill="FFFFFF"/>
              </w:rPr>
            </w:pPr>
          </w:p>
          <w:p w14:paraId="0FEBD913" w14:textId="77777777" w:rsidR="00C4480F" w:rsidRDefault="00C4480F" w:rsidP="00FD48F1">
            <w:pPr>
              <w:jc w:val="both"/>
              <w:rPr>
                <w:sz w:val="22"/>
                <w:szCs w:val="22"/>
                <w:shd w:val="clear" w:color="auto" w:fill="FFFFFF"/>
              </w:rPr>
            </w:pPr>
          </w:p>
          <w:p w14:paraId="65F3754F" w14:textId="77777777" w:rsidR="00C4480F" w:rsidRDefault="00C4480F" w:rsidP="00FD48F1">
            <w:pPr>
              <w:jc w:val="both"/>
              <w:rPr>
                <w:sz w:val="22"/>
                <w:szCs w:val="22"/>
                <w:shd w:val="clear" w:color="auto" w:fill="FFFFFF"/>
              </w:rPr>
            </w:pPr>
          </w:p>
          <w:p w14:paraId="47E83582" w14:textId="77777777" w:rsidR="00C4480F" w:rsidRDefault="00C4480F" w:rsidP="00FD48F1">
            <w:pPr>
              <w:jc w:val="both"/>
              <w:rPr>
                <w:sz w:val="22"/>
                <w:szCs w:val="22"/>
                <w:shd w:val="clear" w:color="auto" w:fill="FFFFFF"/>
              </w:rPr>
            </w:pPr>
          </w:p>
          <w:p w14:paraId="3259A5F4" w14:textId="77777777" w:rsidR="00C4480F" w:rsidRDefault="00C4480F" w:rsidP="00FD48F1">
            <w:pPr>
              <w:jc w:val="both"/>
              <w:rPr>
                <w:sz w:val="22"/>
                <w:szCs w:val="22"/>
                <w:shd w:val="clear" w:color="auto" w:fill="FFFFFF"/>
              </w:rPr>
            </w:pPr>
          </w:p>
          <w:p w14:paraId="3440406E" w14:textId="77777777" w:rsidR="00C4480F" w:rsidRDefault="00C4480F" w:rsidP="00FD48F1">
            <w:pPr>
              <w:jc w:val="both"/>
              <w:rPr>
                <w:sz w:val="22"/>
                <w:szCs w:val="22"/>
                <w:shd w:val="clear" w:color="auto" w:fill="FFFFFF"/>
              </w:rPr>
            </w:pPr>
          </w:p>
          <w:p w14:paraId="1FF49E0B" w14:textId="77777777" w:rsidR="00C4480F" w:rsidRDefault="00C4480F" w:rsidP="00FD48F1">
            <w:pPr>
              <w:jc w:val="both"/>
              <w:rPr>
                <w:sz w:val="22"/>
                <w:szCs w:val="22"/>
                <w:shd w:val="clear" w:color="auto" w:fill="FFFFFF"/>
              </w:rPr>
            </w:pPr>
          </w:p>
          <w:p w14:paraId="065FDCEC" w14:textId="77777777" w:rsidR="00C4480F" w:rsidRDefault="00C4480F" w:rsidP="00FD48F1">
            <w:pPr>
              <w:jc w:val="both"/>
              <w:rPr>
                <w:sz w:val="22"/>
                <w:szCs w:val="22"/>
                <w:shd w:val="clear" w:color="auto" w:fill="FFFFFF"/>
              </w:rPr>
            </w:pPr>
          </w:p>
          <w:p w14:paraId="26AB03CE" w14:textId="77777777" w:rsidR="00C4480F" w:rsidRDefault="00C4480F" w:rsidP="00FD48F1">
            <w:pPr>
              <w:jc w:val="both"/>
              <w:rPr>
                <w:sz w:val="22"/>
                <w:szCs w:val="22"/>
                <w:shd w:val="clear" w:color="auto" w:fill="FFFFFF"/>
              </w:rPr>
            </w:pPr>
          </w:p>
          <w:p w14:paraId="09BDC6E9" w14:textId="77777777" w:rsidR="00C4480F" w:rsidRDefault="00C4480F" w:rsidP="00FD48F1">
            <w:pPr>
              <w:jc w:val="both"/>
              <w:rPr>
                <w:sz w:val="22"/>
                <w:szCs w:val="22"/>
                <w:shd w:val="clear" w:color="auto" w:fill="FFFFFF"/>
              </w:rPr>
            </w:pPr>
          </w:p>
          <w:p w14:paraId="5084A0A6" w14:textId="77777777" w:rsidR="00C4480F" w:rsidRDefault="00C4480F" w:rsidP="00FD48F1">
            <w:pPr>
              <w:jc w:val="both"/>
              <w:rPr>
                <w:sz w:val="22"/>
                <w:szCs w:val="22"/>
                <w:shd w:val="clear" w:color="auto" w:fill="FFFFFF"/>
              </w:rPr>
            </w:pPr>
          </w:p>
          <w:p w14:paraId="0B13EF80" w14:textId="77777777" w:rsidR="00C4480F" w:rsidRDefault="00C4480F" w:rsidP="00FD48F1">
            <w:pPr>
              <w:jc w:val="both"/>
              <w:rPr>
                <w:sz w:val="22"/>
                <w:szCs w:val="22"/>
                <w:shd w:val="clear" w:color="auto" w:fill="FFFFFF"/>
              </w:rPr>
            </w:pPr>
          </w:p>
          <w:p w14:paraId="16D7CA42" w14:textId="77777777" w:rsidR="00C4480F" w:rsidRDefault="00C4480F" w:rsidP="00FD48F1">
            <w:pPr>
              <w:jc w:val="both"/>
              <w:rPr>
                <w:sz w:val="22"/>
                <w:szCs w:val="22"/>
                <w:shd w:val="clear" w:color="auto" w:fill="FFFFFF"/>
              </w:rPr>
            </w:pPr>
          </w:p>
          <w:p w14:paraId="6F7707C3" w14:textId="77777777" w:rsidR="00C4480F" w:rsidRDefault="00C4480F" w:rsidP="00FD48F1">
            <w:pPr>
              <w:jc w:val="both"/>
              <w:rPr>
                <w:sz w:val="22"/>
                <w:szCs w:val="22"/>
                <w:shd w:val="clear" w:color="auto" w:fill="FFFFFF"/>
              </w:rPr>
            </w:pPr>
          </w:p>
          <w:p w14:paraId="4471B01C" w14:textId="77777777" w:rsidR="00C4480F" w:rsidRPr="00C4480F" w:rsidRDefault="00C4480F" w:rsidP="00FD48F1">
            <w:pPr>
              <w:jc w:val="both"/>
              <w:rPr>
                <w:b/>
                <w:sz w:val="22"/>
                <w:szCs w:val="22"/>
                <w:shd w:val="clear" w:color="auto" w:fill="FFFFFF"/>
              </w:rPr>
            </w:pPr>
            <w:r w:rsidRPr="00C4480F">
              <w:rPr>
                <w:b/>
                <w:sz w:val="22"/>
                <w:szCs w:val="22"/>
                <w:shd w:val="clear" w:color="auto" w:fill="FFFFFF"/>
              </w:rPr>
              <w:t>Не враховано</w:t>
            </w:r>
          </w:p>
          <w:p w14:paraId="587E0E24" w14:textId="77777777" w:rsidR="00C4480F" w:rsidRDefault="00C4480F" w:rsidP="00FD48F1">
            <w:pPr>
              <w:jc w:val="both"/>
              <w:rPr>
                <w:sz w:val="22"/>
                <w:szCs w:val="22"/>
                <w:shd w:val="clear" w:color="auto" w:fill="FFFFFF"/>
              </w:rPr>
            </w:pPr>
          </w:p>
          <w:p w14:paraId="76F17176" w14:textId="77777777" w:rsidR="00C4480F" w:rsidRPr="009C7939" w:rsidRDefault="00B32205" w:rsidP="00FD48F1">
            <w:pPr>
              <w:jc w:val="both"/>
              <w:rPr>
                <w:sz w:val="22"/>
                <w:szCs w:val="22"/>
                <w:shd w:val="clear" w:color="auto" w:fill="FFFFFF"/>
              </w:rPr>
            </w:pPr>
            <w:r>
              <w:rPr>
                <w:sz w:val="22"/>
                <w:szCs w:val="22"/>
                <w:shd w:val="clear" w:color="auto" w:fill="FFFFFF"/>
              </w:rPr>
              <w:t>Оскільки перевірка (</w:t>
            </w:r>
            <w:r w:rsidR="008067FE">
              <w:rPr>
                <w:sz w:val="22"/>
                <w:szCs w:val="22"/>
                <w:shd w:val="clear" w:color="auto" w:fill="FFFFFF"/>
              </w:rPr>
              <w:t xml:space="preserve">наприклад, </w:t>
            </w:r>
            <w:r>
              <w:rPr>
                <w:sz w:val="22"/>
                <w:szCs w:val="22"/>
                <w:shd w:val="clear" w:color="auto" w:fill="FFFFFF"/>
              </w:rPr>
              <w:t xml:space="preserve">позапланова) може здійснюватися щодо ліцензіатів, які здійснюють діяльність менше 1 </w:t>
            </w:r>
            <w:r w:rsidR="008067FE">
              <w:rPr>
                <w:sz w:val="22"/>
                <w:szCs w:val="22"/>
                <w:shd w:val="clear" w:color="auto" w:fill="FFFFFF"/>
              </w:rPr>
              <w:t>року</w:t>
            </w:r>
          </w:p>
        </w:tc>
      </w:tr>
      <w:tr w:rsidR="00894ECB" w:rsidRPr="00D927E4" w14:paraId="703ADCC4" w14:textId="77777777" w:rsidTr="00894ECB">
        <w:trPr>
          <w:trHeight w:val="595"/>
        </w:trPr>
        <w:tc>
          <w:tcPr>
            <w:tcW w:w="5839" w:type="dxa"/>
          </w:tcPr>
          <w:p w14:paraId="762250CD" w14:textId="77777777" w:rsidR="00894ECB" w:rsidRPr="00D927E4" w:rsidRDefault="00894ECB" w:rsidP="00894ECB">
            <w:pPr>
              <w:spacing w:after="160" w:line="259" w:lineRule="auto"/>
              <w:ind w:firstLine="240"/>
              <w:rPr>
                <w:rFonts w:eastAsia="Calibri"/>
                <w:b/>
                <w:color w:val="000000"/>
                <w:sz w:val="22"/>
                <w:szCs w:val="22"/>
                <w:lang w:eastAsia="en-US"/>
              </w:rPr>
            </w:pPr>
          </w:p>
          <w:p w14:paraId="1D82B951" w14:textId="77777777" w:rsidR="00894ECB" w:rsidRPr="00D927E4" w:rsidRDefault="00894ECB" w:rsidP="00894ECB">
            <w:pPr>
              <w:spacing w:after="160" w:line="259" w:lineRule="auto"/>
              <w:ind w:firstLine="240"/>
              <w:rPr>
                <w:rFonts w:eastAsia="Calibri"/>
                <w:color w:val="000000"/>
                <w:sz w:val="22"/>
                <w:szCs w:val="22"/>
                <w:lang w:eastAsia="en-US"/>
              </w:rPr>
            </w:pPr>
            <w:r w:rsidRPr="00D927E4">
              <w:rPr>
                <w:rFonts w:eastAsia="Calibri"/>
                <w:b/>
                <w:color w:val="000000"/>
                <w:sz w:val="22"/>
                <w:szCs w:val="22"/>
                <w:lang w:eastAsia="en-US"/>
              </w:rPr>
              <w:t>2.2.13.</w:t>
            </w:r>
            <w:r w:rsidRPr="00D927E4">
              <w:rPr>
                <w:rFonts w:eastAsia="Calibri"/>
                <w:color w:val="000000"/>
                <w:sz w:val="22"/>
                <w:szCs w:val="22"/>
                <w:lang w:eastAsia="en-US"/>
              </w:rPr>
              <w:t xml:space="preserve"> Значення балів, що присвоєні відповідним критеріям, наведеним у пунктах 2.2.7 - </w:t>
            </w:r>
            <w:r w:rsidRPr="00D927E4">
              <w:rPr>
                <w:rFonts w:eastAsia="Calibri"/>
                <w:b/>
                <w:color w:val="000000"/>
                <w:sz w:val="22"/>
                <w:szCs w:val="22"/>
                <w:lang w:eastAsia="en-US"/>
              </w:rPr>
              <w:t>2.2.12</w:t>
            </w:r>
            <w:r w:rsidRPr="00D927E4">
              <w:rPr>
                <w:rFonts w:eastAsia="Calibri"/>
                <w:color w:val="000000"/>
                <w:sz w:val="22"/>
                <w:szCs w:val="22"/>
                <w:lang w:eastAsia="en-US"/>
              </w:rPr>
              <w:t xml:space="preserve"> цієї глави, підсумовуються і отримана сума балів становить оцінку серйозності та характеру порушення та визначає такі величини відсотків від максимального розміру штрафу, передбаченого чинним законодавством, що застосовуються для цілей формули 1.</w:t>
            </w:r>
          </w:p>
          <w:p w14:paraId="3B0C212F" w14:textId="77777777" w:rsidR="00894ECB" w:rsidRPr="00D927E4" w:rsidRDefault="00894ECB" w:rsidP="00894ECB">
            <w:pPr>
              <w:spacing w:after="160" w:line="259" w:lineRule="auto"/>
              <w:ind w:firstLine="240"/>
              <w:rPr>
                <w:rFonts w:eastAsia="Calibri"/>
                <w:sz w:val="22"/>
                <w:szCs w:val="22"/>
                <w:lang w:eastAsia="en-US"/>
              </w:rPr>
            </w:pPr>
          </w:p>
          <w:tbl>
            <w:tblPr>
              <w:tblW w:w="5556" w:type="dxa"/>
              <w:tblCellSpacing w:w="0" w:type="auto"/>
              <w:tblLayout w:type="fixed"/>
              <w:tblLook w:val="04A0" w:firstRow="1" w:lastRow="0" w:firstColumn="1" w:lastColumn="0" w:noHBand="0" w:noVBand="1"/>
            </w:tblPr>
            <w:tblGrid>
              <w:gridCol w:w="2778"/>
              <w:gridCol w:w="2778"/>
            </w:tblGrid>
            <w:tr w:rsidR="00894ECB" w:rsidRPr="00D927E4" w14:paraId="32C3E8B3" w14:textId="77777777" w:rsidTr="0020079F">
              <w:trPr>
                <w:trHeight w:val="120"/>
                <w:tblCellSpacing w:w="0" w:type="auto"/>
              </w:trPr>
              <w:tc>
                <w:tcPr>
                  <w:tcW w:w="2778" w:type="dxa"/>
                  <w:vAlign w:val="center"/>
                </w:tcPr>
                <w:p w14:paraId="5B61C9DC" w14:textId="77777777" w:rsidR="00894ECB" w:rsidRPr="00D927E4" w:rsidRDefault="00894ECB" w:rsidP="00894ECB">
                  <w:pPr>
                    <w:spacing w:line="259" w:lineRule="auto"/>
                    <w:jc w:val="center"/>
                    <w:rPr>
                      <w:rFonts w:eastAsia="Calibri"/>
                      <w:b/>
                      <w:sz w:val="22"/>
                      <w:szCs w:val="22"/>
                      <w:lang w:eastAsia="en-US"/>
                    </w:rPr>
                  </w:pPr>
                  <w:r w:rsidRPr="00D927E4">
                    <w:rPr>
                      <w:rFonts w:eastAsia="Calibri"/>
                      <w:b/>
                      <w:color w:val="000000"/>
                      <w:sz w:val="22"/>
                      <w:szCs w:val="22"/>
                      <w:lang w:eastAsia="en-US"/>
                    </w:rPr>
                    <w:t>Сума оцінки серйозності та характеру (бали)</w:t>
                  </w:r>
                </w:p>
              </w:tc>
              <w:tc>
                <w:tcPr>
                  <w:tcW w:w="2778" w:type="dxa"/>
                  <w:vAlign w:val="center"/>
                </w:tcPr>
                <w:p w14:paraId="5189E931" w14:textId="77777777" w:rsidR="00894ECB" w:rsidRPr="00D927E4" w:rsidRDefault="00894ECB" w:rsidP="00894ECB">
                  <w:pPr>
                    <w:spacing w:line="259" w:lineRule="auto"/>
                    <w:jc w:val="center"/>
                    <w:rPr>
                      <w:rFonts w:eastAsia="Calibri"/>
                      <w:b/>
                      <w:sz w:val="22"/>
                      <w:szCs w:val="22"/>
                      <w:lang w:eastAsia="en-US"/>
                    </w:rPr>
                  </w:pPr>
                  <w:r w:rsidRPr="00D927E4">
                    <w:rPr>
                      <w:rFonts w:eastAsia="Calibri"/>
                      <w:b/>
                      <w:color w:val="000000"/>
                      <w:sz w:val="22"/>
                      <w:szCs w:val="22"/>
                      <w:lang w:eastAsia="en-US"/>
                    </w:rPr>
                    <w:t>Відсоток серйозності та характеру порушення</w:t>
                  </w:r>
                </w:p>
              </w:tc>
            </w:tr>
            <w:tr w:rsidR="00894ECB" w:rsidRPr="00D927E4" w14:paraId="07B40DAC" w14:textId="77777777" w:rsidTr="0020079F">
              <w:trPr>
                <w:trHeight w:val="120"/>
                <w:tblCellSpacing w:w="0" w:type="auto"/>
              </w:trPr>
              <w:tc>
                <w:tcPr>
                  <w:tcW w:w="2778" w:type="dxa"/>
                  <w:vAlign w:val="center"/>
                </w:tcPr>
                <w:p w14:paraId="20C2E416" w14:textId="77777777" w:rsidR="00894ECB" w:rsidRPr="00D927E4" w:rsidRDefault="00894ECB" w:rsidP="00894ECB">
                  <w:pPr>
                    <w:spacing w:line="259" w:lineRule="auto"/>
                    <w:jc w:val="center"/>
                    <w:rPr>
                      <w:rFonts w:eastAsia="Calibri"/>
                      <w:b/>
                      <w:sz w:val="22"/>
                      <w:szCs w:val="22"/>
                      <w:lang w:eastAsia="en-US"/>
                    </w:rPr>
                  </w:pPr>
                  <w:r w:rsidRPr="00D927E4">
                    <w:rPr>
                      <w:rFonts w:eastAsia="Calibri"/>
                      <w:b/>
                      <w:color w:val="000000"/>
                      <w:sz w:val="22"/>
                      <w:szCs w:val="22"/>
                      <w:lang w:eastAsia="en-US"/>
                    </w:rPr>
                    <w:t>5 - 8</w:t>
                  </w:r>
                </w:p>
              </w:tc>
              <w:tc>
                <w:tcPr>
                  <w:tcW w:w="2778" w:type="dxa"/>
                  <w:vAlign w:val="center"/>
                </w:tcPr>
                <w:p w14:paraId="6FB4D749" w14:textId="77777777" w:rsidR="00894ECB" w:rsidRPr="00D927E4" w:rsidRDefault="00894ECB" w:rsidP="00894ECB">
                  <w:pPr>
                    <w:spacing w:line="259" w:lineRule="auto"/>
                    <w:jc w:val="center"/>
                    <w:rPr>
                      <w:rFonts w:eastAsia="Calibri"/>
                      <w:b/>
                      <w:sz w:val="22"/>
                      <w:szCs w:val="22"/>
                      <w:lang w:eastAsia="en-US"/>
                    </w:rPr>
                  </w:pPr>
                  <w:r w:rsidRPr="00D927E4">
                    <w:rPr>
                      <w:rFonts w:eastAsia="Calibri"/>
                      <w:b/>
                      <w:color w:val="000000"/>
                      <w:sz w:val="22"/>
                      <w:szCs w:val="22"/>
                      <w:lang w:eastAsia="en-US"/>
                    </w:rPr>
                    <w:t>3 %</w:t>
                  </w:r>
                </w:p>
              </w:tc>
            </w:tr>
            <w:tr w:rsidR="00894ECB" w:rsidRPr="00D927E4" w14:paraId="3F5B8D60" w14:textId="77777777" w:rsidTr="0020079F">
              <w:trPr>
                <w:trHeight w:val="120"/>
                <w:tblCellSpacing w:w="0" w:type="auto"/>
              </w:trPr>
              <w:tc>
                <w:tcPr>
                  <w:tcW w:w="2778" w:type="dxa"/>
                  <w:vAlign w:val="center"/>
                </w:tcPr>
                <w:p w14:paraId="217D4698" w14:textId="77777777" w:rsidR="00894ECB" w:rsidRPr="00D927E4" w:rsidRDefault="00894ECB" w:rsidP="00894ECB">
                  <w:pPr>
                    <w:spacing w:line="259" w:lineRule="auto"/>
                    <w:jc w:val="center"/>
                    <w:rPr>
                      <w:rFonts w:eastAsia="Calibri"/>
                      <w:b/>
                      <w:sz w:val="22"/>
                      <w:szCs w:val="22"/>
                      <w:lang w:eastAsia="en-US"/>
                    </w:rPr>
                  </w:pPr>
                  <w:r w:rsidRPr="00D927E4">
                    <w:rPr>
                      <w:rFonts w:eastAsia="Calibri"/>
                      <w:b/>
                      <w:color w:val="000000"/>
                      <w:sz w:val="22"/>
                      <w:szCs w:val="22"/>
                      <w:lang w:eastAsia="en-US"/>
                    </w:rPr>
                    <w:t>9 - 12</w:t>
                  </w:r>
                </w:p>
              </w:tc>
              <w:tc>
                <w:tcPr>
                  <w:tcW w:w="2778" w:type="dxa"/>
                  <w:vAlign w:val="center"/>
                </w:tcPr>
                <w:p w14:paraId="5E09F727" w14:textId="77777777" w:rsidR="00894ECB" w:rsidRPr="00D927E4" w:rsidRDefault="00894ECB" w:rsidP="00894ECB">
                  <w:pPr>
                    <w:spacing w:line="259" w:lineRule="auto"/>
                    <w:jc w:val="center"/>
                    <w:rPr>
                      <w:rFonts w:eastAsia="Calibri"/>
                      <w:b/>
                      <w:sz w:val="22"/>
                      <w:szCs w:val="22"/>
                      <w:lang w:eastAsia="en-US"/>
                    </w:rPr>
                  </w:pPr>
                  <w:r w:rsidRPr="00D927E4">
                    <w:rPr>
                      <w:rFonts w:eastAsia="Calibri"/>
                      <w:b/>
                      <w:color w:val="000000"/>
                      <w:sz w:val="22"/>
                      <w:szCs w:val="22"/>
                      <w:lang w:eastAsia="en-US"/>
                    </w:rPr>
                    <w:t>4 %</w:t>
                  </w:r>
                </w:p>
              </w:tc>
            </w:tr>
            <w:tr w:rsidR="00894ECB" w:rsidRPr="00D927E4" w14:paraId="018D443D" w14:textId="77777777" w:rsidTr="0020079F">
              <w:trPr>
                <w:trHeight w:val="120"/>
                <w:tblCellSpacing w:w="0" w:type="auto"/>
              </w:trPr>
              <w:tc>
                <w:tcPr>
                  <w:tcW w:w="2778" w:type="dxa"/>
                  <w:vAlign w:val="center"/>
                </w:tcPr>
                <w:p w14:paraId="364B7F88" w14:textId="77777777" w:rsidR="00894ECB" w:rsidRPr="00D927E4" w:rsidRDefault="00894ECB" w:rsidP="00894ECB">
                  <w:pPr>
                    <w:spacing w:line="259" w:lineRule="auto"/>
                    <w:jc w:val="center"/>
                    <w:rPr>
                      <w:rFonts w:eastAsia="Calibri"/>
                      <w:b/>
                      <w:sz w:val="22"/>
                      <w:szCs w:val="22"/>
                      <w:lang w:eastAsia="en-US"/>
                    </w:rPr>
                  </w:pPr>
                  <w:r w:rsidRPr="00D927E4">
                    <w:rPr>
                      <w:rFonts w:eastAsia="Calibri"/>
                      <w:b/>
                      <w:color w:val="000000"/>
                      <w:sz w:val="22"/>
                      <w:szCs w:val="22"/>
                      <w:lang w:eastAsia="en-US"/>
                    </w:rPr>
                    <w:t>13 - 15</w:t>
                  </w:r>
                </w:p>
              </w:tc>
              <w:tc>
                <w:tcPr>
                  <w:tcW w:w="2778" w:type="dxa"/>
                  <w:vAlign w:val="center"/>
                </w:tcPr>
                <w:p w14:paraId="09684E37" w14:textId="77777777" w:rsidR="00894ECB" w:rsidRPr="00D927E4" w:rsidRDefault="00894ECB" w:rsidP="00894ECB">
                  <w:pPr>
                    <w:spacing w:line="259" w:lineRule="auto"/>
                    <w:jc w:val="center"/>
                    <w:rPr>
                      <w:rFonts w:eastAsia="Calibri"/>
                      <w:b/>
                      <w:sz w:val="22"/>
                      <w:szCs w:val="22"/>
                      <w:lang w:eastAsia="en-US"/>
                    </w:rPr>
                  </w:pPr>
                  <w:r w:rsidRPr="00D927E4">
                    <w:rPr>
                      <w:rFonts w:eastAsia="Calibri"/>
                      <w:b/>
                      <w:color w:val="000000"/>
                      <w:sz w:val="22"/>
                      <w:szCs w:val="22"/>
                      <w:lang w:eastAsia="en-US"/>
                    </w:rPr>
                    <w:t>5 %</w:t>
                  </w:r>
                </w:p>
              </w:tc>
            </w:tr>
            <w:tr w:rsidR="00894ECB" w:rsidRPr="00D927E4" w14:paraId="11609BAC" w14:textId="77777777" w:rsidTr="0020079F">
              <w:trPr>
                <w:trHeight w:val="120"/>
                <w:tblCellSpacing w:w="0" w:type="auto"/>
              </w:trPr>
              <w:tc>
                <w:tcPr>
                  <w:tcW w:w="2778" w:type="dxa"/>
                  <w:vAlign w:val="center"/>
                </w:tcPr>
                <w:p w14:paraId="237F8ABD" w14:textId="77777777" w:rsidR="00894ECB" w:rsidRPr="00D927E4" w:rsidRDefault="00894ECB" w:rsidP="00894ECB">
                  <w:pPr>
                    <w:spacing w:line="259" w:lineRule="auto"/>
                    <w:jc w:val="center"/>
                    <w:rPr>
                      <w:rFonts w:eastAsia="Calibri"/>
                      <w:b/>
                      <w:sz w:val="22"/>
                      <w:szCs w:val="22"/>
                      <w:lang w:eastAsia="en-US"/>
                    </w:rPr>
                  </w:pPr>
                  <w:r w:rsidRPr="00D927E4">
                    <w:rPr>
                      <w:rFonts w:eastAsia="Calibri"/>
                      <w:b/>
                      <w:color w:val="000000"/>
                      <w:sz w:val="22"/>
                      <w:szCs w:val="22"/>
                      <w:lang w:eastAsia="en-US"/>
                    </w:rPr>
                    <w:t>16 - 18</w:t>
                  </w:r>
                </w:p>
              </w:tc>
              <w:tc>
                <w:tcPr>
                  <w:tcW w:w="2778" w:type="dxa"/>
                  <w:vAlign w:val="center"/>
                </w:tcPr>
                <w:p w14:paraId="6EFA3F70" w14:textId="77777777" w:rsidR="00894ECB" w:rsidRPr="00D927E4" w:rsidRDefault="00894ECB" w:rsidP="00894ECB">
                  <w:pPr>
                    <w:spacing w:line="259" w:lineRule="auto"/>
                    <w:jc w:val="center"/>
                    <w:rPr>
                      <w:rFonts w:eastAsia="Calibri"/>
                      <w:b/>
                      <w:sz w:val="22"/>
                      <w:szCs w:val="22"/>
                      <w:lang w:eastAsia="en-US"/>
                    </w:rPr>
                  </w:pPr>
                  <w:r w:rsidRPr="00D927E4">
                    <w:rPr>
                      <w:rFonts w:eastAsia="Calibri"/>
                      <w:b/>
                      <w:color w:val="000000"/>
                      <w:sz w:val="22"/>
                      <w:szCs w:val="22"/>
                      <w:lang w:eastAsia="en-US"/>
                    </w:rPr>
                    <w:t>9 %</w:t>
                  </w:r>
                </w:p>
              </w:tc>
            </w:tr>
            <w:tr w:rsidR="00894ECB" w:rsidRPr="00D927E4" w14:paraId="2BA681FE" w14:textId="77777777" w:rsidTr="0020079F">
              <w:trPr>
                <w:trHeight w:val="120"/>
                <w:tblCellSpacing w:w="0" w:type="auto"/>
              </w:trPr>
              <w:tc>
                <w:tcPr>
                  <w:tcW w:w="2778" w:type="dxa"/>
                  <w:vAlign w:val="center"/>
                </w:tcPr>
                <w:p w14:paraId="4240C79D" w14:textId="77777777" w:rsidR="00894ECB" w:rsidRPr="00D927E4" w:rsidRDefault="00894ECB" w:rsidP="00894ECB">
                  <w:pPr>
                    <w:spacing w:line="259" w:lineRule="auto"/>
                    <w:jc w:val="center"/>
                    <w:rPr>
                      <w:rFonts w:eastAsia="Calibri"/>
                      <w:b/>
                      <w:sz w:val="22"/>
                      <w:szCs w:val="22"/>
                      <w:lang w:eastAsia="en-US"/>
                    </w:rPr>
                  </w:pPr>
                  <w:r w:rsidRPr="00D927E4">
                    <w:rPr>
                      <w:rFonts w:eastAsia="Calibri"/>
                      <w:b/>
                      <w:color w:val="000000"/>
                      <w:sz w:val="22"/>
                      <w:szCs w:val="22"/>
                      <w:lang w:eastAsia="en-US"/>
                    </w:rPr>
                    <w:t>19 - 21</w:t>
                  </w:r>
                </w:p>
              </w:tc>
              <w:tc>
                <w:tcPr>
                  <w:tcW w:w="2778" w:type="dxa"/>
                  <w:vAlign w:val="center"/>
                </w:tcPr>
                <w:p w14:paraId="4A36995E" w14:textId="77777777" w:rsidR="00894ECB" w:rsidRPr="00D927E4" w:rsidRDefault="00894ECB" w:rsidP="00894ECB">
                  <w:pPr>
                    <w:spacing w:line="259" w:lineRule="auto"/>
                    <w:jc w:val="center"/>
                    <w:rPr>
                      <w:rFonts w:eastAsia="Calibri"/>
                      <w:b/>
                      <w:sz w:val="22"/>
                      <w:szCs w:val="22"/>
                      <w:lang w:eastAsia="en-US"/>
                    </w:rPr>
                  </w:pPr>
                  <w:r w:rsidRPr="00D927E4">
                    <w:rPr>
                      <w:rFonts w:eastAsia="Calibri"/>
                      <w:b/>
                      <w:color w:val="000000"/>
                      <w:sz w:val="22"/>
                      <w:szCs w:val="22"/>
                      <w:lang w:eastAsia="en-US"/>
                    </w:rPr>
                    <w:t>15 %</w:t>
                  </w:r>
                </w:p>
              </w:tc>
            </w:tr>
            <w:tr w:rsidR="00894ECB" w:rsidRPr="00D927E4" w14:paraId="3CEDF46E" w14:textId="77777777" w:rsidTr="0020079F">
              <w:trPr>
                <w:trHeight w:val="120"/>
                <w:tblCellSpacing w:w="0" w:type="auto"/>
              </w:trPr>
              <w:tc>
                <w:tcPr>
                  <w:tcW w:w="2778" w:type="dxa"/>
                  <w:vAlign w:val="center"/>
                </w:tcPr>
                <w:p w14:paraId="2DD5B4C2" w14:textId="77777777" w:rsidR="00894ECB" w:rsidRPr="00D927E4" w:rsidRDefault="00894ECB" w:rsidP="00894ECB">
                  <w:pPr>
                    <w:spacing w:line="259" w:lineRule="auto"/>
                    <w:jc w:val="center"/>
                    <w:rPr>
                      <w:rFonts w:eastAsia="Calibri"/>
                      <w:b/>
                      <w:color w:val="000000"/>
                      <w:sz w:val="22"/>
                      <w:szCs w:val="22"/>
                      <w:lang w:eastAsia="en-US"/>
                    </w:rPr>
                  </w:pPr>
                  <w:r w:rsidRPr="00D927E4">
                    <w:rPr>
                      <w:rFonts w:eastAsia="Calibri"/>
                      <w:b/>
                      <w:color w:val="000000"/>
                      <w:sz w:val="22"/>
                      <w:szCs w:val="22"/>
                      <w:lang w:eastAsia="en-US"/>
                    </w:rPr>
                    <w:t>22 - 25</w:t>
                  </w:r>
                </w:p>
              </w:tc>
              <w:tc>
                <w:tcPr>
                  <w:tcW w:w="2778" w:type="dxa"/>
                  <w:vAlign w:val="center"/>
                </w:tcPr>
                <w:p w14:paraId="7A8434E3" w14:textId="77777777" w:rsidR="00894ECB" w:rsidRPr="00D927E4" w:rsidRDefault="00894ECB" w:rsidP="00894ECB">
                  <w:pPr>
                    <w:spacing w:line="259" w:lineRule="auto"/>
                    <w:jc w:val="center"/>
                    <w:rPr>
                      <w:rFonts w:eastAsia="Calibri"/>
                      <w:b/>
                      <w:color w:val="000000"/>
                      <w:sz w:val="22"/>
                      <w:szCs w:val="22"/>
                      <w:lang w:eastAsia="en-US"/>
                    </w:rPr>
                  </w:pPr>
                  <w:r w:rsidRPr="00D927E4">
                    <w:rPr>
                      <w:rFonts w:eastAsia="Calibri"/>
                      <w:b/>
                      <w:color w:val="000000"/>
                      <w:sz w:val="22"/>
                      <w:szCs w:val="22"/>
                      <w:lang w:eastAsia="en-US"/>
                    </w:rPr>
                    <w:t>20 %</w:t>
                  </w:r>
                </w:p>
              </w:tc>
            </w:tr>
          </w:tbl>
          <w:p w14:paraId="0FC7057E" w14:textId="77777777" w:rsidR="00894ECB" w:rsidRPr="00D927E4" w:rsidRDefault="00894ECB" w:rsidP="00894ECB">
            <w:pPr>
              <w:spacing w:after="120"/>
              <w:rPr>
                <w:sz w:val="22"/>
                <w:szCs w:val="22"/>
              </w:rPr>
            </w:pPr>
          </w:p>
        </w:tc>
        <w:tc>
          <w:tcPr>
            <w:tcW w:w="5809" w:type="dxa"/>
            <w:vAlign w:val="center"/>
          </w:tcPr>
          <w:p w14:paraId="612A6AF8" w14:textId="77777777" w:rsidR="00894ECB" w:rsidRPr="00D927E4" w:rsidRDefault="00894ECB" w:rsidP="00894ECB">
            <w:pPr>
              <w:spacing w:after="120"/>
              <w:jc w:val="both"/>
              <w:rPr>
                <w:i/>
                <w:sz w:val="22"/>
                <w:szCs w:val="22"/>
              </w:rPr>
            </w:pPr>
            <w:r w:rsidRPr="00D927E4">
              <w:rPr>
                <w:i/>
                <w:sz w:val="22"/>
                <w:szCs w:val="22"/>
              </w:rPr>
              <w:t>ТОВ «Д.ТРЕЙДІНГ»</w:t>
            </w:r>
          </w:p>
          <w:p w14:paraId="33568EC7" w14:textId="77777777" w:rsidR="00894ECB" w:rsidRPr="00D927E4" w:rsidRDefault="00894ECB" w:rsidP="00894ECB">
            <w:pPr>
              <w:spacing w:after="160" w:line="259" w:lineRule="auto"/>
              <w:ind w:firstLine="306"/>
              <w:jc w:val="center"/>
              <w:rPr>
                <w:rFonts w:eastAsia="Calibri"/>
                <w:b/>
                <w:i/>
                <w:iCs/>
                <w:sz w:val="22"/>
                <w:szCs w:val="22"/>
                <w:lang w:eastAsia="en-US"/>
              </w:rPr>
            </w:pPr>
            <w:r w:rsidRPr="00D927E4">
              <w:rPr>
                <w:rFonts w:eastAsia="Calibri"/>
                <w:b/>
                <w:i/>
                <w:iCs/>
                <w:sz w:val="22"/>
                <w:szCs w:val="22"/>
                <w:lang w:eastAsia="en-US"/>
              </w:rPr>
              <w:t>Пропонуємо коефіцієнти серйозності та характеру порушення залишити в чинній редакції пункту 2.2.12.</w:t>
            </w:r>
          </w:p>
          <w:p w14:paraId="1AB0243D" w14:textId="77777777" w:rsidR="00894ECB" w:rsidRPr="00D927E4" w:rsidRDefault="00894ECB" w:rsidP="00894ECB">
            <w:pPr>
              <w:spacing w:after="120"/>
              <w:jc w:val="both"/>
              <w:rPr>
                <w:i/>
                <w:sz w:val="22"/>
                <w:szCs w:val="22"/>
              </w:rPr>
            </w:pPr>
            <w:r w:rsidRPr="00D927E4">
              <w:rPr>
                <w:i/>
                <w:sz w:val="22"/>
                <w:szCs w:val="22"/>
              </w:rPr>
              <w:t>ОБГРУНТУВАННЯ:</w:t>
            </w:r>
          </w:p>
          <w:p w14:paraId="726AF79F" w14:textId="77777777" w:rsidR="00894ECB" w:rsidRPr="00D927E4" w:rsidRDefault="00894ECB" w:rsidP="00894ECB">
            <w:pPr>
              <w:spacing w:after="120"/>
              <w:jc w:val="both"/>
              <w:rPr>
                <w:bCs/>
                <w:color w:val="000000" w:themeColor="text1"/>
                <w:sz w:val="22"/>
                <w:szCs w:val="22"/>
              </w:rPr>
            </w:pPr>
            <w:r w:rsidRPr="00D927E4">
              <w:rPr>
                <w:bCs/>
                <w:color w:val="000000" w:themeColor="text1"/>
                <w:sz w:val="22"/>
                <w:szCs w:val="22"/>
              </w:rPr>
              <w:t>Оприлюднений Аналіз впливу проекту постанови НКРЕКП «</w:t>
            </w:r>
            <w:r w:rsidRPr="00D927E4">
              <w:rPr>
                <w:rStyle w:val="rvts23"/>
                <w:i/>
                <w:iCs/>
                <w:color w:val="000000" w:themeColor="text1"/>
                <w:sz w:val="22"/>
                <w:szCs w:val="22"/>
              </w:rPr>
              <w:t>Про затвердження Змін до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w:t>
            </w:r>
            <w:r w:rsidRPr="00D927E4">
              <w:rPr>
                <w:bCs/>
                <w:color w:val="000000" w:themeColor="text1"/>
                <w:sz w:val="22"/>
                <w:szCs w:val="22"/>
              </w:rPr>
              <w:t>» не містить оцінки того, яким чином зміна окремих відсотків серйозності та характеру порушення для цілей обрахунку початкового розміру штрафу вплине на досягнення цілей регулювання. Навряд чи вказані зміни сприятимуть зменшенню випадків порушень чи стримуватимуть ліцензіатів від їх вчинення.</w:t>
            </w:r>
          </w:p>
          <w:p w14:paraId="0CAA8933" w14:textId="77777777" w:rsidR="00894ECB" w:rsidRPr="00D927E4" w:rsidRDefault="00894ECB" w:rsidP="00894ECB">
            <w:pPr>
              <w:ind w:right="459"/>
              <w:jc w:val="both"/>
              <w:rPr>
                <w:color w:val="000000"/>
                <w:sz w:val="22"/>
                <w:szCs w:val="22"/>
              </w:rPr>
            </w:pPr>
          </w:p>
          <w:p w14:paraId="055E1584" w14:textId="77777777" w:rsidR="00894ECB" w:rsidRPr="00D927E4" w:rsidRDefault="00E37804" w:rsidP="00894ECB">
            <w:pPr>
              <w:ind w:right="459"/>
              <w:jc w:val="both"/>
              <w:rPr>
                <w:i/>
                <w:color w:val="000000"/>
                <w:sz w:val="22"/>
                <w:szCs w:val="22"/>
              </w:rPr>
            </w:pPr>
            <w:r w:rsidRPr="00D927E4">
              <w:rPr>
                <w:i/>
                <w:color w:val="000000"/>
                <w:sz w:val="22"/>
                <w:szCs w:val="22"/>
              </w:rPr>
              <w:t>ПРАТ «РІВНЕОБЛЕНЕРГО»</w:t>
            </w:r>
          </w:p>
          <w:p w14:paraId="056C0DF9" w14:textId="77777777" w:rsidR="00894ECB" w:rsidRPr="00D927E4" w:rsidRDefault="00894ECB" w:rsidP="00894ECB">
            <w:pPr>
              <w:ind w:right="459"/>
              <w:jc w:val="both"/>
              <w:rPr>
                <w:color w:val="000000"/>
                <w:sz w:val="22"/>
                <w:szCs w:val="22"/>
              </w:rPr>
            </w:pPr>
          </w:p>
          <w:p w14:paraId="1D60B298" w14:textId="77777777" w:rsidR="00894ECB" w:rsidRPr="00D927E4" w:rsidRDefault="00894ECB" w:rsidP="00894ECB">
            <w:pPr>
              <w:ind w:firstLine="240"/>
              <w:jc w:val="both"/>
              <w:rPr>
                <w:color w:val="000000"/>
                <w:sz w:val="22"/>
                <w:szCs w:val="22"/>
              </w:rPr>
            </w:pPr>
            <w:r w:rsidRPr="00D927E4">
              <w:rPr>
                <w:b/>
                <w:color w:val="000000"/>
                <w:sz w:val="22"/>
                <w:szCs w:val="22"/>
              </w:rPr>
              <w:lastRenderedPageBreak/>
              <w:t>2.2.13.</w:t>
            </w:r>
            <w:r w:rsidRPr="00D927E4">
              <w:rPr>
                <w:color w:val="000000"/>
                <w:sz w:val="22"/>
                <w:szCs w:val="22"/>
              </w:rPr>
              <w:t xml:space="preserve"> Значення балів, що присвоєні відповідним критеріям, наведеним у пунктах 2.2.7 - </w:t>
            </w:r>
            <w:r w:rsidRPr="00D927E4">
              <w:rPr>
                <w:b/>
                <w:color w:val="000000"/>
                <w:sz w:val="22"/>
                <w:szCs w:val="22"/>
              </w:rPr>
              <w:t>2.2.</w:t>
            </w:r>
            <w:r w:rsidRPr="00D927E4">
              <w:rPr>
                <w:b/>
                <w:strike/>
                <w:color w:val="000000"/>
                <w:sz w:val="22"/>
                <w:szCs w:val="22"/>
              </w:rPr>
              <w:t>12</w:t>
            </w:r>
            <w:r w:rsidRPr="00D927E4">
              <w:rPr>
                <w:color w:val="000000"/>
                <w:sz w:val="22"/>
                <w:szCs w:val="22"/>
              </w:rPr>
              <w:t xml:space="preserve"> </w:t>
            </w:r>
            <w:r w:rsidRPr="00D927E4">
              <w:rPr>
                <w:b/>
                <w:color w:val="FF0000"/>
                <w:sz w:val="22"/>
                <w:szCs w:val="22"/>
              </w:rPr>
              <w:t>11</w:t>
            </w:r>
            <w:r w:rsidRPr="00D927E4">
              <w:rPr>
                <w:color w:val="000000"/>
                <w:sz w:val="22"/>
                <w:szCs w:val="22"/>
              </w:rPr>
              <w:t xml:space="preserve"> цієї глави, підсумовуються і отримана сума балів становить оцінку серйозності та характеру порушення та визначає такі величини відсотків від максимального розміру штрафу, передбаченого чинним законодавством, що застосовуються для цілей формули 1.</w:t>
            </w:r>
          </w:p>
          <w:p w14:paraId="21B04058" w14:textId="77777777" w:rsidR="00894ECB" w:rsidRPr="00D927E4" w:rsidRDefault="00894ECB" w:rsidP="00894ECB">
            <w:pPr>
              <w:ind w:firstLine="240"/>
              <w:jc w:val="both"/>
              <w:rPr>
                <w:sz w:val="22"/>
                <w:szCs w:val="22"/>
              </w:rPr>
            </w:pPr>
          </w:p>
          <w:tbl>
            <w:tblPr>
              <w:tblW w:w="5442" w:type="dxa"/>
              <w:tblCellSpacing w:w="0" w:type="auto"/>
              <w:tblLayout w:type="fixed"/>
              <w:tblLook w:val="04A0" w:firstRow="1" w:lastRow="0" w:firstColumn="1" w:lastColumn="0" w:noHBand="0" w:noVBand="1"/>
            </w:tblPr>
            <w:tblGrid>
              <w:gridCol w:w="2721"/>
              <w:gridCol w:w="2721"/>
            </w:tblGrid>
            <w:tr w:rsidR="00E37804" w:rsidRPr="00D927E4" w14:paraId="72FE9DE5" w14:textId="77777777" w:rsidTr="00E37804">
              <w:trPr>
                <w:trHeight w:val="120"/>
                <w:tblCellSpacing w:w="0" w:type="auto"/>
              </w:trPr>
              <w:tc>
                <w:tcPr>
                  <w:tcW w:w="2721" w:type="dxa"/>
                  <w:vAlign w:val="center"/>
                </w:tcPr>
                <w:p w14:paraId="01A1429E" w14:textId="77777777" w:rsidR="00894ECB" w:rsidRPr="00D927E4" w:rsidRDefault="00894ECB" w:rsidP="00E37804">
                  <w:pPr>
                    <w:jc w:val="center"/>
                    <w:rPr>
                      <w:sz w:val="22"/>
                      <w:szCs w:val="22"/>
                    </w:rPr>
                  </w:pPr>
                  <w:r w:rsidRPr="00D927E4">
                    <w:rPr>
                      <w:sz w:val="22"/>
                      <w:szCs w:val="22"/>
                    </w:rPr>
                    <w:t>Сума оцінки серйозності та характеру (бали)</w:t>
                  </w:r>
                </w:p>
              </w:tc>
              <w:tc>
                <w:tcPr>
                  <w:tcW w:w="2721" w:type="dxa"/>
                  <w:vAlign w:val="center"/>
                </w:tcPr>
                <w:p w14:paraId="2285684A" w14:textId="77777777" w:rsidR="00894ECB" w:rsidRPr="00D927E4" w:rsidRDefault="00894ECB" w:rsidP="00E37804">
                  <w:pPr>
                    <w:ind w:left="-536" w:firstLine="536"/>
                    <w:jc w:val="center"/>
                    <w:rPr>
                      <w:sz w:val="22"/>
                      <w:szCs w:val="22"/>
                    </w:rPr>
                  </w:pPr>
                  <w:r w:rsidRPr="00D927E4">
                    <w:rPr>
                      <w:sz w:val="22"/>
                      <w:szCs w:val="22"/>
                    </w:rPr>
                    <w:t>Відсоток серйозності та характеру порушення</w:t>
                  </w:r>
                </w:p>
              </w:tc>
            </w:tr>
            <w:tr w:rsidR="00E37804" w:rsidRPr="00D927E4" w14:paraId="047424C7" w14:textId="77777777" w:rsidTr="00E37804">
              <w:trPr>
                <w:trHeight w:val="120"/>
                <w:tblCellSpacing w:w="0" w:type="auto"/>
              </w:trPr>
              <w:tc>
                <w:tcPr>
                  <w:tcW w:w="2721" w:type="dxa"/>
                  <w:vAlign w:val="center"/>
                </w:tcPr>
                <w:p w14:paraId="2CFC5CAE" w14:textId="77777777" w:rsidR="00894ECB" w:rsidRPr="00D927E4" w:rsidRDefault="00894ECB" w:rsidP="00E37804">
                  <w:pPr>
                    <w:jc w:val="center"/>
                    <w:rPr>
                      <w:sz w:val="22"/>
                      <w:szCs w:val="22"/>
                    </w:rPr>
                  </w:pPr>
                  <w:r w:rsidRPr="00D927E4">
                    <w:rPr>
                      <w:sz w:val="22"/>
                      <w:szCs w:val="22"/>
                    </w:rPr>
                    <w:t>5 - 8</w:t>
                  </w:r>
                </w:p>
              </w:tc>
              <w:tc>
                <w:tcPr>
                  <w:tcW w:w="2721" w:type="dxa"/>
                  <w:vAlign w:val="center"/>
                </w:tcPr>
                <w:p w14:paraId="687C5274" w14:textId="77777777" w:rsidR="00894ECB" w:rsidRPr="00D927E4" w:rsidRDefault="00894ECB" w:rsidP="00E37804">
                  <w:pPr>
                    <w:jc w:val="center"/>
                    <w:rPr>
                      <w:color w:val="FF0000"/>
                      <w:sz w:val="22"/>
                      <w:szCs w:val="22"/>
                    </w:rPr>
                  </w:pPr>
                  <w:r w:rsidRPr="00D927E4">
                    <w:rPr>
                      <w:strike/>
                      <w:color w:val="FF0000"/>
                      <w:sz w:val="22"/>
                      <w:szCs w:val="22"/>
                    </w:rPr>
                    <w:t>3 %</w:t>
                  </w:r>
                  <w:r w:rsidRPr="00D927E4">
                    <w:rPr>
                      <w:color w:val="FF0000"/>
                      <w:sz w:val="22"/>
                      <w:szCs w:val="22"/>
                    </w:rPr>
                    <w:t xml:space="preserve"> </w:t>
                  </w:r>
                  <w:r w:rsidRPr="00D927E4">
                    <w:rPr>
                      <w:b/>
                      <w:color w:val="FF0000"/>
                      <w:sz w:val="22"/>
                      <w:szCs w:val="22"/>
                    </w:rPr>
                    <w:t>2%</w:t>
                  </w:r>
                </w:p>
              </w:tc>
            </w:tr>
            <w:tr w:rsidR="00E37804" w:rsidRPr="00D927E4" w14:paraId="0E8334D8" w14:textId="77777777" w:rsidTr="00E37804">
              <w:trPr>
                <w:trHeight w:val="120"/>
                <w:tblCellSpacing w:w="0" w:type="auto"/>
              </w:trPr>
              <w:tc>
                <w:tcPr>
                  <w:tcW w:w="2721" w:type="dxa"/>
                  <w:vAlign w:val="center"/>
                </w:tcPr>
                <w:p w14:paraId="76B3AAB3" w14:textId="77777777" w:rsidR="00894ECB" w:rsidRPr="00D927E4" w:rsidRDefault="00894ECB" w:rsidP="00E37804">
                  <w:pPr>
                    <w:jc w:val="center"/>
                    <w:rPr>
                      <w:sz w:val="22"/>
                      <w:szCs w:val="22"/>
                    </w:rPr>
                  </w:pPr>
                  <w:r w:rsidRPr="00D927E4">
                    <w:rPr>
                      <w:sz w:val="22"/>
                      <w:szCs w:val="22"/>
                    </w:rPr>
                    <w:t>9 - 12</w:t>
                  </w:r>
                </w:p>
              </w:tc>
              <w:tc>
                <w:tcPr>
                  <w:tcW w:w="2721" w:type="dxa"/>
                  <w:vAlign w:val="center"/>
                </w:tcPr>
                <w:p w14:paraId="65A88F02" w14:textId="77777777" w:rsidR="00894ECB" w:rsidRPr="00D927E4" w:rsidRDefault="00894ECB" w:rsidP="00E37804">
                  <w:pPr>
                    <w:jc w:val="center"/>
                    <w:rPr>
                      <w:sz w:val="22"/>
                      <w:szCs w:val="22"/>
                    </w:rPr>
                  </w:pPr>
                  <w:r w:rsidRPr="00D927E4">
                    <w:rPr>
                      <w:sz w:val="22"/>
                      <w:szCs w:val="22"/>
                    </w:rPr>
                    <w:t>4 %</w:t>
                  </w:r>
                </w:p>
              </w:tc>
            </w:tr>
            <w:tr w:rsidR="00E37804" w:rsidRPr="00D927E4" w14:paraId="19BB0D3E" w14:textId="77777777" w:rsidTr="00E37804">
              <w:trPr>
                <w:trHeight w:val="120"/>
                <w:tblCellSpacing w:w="0" w:type="auto"/>
              </w:trPr>
              <w:tc>
                <w:tcPr>
                  <w:tcW w:w="2721" w:type="dxa"/>
                  <w:vAlign w:val="center"/>
                </w:tcPr>
                <w:p w14:paraId="5A8EF246" w14:textId="77777777" w:rsidR="00894ECB" w:rsidRPr="00D927E4" w:rsidRDefault="00894ECB" w:rsidP="00E37804">
                  <w:pPr>
                    <w:jc w:val="center"/>
                    <w:rPr>
                      <w:sz w:val="22"/>
                      <w:szCs w:val="22"/>
                    </w:rPr>
                  </w:pPr>
                  <w:r w:rsidRPr="00D927E4">
                    <w:rPr>
                      <w:sz w:val="22"/>
                      <w:szCs w:val="22"/>
                    </w:rPr>
                    <w:t>13 - 15</w:t>
                  </w:r>
                </w:p>
              </w:tc>
              <w:tc>
                <w:tcPr>
                  <w:tcW w:w="2721" w:type="dxa"/>
                  <w:vAlign w:val="center"/>
                </w:tcPr>
                <w:p w14:paraId="38F13CEC" w14:textId="77777777" w:rsidR="00894ECB" w:rsidRPr="00D927E4" w:rsidRDefault="00894ECB" w:rsidP="00E37804">
                  <w:pPr>
                    <w:jc w:val="center"/>
                    <w:rPr>
                      <w:sz w:val="22"/>
                      <w:szCs w:val="22"/>
                    </w:rPr>
                  </w:pPr>
                  <w:r w:rsidRPr="00D927E4">
                    <w:rPr>
                      <w:sz w:val="22"/>
                      <w:szCs w:val="22"/>
                    </w:rPr>
                    <w:t>5 %</w:t>
                  </w:r>
                </w:p>
              </w:tc>
            </w:tr>
            <w:tr w:rsidR="00E37804" w:rsidRPr="00D927E4" w14:paraId="713C8FA0" w14:textId="77777777" w:rsidTr="00E37804">
              <w:trPr>
                <w:trHeight w:val="120"/>
                <w:tblCellSpacing w:w="0" w:type="auto"/>
              </w:trPr>
              <w:tc>
                <w:tcPr>
                  <w:tcW w:w="2721" w:type="dxa"/>
                  <w:vAlign w:val="center"/>
                </w:tcPr>
                <w:p w14:paraId="37F7BF64" w14:textId="77777777" w:rsidR="00894ECB" w:rsidRPr="00D927E4" w:rsidRDefault="00894ECB" w:rsidP="00E37804">
                  <w:pPr>
                    <w:jc w:val="center"/>
                    <w:rPr>
                      <w:sz w:val="22"/>
                      <w:szCs w:val="22"/>
                    </w:rPr>
                  </w:pPr>
                  <w:r w:rsidRPr="00D927E4">
                    <w:rPr>
                      <w:sz w:val="22"/>
                      <w:szCs w:val="22"/>
                    </w:rPr>
                    <w:t>16 - 18</w:t>
                  </w:r>
                </w:p>
              </w:tc>
              <w:tc>
                <w:tcPr>
                  <w:tcW w:w="2721" w:type="dxa"/>
                  <w:vAlign w:val="center"/>
                </w:tcPr>
                <w:p w14:paraId="36763E30" w14:textId="77777777" w:rsidR="00894ECB" w:rsidRPr="00D927E4" w:rsidRDefault="00894ECB" w:rsidP="00E37804">
                  <w:pPr>
                    <w:jc w:val="center"/>
                    <w:rPr>
                      <w:sz w:val="22"/>
                      <w:szCs w:val="22"/>
                    </w:rPr>
                  </w:pPr>
                  <w:r w:rsidRPr="00D927E4">
                    <w:rPr>
                      <w:sz w:val="22"/>
                      <w:szCs w:val="22"/>
                    </w:rPr>
                    <w:t>9 %</w:t>
                  </w:r>
                </w:p>
              </w:tc>
            </w:tr>
            <w:tr w:rsidR="00E37804" w:rsidRPr="00D927E4" w14:paraId="26D1A587" w14:textId="77777777" w:rsidTr="00E37804">
              <w:trPr>
                <w:trHeight w:val="120"/>
                <w:tblCellSpacing w:w="0" w:type="auto"/>
              </w:trPr>
              <w:tc>
                <w:tcPr>
                  <w:tcW w:w="2721" w:type="dxa"/>
                  <w:vAlign w:val="center"/>
                </w:tcPr>
                <w:p w14:paraId="3B5EE550" w14:textId="77777777" w:rsidR="00894ECB" w:rsidRPr="00D927E4" w:rsidRDefault="00894ECB" w:rsidP="00E37804">
                  <w:pPr>
                    <w:jc w:val="center"/>
                    <w:rPr>
                      <w:sz w:val="22"/>
                      <w:szCs w:val="22"/>
                    </w:rPr>
                  </w:pPr>
                  <w:r w:rsidRPr="00D927E4">
                    <w:rPr>
                      <w:sz w:val="22"/>
                      <w:szCs w:val="22"/>
                    </w:rPr>
                    <w:t>19 - 21</w:t>
                  </w:r>
                </w:p>
              </w:tc>
              <w:tc>
                <w:tcPr>
                  <w:tcW w:w="2721" w:type="dxa"/>
                  <w:vAlign w:val="center"/>
                </w:tcPr>
                <w:p w14:paraId="428FEF07" w14:textId="77777777" w:rsidR="00894ECB" w:rsidRPr="00D927E4" w:rsidRDefault="00894ECB" w:rsidP="00E37804">
                  <w:pPr>
                    <w:jc w:val="center"/>
                    <w:rPr>
                      <w:sz w:val="22"/>
                      <w:szCs w:val="22"/>
                    </w:rPr>
                  </w:pPr>
                  <w:r w:rsidRPr="00D927E4">
                    <w:rPr>
                      <w:sz w:val="22"/>
                      <w:szCs w:val="22"/>
                    </w:rPr>
                    <w:t>15 %</w:t>
                  </w:r>
                </w:p>
              </w:tc>
            </w:tr>
            <w:tr w:rsidR="00E37804" w:rsidRPr="00D927E4" w14:paraId="6AE164C7" w14:textId="77777777" w:rsidTr="00E37804">
              <w:trPr>
                <w:trHeight w:val="120"/>
                <w:tblCellSpacing w:w="0" w:type="auto"/>
              </w:trPr>
              <w:tc>
                <w:tcPr>
                  <w:tcW w:w="2721" w:type="dxa"/>
                  <w:vAlign w:val="center"/>
                </w:tcPr>
                <w:p w14:paraId="53C7F88B" w14:textId="77777777" w:rsidR="00894ECB" w:rsidRPr="00D927E4" w:rsidRDefault="00894ECB" w:rsidP="00E37804">
                  <w:pPr>
                    <w:jc w:val="center"/>
                    <w:rPr>
                      <w:strike/>
                      <w:color w:val="FF0000"/>
                      <w:sz w:val="22"/>
                      <w:szCs w:val="22"/>
                    </w:rPr>
                  </w:pPr>
                  <w:r w:rsidRPr="00D927E4">
                    <w:rPr>
                      <w:strike/>
                      <w:color w:val="FF0000"/>
                      <w:sz w:val="22"/>
                      <w:szCs w:val="22"/>
                    </w:rPr>
                    <w:t>22 - 25</w:t>
                  </w:r>
                </w:p>
              </w:tc>
              <w:tc>
                <w:tcPr>
                  <w:tcW w:w="2721" w:type="dxa"/>
                  <w:vAlign w:val="center"/>
                </w:tcPr>
                <w:p w14:paraId="3996D7CB" w14:textId="77777777" w:rsidR="00894ECB" w:rsidRPr="00D927E4" w:rsidRDefault="00894ECB" w:rsidP="00E37804">
                  <w:pPr>
                    <w:jc w:val="center"/>
                    <w:rPr>
                      <w:strike/>
                      <w:color w:val="FF0000"/>
                      <w:sz w:val="22"/>
                      <w:szCs w:val="22"/>
                    </w:rPr>
                  </w:pPr>
                  <w:r w:rsidRPr="00D927E4">
                    <w:rPr>
                      <w:strike/>
                      <w:color w:val="FF0000"/>
                      <w:sz w:val="22"/>
                      <w:szCs w:val="22"/>
                    </w:rPr>
                    <w:t>20 %</w:t>
                  </w:r>
                </w:p>
              </w:tc>
            </w:tr>
          </w:tbl>
          <w:p w14:paraId="63E424EC" w14:textId="77777777" w:rsidR="00894ECB" w:rsidRPr="00D927E4" w:rsidRDefault="00894ECB" w:rsidP="00894ECB">
            <w:pPr>
              <w:ind w:right="459"/>
              <w:jc w:val="both"/>
              <w:rPr>
                <w:i/>
                <w:color w:val="000000"/>
                <w:sz w:val="22"/>
                <w:szCs w:val="22"/>
              </w:rPr>
            </w:pPr>
          </w:p>
          <w:p w14:paraId="42694AAD" w14:textId="77777777" w:rsidR="00894ECB" w:rsidRPr="00D927E4" w:rsidRDefault="00894ECB" w:rsidP="00894ECB">
            <w:pPr>
              <w:ind w:right="459"/>
              <w:jc w:val="both"/>
              <w:rPr>
                <w:i/>
                <w:color w:val="000000"/>
                <w:sz w:val="22"/>
                <w:szCs w:val="22"/>
              </w:rPr>
            </w:pPr>
            <w:r w:rsidRPr="00D927E4">
              <w:rPr>
                <w:i/>
                <w:color w:val="000000"/>
                <w:sz w:val="22"/>
                <w:szCs w:val="22"/>
              </w:rPr>
              <w:t>ОБГРУНТУВАННЯ:</w:t>
            </w:r>
          </w:p>
          <w:p w14:paraId="5C6299A0" w14:textId="77777777" w:rsidR="00894ECB" w:rsidRPr="00D927E4" w:rsidRDefault="00894ECB" w:rsidP="00894ECB">
            <w:pPr>
              <w:ind w:right="459"/>
              <w:jc w:val="both"/>
              <w:rPr>
                <w:i/>
                <w:color w:val="000000"/>
                <w:sz w:val="22"/>
                <w:szCs w:val="22"/>
              </w:rPr>
            </w:pPr>
          </w:p>
          <w:p w14:paraId="4DAC739A" w14:textId="77777777" w:rsidR="00894ECB" w:rsidRPr="00D927E4" w:rsidRDefault="00894ECB" w:rsidP="00894ECB">
            <w:pPr>
              <w:ind w:right="459"/>
              <w:jc w:val="both"/>
              <w:rPr>
                <w:color w:val="000000"/>
                <w:sz w:val="22"/>
                <w:szCs w:val="22"/>
              </w:rPr>
            </w:pPr>
            <w:r w:rsidRPr="00D927E4">
              <w:rPr>
                <w:color w:val="000000"/>
                <w:sz w:val="22"/>
                <w:szCs w:val="22"/>
              </w:rPr>
              <w:t>ПрАТ «</w:t>
            </w:r>
            <w:proofErr w:type="spellStart"/>
            <w:r w:rsidRPr="00D927E4">
              <w:rPr>
                <w:color w:val="000000"/>
                <w:sz w:val="22"/>
                <w:szCs w:val="22"/>
              </w:rPr>
              <w:t>Рівнеобленерго</w:t>
            </w:r>
            <w:proofErr w:type="spellEnd"/>
            <w:r w:rsidRPr="00D927E4">
              <w:rPr>
                <w:color w:val="000000"/>
                <w:sz w:val="22"/>
                <w:szCs w:val="22"/>
              </w:rPr>
              <w:t>» пропонує  залишити відсоток серйозності при 5 - 8 на рівні 2% (діюча редакція), з урахуванням необхідності підтримання роботи ліцензіатів та недопущення додаткових витрат учасників ринку при незначних порушеннях, які не несуть серйозного характеру.</w:t>
            </w:r>
          </w:p>
          <w:p w14:paraId="6BDBCB09" w14:textId="77777777" w:rsidR="00894ECB" w:rsidRPr="00D927E4" w:rsidRDefault="00894ECB" w:rsidP="00894ECB">
            <w:pPr>
              <w:ind w:right="459"/>
              <w:jc w:val="both"/>
              <w:rPr>
                <w:color w:val="000000"/>
                <w:sz w:val="22"/>
                <w:szCs w:val="22"/>
              </w:rPr>
            </w:pPr>
          </w:p>
          <w:p w14:paraId="6A090E48" w14:textId="77777777" w:rsidR="00894ECB" w:rsidRPr="00D927E4" w:rsidRDefault="00894ECB" w:rsidP="00894ECB">
            <w:pPr>
              <w:ind w:right="459"/>
              <w:jc w:val="both"/>
              <w:rPr>
                <w:color w:val="000000"/>
                <w:sz w:val="22"/>
                <w:szCs w:val="22"/>
              </w:rPr>
            </w:pPr>
          </w:p>
          <w:p w14:paraId="7875BD4A" w14:textId="77777777" w:rsidR="00894ECB" w:rsidRPr="00D927E4" w:rsidRDefault="00894ECB" w:rsidP="00894ECB">
            <w:pPr>
              <w:ind w:right="459"/>
              <w:jc w:val="both"/>
              <w:rPr>
                <w:i/>
                <w:color w:val="000000"/>
                <w:sz w:val="22"/>
                <w:szCs w:val="22"/>
              </w:rPr>
            </w:pPr>
            <w:r w:rsidRPr="00D927E4">
              <w:rPr>
                <w:i/>
                <w:color w:val="000000"/>
                <w:sz w:val="22"/>
                <w:szCs w:val="22"/>
              </w:rPr>
              <w:t>ПАТ «ЗАПОРІЖЖЯОБЛЕНЕРГО»</w:t>
            </w:r>
          </w:p>
          <w:p w14:paraId="57EBB79E" w14:textId="77777777" w:rsidR="00894ECB" w:rsidRPr="00D927E4" w:rsidRDefault="00894ECB" w:rsidP="00894ECB">
            <w:pPr>
              <w:ind w:right="459"/>
              <w:jc w:val="both"/>
              <w:rPr>
                <w:color w:val="000000"/>
                <w:sz w:val="22"/>
                <w:szCs w:val="22"/>
              </w:rPr>
            </w:pPr>
          </w:p>
          <w:p w14:paraId="08F00C6E" w14:textId="77777777" w:rsidR="00894ECB" w:rsidRPr="00D927E4" w:rsidRDefault="00894ECB" w:rsidP="00894ECB">
            <w:pPr>
              <w:ind w:right="459"/>
              <w:jc w:val="both"/>
              <w:rPr>
                <w:color w:val="000000"/>
                <w:sz w:val="22"/>
                <w:szCs w:val="22"/>
              </w:rPr>
            </w:pPr>
            <w:r w:rsidRPr="00D927E4">
              <w:rPr>
                <w:color w:val="000000"/>
                <w:sz w:val="22"/>
                <w:szCs w:val="22"/>
              </w:rPr>
              <w:t>Пропонується п.2.2.13. залишити в чинній редакції.</w:t>
            </w:r>
          </w:p>
          <w:p w14:paraId="7C199E3E" w14:textId="77777777" w:rsidR="00894ECB" w:rsidRPr="00D927E4" w:rsidRDefault="00894ECB" w:rsidP="00894ECB">
            <w:pPr>
              <w:ind w:right="459"/>
              <w:jc w:val="both"/>
              <w:rPr>
                <w:color w:val="000000"/>
                <w:sz w:val="22"/>
                <w:szCs w:val="22"/>
              </w:rPr>
            </w:pPr>
          </w:p>
          <w:p w14:paraId="7DD898E5" w14:textId="77777777" w:rsidR="00894ECB" w:rsidRPr="00D927E4" w:rsidRDefault="00894ECB" w:rsidP="00894ECB">
            <w:pPr>
              <w:ind w:right="459"/>
              <w:jc w:val="both"/>
              <w:rPr>
                <w:i/>
                <w:color w:val="000000"/>
                <w:sz w:val="22"/>
                <w:szCs w:val="22"/>
              </w:rPr>
            </w:pPr>
            <w:r w:rsidRPr="00D927E4">
              <w:rPr>
                <w:i/>
                <w:color w:val="000000"/>
                <w:sz w:val="22"/>
                <w:szCs w:val="22"/>
              </w:rPr>
              <w:t>ОБГРУНТУВАННЯ:</w:t>
            </w:r>
          </w:p>
          <w:p w14:paraId="796E8A71" w14:textId="77777777" w:rsidR="00894ECB" w:rsidRPr="00D927E4" w:rsidRDefault="00894ECB" w:rsidP="00894ECB">
            <w:pPr>
              <w:ind w:right="459"/>
              <w:jc w:val="both"/>
              <w:rPr>
                <w:color w:val="000000"/>
                <w:sz w:val="22"/>
                <w:szCs w:val="22"/>
              </w:rPr>
            </w:pPr>
          </w:p>
          <w:p w14:paraId="20C1F7A1" w14:textId="77777777" w:rsidR="00894ECB" w:rsidRPr="00D927E4" w:rsidRDefault="00894ECB" w:rsidP="00894ECB">
            <w:pPr>
              <w:suppressAutoHyphens/>
              <w:snapToGrid w:val="0"/>
              <w:spacing w:after="140" w:line="276" w:lineRule="auto"/>
              <w:jc w:val="both"/>
              <w:rPr>
                <w:sz w:val="22"/>
                <w:szCs w:val="22"/>
                <w:lang w:eastAsia="zh-CN"/>
              </w:rPr>
            </w:pPr>
            <w:r w:rsidRPr="00D927E4">
              <w:rPr>
                <w:sz w:val="22"/>
                <w:szCs w:val="22"/>
                <w:lang w:eastAsia="zh-CN"/>
              </w:rPr>
              <w:t xml:space="preserve">Як вбачається зі змісту наданого Регулятором обґрунтування до змін до Порядку, метою їх прийняття є уточнення розрахунку суми штрафу та інших положень Порядку. Натомість, по суті, запропоновані зміни мають на меті виключно суттєве посилення відповідальності </w:t>
            </w:r>
            <w:r w:rsidRPr="00D927E4">
              <w:rPr>
                <w:sz w:val="22"/>
                <w:szCs w:val="22"/>
                <w:lang w:eastAsia="zh-CN"/>
              </w:rPr>
              <w:lastRenderedPageBreak/>
              <w:t xml:space="preserve">ліцензіатів, чим порушуються принципи обґрунтованості, справедливості та доцільності.  </w:t>
            </w:r>
          </w:p>
          <w:p w14:paraId="4C45A897" w14:textId="77777777" w:rsidR="00894ECB" w:rsidRPr="00D927E4" w:rsidRDefault="00894ECB" w:rsidP="00894ECB">
            <w:pPr>
              <w:ind w:right="459"/>
              <w:jc w:val="both"/>
              <w:rPr>
                <w:color w:val="000000"/>
                <w:sz w:val="22"/>
                <w:szCs w:val="22"/>
              </w:rPr>
            </w:pPr>
          </w:p>
          <w:p w14:paraId="27617F2D" w14:textId="77777777" w:rsidR="00894ECB" w:rsidRPr="00D927E4" w:rsidRDefault="00894ECB" w:rsidP="00894ECB">
            <w:pPr>
              <w:ind w:right="459"/>
              <w:jc w:val="both"/>
              <w:rPr>
                <w:i/>
                <w:color w:val="000000"/>
                <w:sz w:val="22"/>
                <w:szCs w:val="22"/>
              </w:rPr>
            </w:pPr>
            <w:r w:rsidRPr="00D927E4">
              <w:rPr>
                <w:i/>
                <w:color w:val="000000"/>
                <w:sz w:val="22"/>
                <w:szCs w:val="22"/>
              </w:rPr>
              <w:t>АТ «НАЕК «ЕНЕРГОАТОМ»</w:t>
            </w:r>
          </w:p>
          <w:p w14:paraId="62589E6A" w14:textId="77777777" w:rsidR="00894ECB" w:rsidRPr="00D927E4" w:rsidRDefault="00894ECB" w:rsidP="00894ECB">
            <w:pPr>
              <w:ind w:right="459"/>
              <w:jc w:val="both"/>
              <w:rPr>
                <w:i/>
                <w:color w:val="000000"/>
                <w:sz w:val="22"/>
                <w:szCs w:val="22"/>
              </w:rPr>
            </w:pPr>
          </w:p>
          <w:p w14:paraId="7CC223C4" w14:textId="77777777" w:rsidR="00894ECB" w:rsidRPr="00D927E4" w:rsidRDefault="00894ECB" w:rsidP="00894ECB">
            <w:pPr>
              <w:tabs>
                <w:tab w:val="left" w:pos="342"/>
              </w:tabs>
              <w:ind w:firstLine="340"/>
              <w:jc w:val="both"/>
              <w:rPr>
                <w:rFonts w:eastAsia="Calibri"/>
                <w:sz w:val="22"/>
                <w:szCs w:val="22"/>
                <w:lang w:eastAsia="en-US"/>
              </w:rPr>
            </w:pPr>
            <w:r w:rsidRPr="00D927E4">
              <w:rPr>
                <w:rFonts w:eastAsia="Calibri"/>
                <w:b/>
                <w:sz w:val="22"/>
                <w:szCs w:val="22"/>
                <w:lang w:eastAsia="en-US"/>
              </w:rPr>
              <w:t>2.2.13.</w:t>
            </w:r>
            <w:r w:rsidRPr="00D927E4">
              <w:rPr>
                <w:rFonts w:eastAsia="Calibri"/>
                <w:sz w:val="22"/>
                <w:szCs w:val="22"/>
                <w:lang w:eastAsia="en-US"/>
              </w:rPr>
              <w:t xml:space="preserve"> Значення балів, що присвоєні відповідним критеріям, наведеним у пунктах 2.2.7 - </w:t>
            </w:r>
            <w:r w:rsidRPr="00D927E4">
              <w:rPr>
                <w:rFonts w:eastAsia="Calibri"/>
                <w:b/>
                <w:sz w:val="22"/>
                <w:szCs w:val="22"/>
                <w:lang w:eastAsia="en-US"/>
              </w:rPr>
              <w:t>2.2.11</w:t>
            </w:r>
            <w:r w:rsidRPr="00D927E4">
              <w:rPr>
                <w:rFonts w:eastAsia="Calibri"/>
                <w:sz w:val="22"/>
                <w:szCs w:val="22"/>
                <w:lang w:eastAsia="en-US"/>
              </w:rPr>
              <w:t xml:space="preserve"> цієї глави, підсумовуються і отримана сума балів становить оцінку серйозності та характеру порушення та визначає такі величини відсотків від максимального розміру штрафу, передбаченого чинним законодавством, що застосовуються для цілей формули 1.</w:t>
            </w:r>
          </w:p>
          <w:tbl>
            <w:tblPr>
              <w:tblW w:w="5442" w:type="dxa"/>
              <w:tblCellSpacing w:w="0" w:type="auto"/>
              <w:tblLayout w:type="fixed"/>
              <w:tblLook w:val="04A0" w:firstRow="1" w:lastRow="0" w:firstColumn="1" w:lastColumn="0" w:noHBand="0" w:noVBand="1"/>
            </w:tblPr>
            <w:tblGrid>
              <w:gridCol w:w="2721"/>
              <w:gridCol w:w="2721"/>
            </w:tblGrid>
            <w:tr w:rsidR="00894ECB" w:rsidRPr="00D927E4" w14:paraId="2AD54310" w14:textId="77777777" w:rsidTr="003508AC">
              <w:trPr>
                <w:trHeight w:val="120"/>
                <w:tblCellSpacing w:w="0" w:type="auto"/>
              </w:trPr>
              <w:tc>
                <w:tcPr>
                  <w:tcW w:w="2721" w:type="dxa"/>
                  <w:vAlign w:val="center"/>
                </w:tcPr>
                <w:p w14:paraId="3EE31F8C" w14:textId="77777777" w:rsidR="00894ECB" w:rsidRPr="00D927E4" w:rsidRDefault="00894ECB" w:rsidP="00894ECB">
                  <w:pPr>
                    <w:spacing w:line="259" w:lineRule="auto"/>
                    <w:jc w:val="center"/>
                    <w:rPr>
                      <w:rFonts w:eastAsia="Calibri"/>
                      <w:b/>
                      <w:bCs/>
                      <w:sz w:val="22"/>
                      <w:szCs w:val="22"/>
                      <w:lang w:eastAsia="en-US"/>
                    </w:rPr>
                  </w:pPr>
                  <w:r w:rsidRPr="00D927E4">
                    <w:rPr>
                      <w:rFonts w:eastAsia="Calibri"/>
                      <w:b/>
                      <w:bCs/>
                      <w:color w:val="000000"/>
                      <w:sz w:val="22"/>
                      <w:szCs w:val="22"/>
                      <w:lang w:eastAsia="en-US"/>
                    </w:rPr>
                    <w:t>Сума оцінки серйозності та характеру (бали)</w:t>
                  </w:r>
                </w:p>
              </w:tc>
              <w:tc>
                <w:tcPr>
                  <w:tcW w:w="2721" w:type="dxa"/>
                  <w:vAlign w:val="center"/>
                </w:tcPr>
                <w:p w14:paraId="2A3E15C0" w14:textId="77777777" w:rsidR="00894ECB" w:rsidRPr="00D927E4" w:rsidRDefault="00894ECB" w:rsidP="00894ECB">
                  <w:pPr>
                    <w:spacing w:line="259" w:lineRule="auto"/>
                    <w:jc w:val="center"/>
                    <w:rPr>
                      <w:rFonts w:eastAsia="Calibri"/>
                      <w:b/>
                      <w:bCs/>
                      <w:sz w:val="22"/>
                      <w:szCs w:val="22"/>
                      <w:lang w:eastAsia="en-US"/>
                    </w:rPr>
                  </w:pPr>
                  <w:r w:rsidRPr="00D927E4">
                    <w:rPr>
                      <w:rFonts w:eastAsia="Calibri"/>
                      <w:b/>
                      <w:bCs/>
                      <w:color w:val="000000"/>
                      <w:sz w:val="22"/>
                      <w:szCs w:val="22"/>
                      <w:lang w:eastAsia="en-US"/>
                    </w:rPr>
                    <w:t>Відсоток серйозності та характеру порушення</w:t>
                  </w:r>
                </w:p>
              </w:tc>
            </w:tr>
            <w:tr w:rsidR="00894ECB" w:rsidRPr="00D927E4" w14:paraId="0418CD3F" w14:textId="77777777" w:rsidTr="003508AC">
              <w:trPr>
                <w:trHeight w:val="120"/>
                <w:tblCellSpacing w:w="0" w:type="auto"/>
              </w:trPr>
              <w:tc>
                <w:tcPr>
                  <w:tcW w:w="2721" w:type="dxa"/>
                  <w:vAlign w:val="center"/>
                </w:tcPr>
                <w:p w14:paraId="527A8E42" w14:textId="77777777" w:rsidR="00894ECB" w:rsidRPr="00D927E4" w:rsidRDefault="00894ECB" w:rsidP="00894ECB">
                  <w:pPr>
                    <w:spacing w:line="259" w:lineRule="auto"/>
                    <w:jc w:val="center"/>
                    <w:rPr>
                      <w:rFonts w:eastAsia="Calibri"/>
                      <w:b/>
                      <w:bCs/>
                      <w:sz w:val="22"/>
                      <w:szCs w:val="22"/>
                      <w:lang w:eastAsia="en-US"/>
                    </w:rPr>
                  </w:pPr>
                  <w:r w:rsidRPr="00D927E4">
                    <w:rPr>
                      <w:rFonts w:eastAsia="Calibri"/>
                      <w:b/>
                      <w:bCs/>
                      <w:color w:val="000000"/>
                      <w:sz w:val="22"/>
                      <w:szCs w:val="22"/>
                      <w:lang w:eastAsia="en-US"/>
                    </w:rPr>
                    <w:t>5 - 8</w:t>
                  </w:r>
                </w:p>
              </w:tc>
              <w:tc>
                <w:tcPr>
                  <w:tcW w:w="2721" w:type="dxa"/>
                  <w:vAlign w:val="center"/>
                </w:tcPr>
                <w:p w14:paraId="42B064D3" w14:textId="77777777" w:rsidR="00894ECB" w:rsidRPr="00D927E4" w:rsidRDefault="00894ECB" w:rsidP="00894ECB">
                  <w:pPr>
                    <w:spacing w:line="259" w:lineRule="auto"/>
                    <w:jc w:val="center"/>
                    <w:rPr>
                      <w:rFonts w:eastAsia="Calibri"/>
                      <w:b/>
                      <w:bCs/>
                      <w:sz w:val="22"/>
                      <w:szCs w:val="22"/>
                      <w:lang w:eastAsia="en-US"/>
                    </w:rPr>
                  </w:pPr>
                  <w:r w:rsidRPr="00D927E4">
                    <w:rPr>
                      <w:rFonts w:eastAsia="Calibri"/>
                      <w:b/>
                      <w:bCs/>
                      <w:color w:val="000000"/>
                      <w:sz w:val="22"/>
                      <w:szCs w:val="22"/>
                      <w:lang w:eastAsia="en-US"/>
                    </w:rPr>
                    <w:t>2 %</w:t>
                  </w:r>
                </w:p>
              </w:tc>
            </w:tr>
            <w:tr w:rsidR="00894ECB" w:rsidRPr="00D927E4" w14:paraId="5F40CC16" w14:textId="77777777" w:rsidTr="003508AC">
              <w:trPr>
                <w:trHeight w:val="120"/>
                <w:tblCellSpacing w:w="0" w:type="auto"/>
              </w:trPr>
              <w:tc>
                <w:tcPr>
                  <w:tcW w:w="2721" w:type="dxa"/>
                  <w:vAlign w:val="center"/>
                </w:tcPr>
                <w:p w14:paraId="46868E27" w14:textId="77777777" w:rsidR="00894ECB" w:rsidRPr="00D927E4" w:rsidRDefault="00894ECB" w:rsidP="00894ECB">
                  <w:pPr>
                    <w:spacing w:line="259" w:lineRule="auto"/>
                    <w:jc w:val="center"/>
                    <w:rPr>
                      <w:rFonts w:eastAsia="Calibri"/>
                      <w:b/>
                      <w:bCs/>
                      <w:sz w:val="22"/>
                      <w:szCs w:val="22"/>
                      <w:lang w:eastAsia="en-US"/>
                    </w:rPr>
                  </w:pPr>
                  <w:r w:rsidRPr="00D927E4">
                    <w:rPr>
                      <w:rFonts w:eastAsia="Calibri"/>
                      <w:b/>
                      <w:bCs/>
                      <w:color w:val="000000"/>
                      <w:sz w:val="22"/>
                      <w:szCs w:val="22"/>
                      <w:lang w:eastAsia="en-US"/>
                    </w:rPr>
                    <w:t>9 - 12</w:t>
                  </w:r>
                </w:p>
              </w:tc>
              <w:tc>
                <w:tcPr>
                  <w:tcW w:w="2721" w:type="dxa"/>
                  <w:vAlign w:val="center"/>
                </w:tcPr>
                <w:p w14:paraId="330844B6" w14:textId="77777777" w:rsidR="00894ECB" w:rsidRPr="00D927E4" w:rsidRDefault="00894ECB" w:rsidP="00894ECB">
                  <w:pPr>
                    <w:spacing w:line="259" w:lineRule="auto"/>
                    <w:jc w:val="center"/>
                    <w:rPr>
                      <w:rFonts w:eastAsia="Calibri"/>
                      <w:b/>
                      <w:bCs/>
                      <w:sz w:val="22"/>
                      <w:szCs w:val="22"/>
                      <w:lang w:eastAsia="en-US"/>
                    </w:rPr>
                  </w:pPr>
                  <w:r w:rsidRPr="00D927E4">
                    <w:rPr>
                      <w:rFonts w:eastAsia="Calibri"/>
                      <w:b/>
                      <w:bCs/>
                      <w:color w:val="000000"/>
                      <w:sz w:val="22"/>
                      <w:szCs w:val="22"/>
                      <w:lang w:eastAsia="en-US"/>
                    </w:rPr>
                    <w:t>4 %</w:t>
                  </w:r>
                </w:p>
              </w:tc>
            </w:tr>
            <w:tr w:rsidR="00894ECB" w:rsidRPr="00D927E4" w14:paraId="2CAAE219" w14:textId="77777777" w:rsidTr="003508AC">
              <w:trPr>
                <w:trHeight w:val="120"/>
                <w:tblCellSpacing w:w="0" w:type="auto"/>
              </w:trPr>
              <w:tc>
                <w:tcPr>
                  <w:tcW w:w="2721" w:type="dxa"/>
                  <w:vAlign w:val="center"/>
                </w:tcPr>
                <w:p w14:paraId="53E25D41" w14:textId="77777777" w:rsidR="00894ECB" w:rsidRPr="00D927E4" w:rsidRDefault="00894ECB" w:rsidP="00894ECB">
                  <w:pPr>
                    <w:spacing w:line="259" w:lineRule="auto"/>
                    <w:jc w:val="center"/>
                    <w:rPr>
                      <w:rFonts w:eastAsia="Calibri"/>
                      <w:b/>
                      <w:bCs/>
                      <w:sz w:val="22"/>
                      <w:szCs w:val="22"/>
                      <w:lang w:eastAsia="en-US"/>
                    </w:rPr>
                  </w:pPr>
                  <w:r w:rsidRPr="00D927E4">
                    <w:rPr>
                      <w:rFonts w:eastAsia="Calibri"/>
                      <w:b/>
                      <w:bCs/>
                      <w:color w:val="000000"/>
                      <w:sz w:val="22"/>
                      <w:szCs w:val="22"/>
                      <w:lang w:eastAsia="en-US"/>
                    </w:rPr>
                    <w:t>13 - 15</w:t>
                  </w:r>
                </w:p>
              </w:tc>
              <w:tc>
                <w:tcPr>
                  <w:tcW w:w="2721" w:type="dxa"/>
                  <w:vAlign w:val="center"/>
                </w:tcPr>
                <w:p w14:paraId="2E206AB8" w14:textId="77777777" w:rsidR="00894ECB" w:rsidRPr="00D927E4" w:rsidRDefault="00894ECB" w:rsidP="00894ECB">
                  <w:pPr>
                    <w:spacing w:line="259" w:lineRule="auto"/>
                    <w:jc w:val="center"/>
                    <w:rPr>
                      <w:rFonts w:eastAsia="Calibri"/>
                      <w:b/>
                      <w:bCs/>
                      <w:sz w:val="22"/>
                      <w:szCs w:val="22"/>
                      <w:lang w:eastAsia="en-US"/>
                    </w:rPr>
                  </w:pPr>
                  <w:r w:rsidRPr="00D927E4">
                    <w:rPr>
                      <w:rFonts w:eastAsia="Calibri"/>
                      <w:b/>
                      <w:bCs/>
                      <w:color w:val="000000"/>
                      <w:sz w:val="22"/>
                      <w:szCs w:val="22"/>
                      <w:lang w:eastAsia="en-US"/>
                    </w:rPr>
                    <w:t>5 %</w:t>
                  </w:r>
                </w:p>
              </w:tc>
            </w:tr>
            <w:tr w:rsidR="00894ECB" w:rsidRPr="00D927E4" w14:paraId="0424FAF5" w14:textId="77777777" w:rsidTr="003508AC">
              <w:trPr>
                <w:trHeight w:val="120"/>
                <w:tblCellSpacing w:w="0" w:type="auto"/>
              </w:trPr>
              <w:tc>
                <w:tcPr>
                  <w:tcW w:w="2721" w:type="dxa"/>
                  <w:vAlign w:val="center"/>
                </w:tcPr>
                <w:p w14:paraId="32B096F9" w14:textId="77777777" w:rsidR="00894ECB" w:rsidRPr="00D927E4" w:rsidRDefault="00894ECB" w:rsidP="00894ECB">
                  <w:pPr>
                    <w:spacing w:line="259" w:lineRule="auto"/>
                    <w:jc w:val="center"/>
                    <w:rPr>
                      <w:rFonts w:eastAsia="Calibri"/>
                      <w:b/>
                      <w:bCs/>
                      <w:sz w:val="22"/>
                      <w:szCs w:val="22"/>
                      <w:lang w:eastAsia="en-US"/>
                    </w:rPr>
                  </w:pPr>
                  <w:r w:rsidRPr="00D927E4">
                    <w:rPr>
                      <w:rFonts w:eastAsia="Calibri"/>
                      <w:b/>
                      <w:bCs/>
                      <w:color w:val="000000"/>
                      <w:sz w:val="22"/>
                      <w:szCs w:val="22"/>
                      <w:lang w:eastAsia="en-US"/>
                    </w:rPr>
                    <w:t>16 - 18</w:t>
                  </w:r>
                </w:p>
              </w:tc>
              <w:tc>
                <w:tcPr>
                  <w:tcW w:w="2721" w:type="dxa"/>
                  <w:vAlign w:val="center"/>
                </w:tcPr>
                <w:p w14:paraId="3B9CA9A5" w14:textId="77777777" w:rsidR="00894ECB" w:rsidRPr="00D927E4" w:rsidRDefault="00894ECB" w:rsidP="00894ECB">
                  <w:pPr>
                    <w:spacing w:line="259" w:lineRule="auto"/>
                    <w:jc w:val="center"/>
                    <w:rPr>
                      <w:rFonts w:eastAsia="Calibri"/>
                      <w:b/>
                      <w:bCs/>
                      <w:sz w:val="22"/>
                      <w:szCs w:val="22"/>
                      <w:lang w:eastAsia="en-US"/>
                    </w:rPr>
                  </w:pPr>
                  <w:r w:rsidRPr="00D927E4">
                    <w:rPr>
                      <w:rFonts w:eastAsia="Calibri"/>
                      <w:b/>
                      <w:bCs/>
                      <w:color w:val="000000"/>
                      <w:sz w:val="22"/>
                      <w:szCs w:val="22"/>
                      <w:lang w:eastAsia="en-US"/>
                    </w:rPr>
                    <w:t>9 %</w:t>
                  </w:r>
                </w:p>
              </w:tc>
            </w:tr>
            <w:tr w:rsidR="00894ECB" w:rsidRPr="00D927E4" w14:paraId="19BF6D64" w14:textId="77777777" w:rsidTr="003508AC">
              <w:trPr>
                <w:trHeight w:val="120"/>
                <w:tblCellSpacing w:w="0" w:type="auto"/>
              </w:trPr>
              <w:tc>
                <w:tcPr>
                  <w:tcW w:w="2721" w:type="dxa"/>
                  <w:vAlign w:val="center"/>
                </w:tcPr>
                <w:p w14:paraId="19BC3E95" w14:textId="77777777" w:rsidR="00894ECB" w:rsidRPr="00D927E4" w:rsidRDefault="00894ECB" w:rsidP="00894ECB">
                  <w:pPr>
                    <w:spacing w:line="259" w:lineRule="auto"/>
                    <w:jc w:val="center"/>
                    <w:rPr>
                      <w:rFonts w:eastAsia="Calibri"/>
                      <w:b/>
                      <w:bCs/>
                      <w:sz w:val="22"/>
                      <w:szCs w:val="22"/>
                      <w:lang w:eastAsia="en-US"/>
                    </w:rPr>
                  </w:pPr>
                  <w:r w:rsidRPr="00D927E4">
                    <w:rPr>
                      <w:rFonts w:eastAsia="Calibri"/>
                      <w:b/>
                      <w:bCs/>
                      <w:color w:val="000000"/>
                      <w:sz w:val="22"/>
                      <w:szCs w:val="22"/>
                      <w:lang w:eastAsia="en-US"/>
                    </w:rPr>
                    <w:t>19 - 21</w:t>
                  </w:r>
                </w:p>
              </w:tc>
              <w:tc>
                <w:tcPr>
                  <w:tcW w:w="2721" w:type="dxa"/>
                  <w:vAlign w:val="center"/>
                </w:tcPr>
                <w:p w14:paraId="65B988BB" w14:textId="77777777" w:rsidR="00894ECB" w:rsidRPr="00D927E4" w:rsidRDefault="00894ECB" w:rsidP="00894ECB">
                  <w:pPr>
                    <w:spacing w:line="259" w:lineRule="auto"/>
                    <w:jc w:val="center"/>
                    <w:rPr>
                      <w:rFonts w:eastAsia="Calibri"/>
                      <w:b/>
                      <w:bCs/>
                      <w:sz w:val="22"/>
                      <w:szCs w:val="22"/>
                      <w:lang w:eastAsia="en-US"/>
                    </w:rPr>
                  </w:pPr>
                  <w:r w:rsidRPr="00D927E4">
                    <w:rPr>
                      <w:rFonts w:eastAsia="Calibri"/>
                      <w:b/>
                      <w:bCs/>
                      <w:color w:val="000000"/>
                      <w:sz w:val="22"/>
                      <w:szCs w:val="22"/>
                      <w:lang w:eastAsia="en-US"/>
                    </w:rPr>
                    <w:t>15 %</w:t>
                  </w:r>
                </w:p>
              </w:tc>
            </w:tr>
          </w:tbl>
          <w:p w14:paraId="5FD447AE" w14:textId="77777777" w:rsidR="00894ECB" w:rsidRPr="00D927E4" w:rsidRDefault="00894ECB" w:rsidP="00894ECB">
            <w:pPr>
              <w:ind w:right="459"/>
              <w:jc w:val="both"/>
              <w:rPr>
                <w:color w:val="000000"/>
                <w:sz w:val="22"/>
                <w:szCs w:val="22"/>
              </w:rPr>
            </w:pPr>
          </w:p>
          <w:p w14:paraId="6DCEBA72" w14:textId="77777777" w:rsidR="00894ECB" w:rsidRPr="00D927E4" w:rsidRDefault="00894ECB" w:rsidP="00894ECB">
            <w:pPr>
              <w:ind w:right="459"/>
              <w:jc w:val="both"/>
              <w:rPr>
                <w:i/>
                <w:color w:val="000000"/>
                <w:sz w:val="22"/>
                <w:szCs w:val="22"/>
              </w:rPr>
            </w:pPr>
            <w:r w:rsidRPr="00D927E4">
              <w:rPr>
                <w:i/>
                <w:color w:val="000000"/>
                <w:sz w:val="22"/>
                <w:szCs w:val="22"/>
              </w:rPr>
              <w:t>ОБГРУНТУВАННЯ:</w:t>
            </w:r>
          </w:p>
          <w:p w14:paraId="2ED39842" w14:textId="77777777" w:rsidR="00894ECB" w:rsidRPr="00D927E4" w:rsidRDefault="00894ECB" w:rsidP="00894ECB">
            <w:pPr>
              <w:ind w:right="459"/>
              <w:jc w:val="both"/>
              <w:rPr>
                <w:i/>
                <w:color w:val="000000"/>
                <w:sz w:val="22"/>
                <w:szCs w:val="22"/>
              </w:rPr>
            </w:pPr>
          </w:p>
          <w:p w14:paraId="0684E4BC" w14:textId="77777777" w:rsidR="00894ECB" w:rsidRPr="00D927E4" w:rsidRDefault="00894ECB" w:rsidP="00894ECB">
            <w:pPr>
              <w:ind w:right="459"/>
              <w:jc w:val="both"/>
              <w:rPr>
                <w:color w:val="000000"/>
                <w:sz w:val="22"/>
                <w:szCs w:val="22"/>
              </w:rPr>
            </w:pPr>
            <w:r w:rsidRPr="00D927E4">
              <w:rPr>
                <w:color w:val="000000"/>
                <w:sz w:val="22"/>
                <w:szCs w:val="22"/>
              </w:rPr>
              <w:t xml:space="preserve">Пропонуємо залишити положення пунктів у діючі редакції. </w:t>
            </w:r>
          </w:p>
          <w:p w14:paraId="3347C216" w14:textId="77777777" w:rsidR="00894ECB" w:rsidRPr="00D927E4" w:rsidRDefault="00894ECB" w:rsidP="00894ECB">
            <w:pPr>
              <w:ind w:right="459"/>
              <w:jc w:val="both"/>
              <w:rPr>
                <w:color w:val="000000"/>
                <w:sz w:val="22"/>
                <w:szCs w:val="22"/>
              </w:rPr>
            </w:pPr>
            <w:r w:rsidRPr="00D927E4">
              <w:rPr>
                <w:color w:val="000000"/>
                <w:sz w:val="22"/>
                <w:szCs w:val="22"/>
              </w:rPr>
              <w:t>ЗУ «ПРЕЕ» визначено, що рішення (заходи) суб’єктів владних повноважень, прийняті на виконання норм цього Закону, мають прийматися на підставі, у межах повноважень та у спосіб, що передбачено законодавством, відповідати меті, з якою повноваження надані, бути обґрунтованими, відповідати принципам неупередженості, добросовісності, розсудливості, пропорційності, прозорості, недискримінації та своєчасності.</w:t>
            </w:r>
          </w:p>
          <w:p w14:paraId="62ED8BE6" w14:textId="77777777" w:rsidR="00894ECB" w:rsidRPr="00D927E4" w:rsidRDefault="00894ECB" w:rsidP="00894ECB">
            <w:pPr>
              <w:ind w:right="459"/>
              <w:jc w:val="both"/>
              <w:rPr>
                <w:color w:val="000000"/>
                <w:sz w:val="22"/>
                <w:szCs w:val="22"/>
              </w:rPr>
            </w:pPr>
            <w:r w:rsidRPr="00D927E4">
              <w:rPr>
                <w:color w:val="000000"/>
                <w:sz w:val="22"/>
                <w:szCs w:val="22"/>
              </w:rPr>
              <w:t xml:space="preserve">Згідно із ЗУ «Про засади державної регуляторної політики у сфері господарської діяльності» забезпечення здійснення державної регуляторної політики включає, зокрема,  недопущення прийняття регуляторних актів, які є непослідовними. </w:t>
            </w:r>
          </w:p>
          <w:p w14:paraId="4E1CE273" w14:textId="77777777" w:rsidR="00894ECB" w:rsidRPr="00D927E4" w:rsidRDefault="00894ECB" w:rsidP="00894ECB">
            <w:pPr>
              <w:ind w:right="459"/>
              <w:jc w:val="both"/>
              <w:rPr>
                <w:color w:val="000000"/>
                <w:sz w:val="22"/>
                <w:szCs w:val="22"/>
              </w:rPr>
            </w:pPr>
            <w:r w:rsidRPr="00D927E4">
              <w:rPr>
                <w:color w:val="000000"/>
                <w:sz w:val="22"/>
                <w:szCs w:val="22"/>
              </w:rPr>
              <w:lastRenderedPageBreak/>
              <w:t xml:space="preserve">Постановою НКРЕКП від 20.02.2024  </w:t>
            </w:r>
          </w:p>
          <w:p w14:paraId="45284532" w14:textId="77777777" w:rsidR="00894ECB" w:rsidRPr="00D927E4" w:rsidRDefault="00894ECB" w:rsidP="00894ECB">
            <w:pPr>
              <w:ind w:right="459"/>
              <w:jc w:val="both"/>
              <w:rPr>
                <w:color w:val="000000"/>
                <w:sz w:val="22"/>
                <w:szCs w:val="22"/>
              </w:rPr>
            </w:pPr>
            <w:r w:rsidRPr="00D927E4">
              <w:rPr>
                <w:color w:val="000000"/>
                <w:sz w:val="22"/>
                <w:szCs w:val="22"/>
              </w:rPr>
              <w:t xml:space="preserve">№ 365 було </w:t>
            </w:r>
            <w:proofErr w:type="spellStart"/>
            <w:r w:rsidRPr="00D927E4">
              <w:rPr>
                <w:color w:val="000000"/>
                <w:sz w:val="22"/>
                <w:szCs w:val="22"/>
              </w:rPr>
              <w:t>внесено</w:t>
            </w:r>
            <w:proofErr w:type="spellEnd"/>
            <w:r w:rsidRPr="00D927E4">
              <w:rPr>
                <w:color w:val="000000"/>
                <w:sz w:val="22"/>
                <w:szCs w:val="22"/>
              </w:rPr>
              <w:t xml:space="preserve"> зміни до Порядку в частині зменшення: суми оцінки серйозності та характеру; відсотку серйозності та характеру порушення; коефіцієнту відповідно до розміру завданої шкоди/отриманої додаткової вигоди.</w:t>
            </w:r>
          </w:p>
          <w:p w14:paraId="34F36CD3" w14:textId="77777777" w:rsidR="00894ECB" w:rsidRPr="00D927E4" w:rsidRDefault="00894ECB" w:rsidP="00894ECB">
            <w:pPr>
              <w:ind w:right="459"/>
              <w:jc w:val="both"/>
              <w:rPr>
                <w:color w:val="000000"/>
                <w:sz w:val="22"/>
                <w:szCs w:val="22"/>
              </w:rPr>
            </w:pPr>
            <w:r w:rsidRPr="00D927E4">
              <w:rPr>
                <w:color w:val="000000"/>
                <w:sz w:val="22"/>
                <w:szCs w:val="22"/>
              </w:rPr>
              <w:t xml:space="preserve">Відповідним </w:t>
            </w:r>
            <w:proofErr w:type="spellStart"/>
            <w:r w:rsidRPr="00D927E4">
              <w:rPr>
                <w:color w:val="000000"/>
                <w:sz w:val="22"/>
                <w:szCs w:val="22"/>
              </w:rPr>
              <w:t>проєктом</w:t>
            </w:r>
            <w:proofErr w:type="spellEnd"/>
            <w:r w:rsidRPr="00D927E4">
              <w:rPr>
                <w:color w:val="000000"/>
                <w:sz w:val="22"/>
                <w:szCs w:val="22"/>
              </w:rPr>
              <w:t xml:space="preserve"> змін пропонується збільшити вищевказані показники.</w:t>
            </w:r>
          </w:p>
          <w:p w14:paraId="79A2B670" w14:textId="77777777" w:rsidR="00894ECB" w:rsidRPr="00D927E4" w:rsidRDefault="00894ECB" w:rsidP="00894ECB">
            <w:pPr>
              <w:spacing w:after="120"/>
              <w:jc w:val="both"/>
              <w:rPr>
                <w:sz w:val="22"/>
                <w:szCs w:val="22"/>
              </w:rPr>
            </w:pPr>
            <w:r w:rsidRPr="00D927E4">
              <w:rPr>
                <w:color w:val="000000"/>
                <w:sz w:val="22"/>
                <w:szCs w:val="22"/>
              </w:rPr>
              <w:t>Таким чином, зміни запропоновані без достатнього обґрунтування та спрямовані на значне погіршення для ліцензіата умов розрахунку розміру штрафу, що в свою чергу фактично суперечать попередньо прийнятому Регулятором рішенню та свідчить про непослідовність у прийнятті рішень, а також порушення принципів енергетичного законодавства.</w:t>
            </w:r>
          </w:p>
          <w:p w14:paraId="723DD414" w14:textId="77777777" w:rsidR="00894ECB" w:rsidRPr="00D927E4" w:rsidRDefault="00894ECB" w:rsidP="00894ECB">
            <w:pPr>
              <w:spacing w:after="120"/>
              <w:jc w:val="both"/>
              <w:rPr>
                <w:sz w:val="22"/>
                <w:szCs w:val="22"/>
              </w:rPr>
            </w:pPr>
          </w:p>
        </w:tc>
        <w:tc>
          <w:tcPr>
            <w:tcW w:w="3549" w:type="dxa"/>
          </w:tcPr>
          <w:p w14:paraId="48FE0AF6" w14:textId="77777777" w:rsidR="00F64EC1" w:rsidRDefault="00F64EC1" w:rsidP="00FA4E4A">
            <w:pPr>
              <w:jc w:val="both"/>
              <w:rPr>
                <w:b/>
                <w:sz w:val="22"/>
                <w:szCs w:val="22"/>
                <w:shd w:val="clear" w:color="auto" w:fill="FFFFFF"/>
              </w:rPr>
            </w:pPr>
          </w:p>
          <w:p w14:paraId="54F75768" w14:textId="77777777" w:rsidR="00FA4E4A" w:rsidRDefault="00FA4E4A" w:rsidP="00FA4E4A">
            <w:pPr>
              <w:jc w:val="both"/>
              <w:rPr>
                <w:b/>
                <w:sz w:val="22"/>
                <w:szCs w:val="22"/>
                <w:shd w:val="clear" w:color="auto" w:fill="FFFFFF"/>
              </w:rPr>
            </w:pPr>
            <w:r w:rsidRPr="000C2DD6">
              <w:rPr>
                <w:b/>
                <w:sz w:val="22"/>
                <w:szCs w:val="22"/>
                <w:shd w:val="clear" w:color="auto" w:fill="FFFFFF"/>
              </w:rPr>
              <w:t>Не враховано</w:t>
            </w:r>
            <w:r>
              <w:rPr>
                <w:b/>
                <w:sz w:val="22"/>
                <w:szCs w:val="22"/>
                <w:shd w:val="clear" w:color="auto" w:fill="FFFFFF"/>
              </w:rPr>
              <w:t xml:space="preserve"> (загальна позиція щодо усіх зауважень до цього пункту)</w:t>
            </w:r>
          </w:p>
          <w:p w14:paraId="2FE11B08" w14:textId="77777777" w:rsidR="00FA4E4A" w:rsidRPr="009C7939" w:rsidRDefault="00FA4E4A" w:rsidP="00FA4E4A">
            <w:pPr>
              <w:jc w:val="both"/>
              <w:rPr>
                <w:sz w:val="22"/>
                <w:szCs w:val="22"/>
                <w:shd w:val="clear" w:color="auto" w:fill="FFFFFF"/>
              </w:rPr>
            </w:pPr>
          </w:p>
          <w:p w14:paraId="69D6CB1C" w14:textId="77777777" w:rsidR="00894ECB" w:rsidRPr="00FA4E4A" w:rsidRDefault="00FA4E4A" w:rsidP="00FA4E4A">
            <w:pPr>
              <w:jc w:val="both"/>
              <w:rPr>
                <w:b/>
                <w:sz w:val="22"/>
                <w:szCs w:val="22"/>
                <w:shd w:val="clear" w:color="auto" w:fill="FFFFFF"/>
              </w:rPr>
            </w:pPr>
            <w:r>
              <w:rPr>
                <w:sz w:val="22"/>
                <w:szCs w:val="22"/>
                <w:shd w:val="clear" w:color="auto" w:fill="FFFFFF"/>
              </w:rPr>
              <w:t>Оскільки зазначені зміни спрямовані на усунення можливої диспропорції при застосуванні санкцій до суб</w:t>
            </w:r>
            <w:r w:rsidRPr="004B5D74">
              <w:rPr>
                <w:sz w:val="22"/>
                <w:szCs w:val="22"/>
                <w:shd w:val="clear" w:color="auto" w:fill="FFFFFF"/>
              </w:rPr>
              <w:t>’</w:t>
            </w:r>
            <w:r>
              <w:rPr>
                <w:sz w:val="22"/>
                <w:szCs w:val="22"/>
                <w:shd w:val="clear" w:color="auto" w:fill="FFFFFF"/>
              </w:rPr>
              <w:t>єктів малого підприємництва</w:t>
            </w:r>
          </w:p>
        </w:tc>
      </w:tr>
      <w:tr w:rsidR="00894ECB" w:rsidRPr="00D927E4" w14:paraId="33E48994" w14:textId="77777777" w:rsidTr="00894ECB">
        <w:trPr>
          <w:trHeight w:val="595"/>
        </w:trPr>
        <w:tc>
          <w:tcPr>
            <w:tcW w:w="5839" w:type="dxa"/>
          </w:tcPr>
          <w:p w14:paraId="1D34451D" w14:textId="77777777" w:rsidR="00894ECB" w:rsidRPr="00D927E4" w:rsidRDefault="00894ECB" w:rsidP="00894ECB">
            <w:pPr>
              <w:spacing w:after="160" w:line="259" w:lineRule="auto"/>
              <w:ind w:firstLine="240"/>
              <w:rPr>
                <w:rFonts w:eastAsia="Calibri"/>
                <w:b/>
                <w:color w:val="000000"/>
                <w:sz w:val="22"/>
                <w:szCs w:val="22"/>
                <w:lang w:eastAsia="en-US"/>
              </w:rPr>
            </w:pPr>
          </w:p>
          <w:p w14:paraId="794C3163" w14:textId="77777777" w:rsidR="00894ECB" w:rsidRPr="00D927E4" w:rsidRDefault="00894ECB" w:rsidP="00894ECB">
            <w:pPr>
              <w:spacing w:after="160" w:line="259" w:lineRule="auto"/>
              <w:ind w:firstLine="240"/>
              <w:rPr>
                <w:rFonts w:eastAsia="Calibri"/>
                <w:sz w:val="22"/>
                <w:szCs w:val="22"/>
                <w:lang w:eastAsia="en-US"/>
              </w:rPr>
            </w:pPr>
            <w:r w:rsidRPr="00D927E4">
              <w:rPr>
                <w:rFonts w:eastAsia="Calibri"/>
                <w:b/>
                <w:color w:val="000000"/>
                <w:sz w:val="22"/>
                <w:szCs w:val="22"/>
                <w:lang w:eastAsia="en-US"/>
              </w:rPr>
              <w:t>2.2.14.</w:t>
            </w:r>
            <w:r w:rsidRPr="00D927E4">
              <w:rPr>
                <w:rFonts w:eastAsia="Calibri"/>
                <w:color w:val="000000"/>
                <w:sz w:val="22"/>
                <w:szCs w:val="22"/>
                <w:lang w:eastAsia="en-US"/>
              </w:rPr>
              <w:t xml:space="preserve"> НКРЕКП припиняє розрахунок розміру штрафів та застосовує інші види санкцій, передбачені чинним законодавством, якщо сума оцінки серйозності та характеру порушення, розрахована відповідно до пункту 2.2.12 цієї глави, не перевищує 11.</w:t>
            </w:r>
          </w:p>
          <w:p w14:paraId="7B0FAA95" w14:textId="77777777" w:rsidR="00894ECB" w:rsidRPr="00D927E4" w:rsidRDefault="00894ECB" w:rsidP="00894ECB">
            <w:pPr>
              <w:spacing w:after="160" w:line="259" w:lineRule="auto"/>
              <w:ind w:firstLine="240"/>
              <w:rPr>
                <w:rFonts w:eastAsia="Calibri"/>
                <w:b/>
                <w:color w:val="000000"/>
                <w:sz w:val="22"/>
                <w:szCs w:val="22"/>
                <w:lang w:eastAsia="en-US"/>
              </w:rPr>
            </w:pPr>
            <w:r w:rsidRPr="00D927E4">
              <w:rPr>
                <w:rFonts w:eastAsia="Calibri"/>
                <w:b/>
                <w:color w:val="000000"/>
                <w:sz w:val="22"/>
                <w:szCs w:val="22"/>
                <w:lang w:eastAsia="en-US"/>
              </w:rPr>
              <w:t>Положення цього пункту не застосовується:</w:t>
            </w:r>
          </w:p>
          <w:p w14:paraId="23100DA4" w14:textId="77777777" w:rsidR="00894ECB" w:rsidRPr="00D927E4" w:rsidRDefault="00894ECB" w:rsidP="00894ECB">
            <w:pPr>
              <w:spacing w:after="160" w:line="259" w:lineRule="auto"/>
              <w:ind w:firstLine="240"/>
              <w:rPr>
                <w:rFonts w:eastAsia="Calibri"/>
                <w:b/>
                <w:color w:val="000000"/>
                <w:sz w:val="22"/>
                <w:szCs w:val="22"/>
                <w:lang w:eastAsia="en-US"/>
              </w:rPr>
            </w:pPr>
            <w:r w:rsidRPr="00D927E4">
              <w:rPr>
                <w:rFonts w:eastAsia="Calibri"/>
                <w:b/>
                <w:color w:val="000000"/>
                <w:sz w:val="22"/>
                <w:szCs w:val="22"/>
                <w:lang w:eastAsia="en-US"/>
              </w:rPr>
              <w:t>до порушення, визначеного підпунктом 2 пункту 2.2.10 цього Порядку;</w:t>
            </w:r>
          </w:p>
          <w:p w14:paraId="39E81BA1" w14:textId="77777777" w:rsidR="00894ECB" w:rsidRPr="00D927E4" w:rsidRDefault="00894ECB" w:rsidP="00894ECB">
            <w:pPr>
              <w:spacing w:after="160" w:line="259" w:lineRule="auto"/>
              <w:ind w:firstLine="240"/>
              <w:rPr>
                <w:rFonts w:eastAsia="Calibri"/>
                <w:b/>
                <w:color w:val="000000"/>
                <w:sz w:val="22"/>
                <w:szCs w:val="22"/>
                <w:lang w:eastAsia="en-US"/>
              </w:rPr>
            </w:pPr>
            <w:r w:rsidRPr="00D927E4">
              <w:rPr>
                <w:rFonts w:eastAsia="Calibri"/>
                <w:b/>
                <w:color w:val="000000"/>
                <w:sz w:val="22"/>
                <w:szCs w:val="22"/>
                <w:lang w:eastAsia="en-US"/>
              </w:rPr>
              <w:t>у разі виявлення за результатами однієї перевірки більше трьох різних (відповідно до предмету) порушень законодавства та/або ліцензійних умов;</w:t>
            </w:r>
          </w:p>
          <w:p w14:paraId="1878BB2B" w14:textId="77777777" w:rsidR="00894ECB" w:rsidRPr="00D927E4" w:rsidRDefault="00894ECB" w:rsidP="00894ECB">
            <w:pPr>
              <w:spacing w:after="160" w:line="259" w:lineRule="auto"/>
              <w:ind w:firstLine="240"/>
              <w:rPr>
                <w:rFonts w:eastAsia="Calibri"/>
                <w:b/>
                <w:color w:val="000000"/>
                <w:sz w:val="22"/>
                <w:szCs w:val="22"/>
                <w:lang w:eastAsia="en-US"/>
              </w:rPr>
            </w:pPr>
            <w:r w:rsidRPr="00D927E4">
              <w:rPr>
                <w:rFonts w:eastAsia="Calibri"/>
                <w:b/>
                <w:color w:val="000000"/>
                <w:sz w:val="22"/>
                <w:szCs w:val="22"/>
                <w:lang w:eastAsia="en-US"/>
              </w:rPr>
              <w:t>за наявності постраждалої сторони та шкоди, завданої споживачам, замовникам послуг, ліцензіатам, державі, та/або додатково отриманої вигоди у розмірі від 1 000 001 грн, завданої/отриманої ліцензіатом внаслідок вчинення порушення.</w:t>
            </w:r>
          </w:p>
          <w:p w14:paraId="6AB125A1" w14:textId="77777777" w:rsidR="00894ECB" w:rsidRPr="00D927E4" w:rsidRDefault="00894ECB" w:rsidP="00894ECB">
            <w:pPr>
              <w:spacing w:after="160" w:line="259" w:lineRule="auto"/>
              <w:ind w:firstLine="240"/>
              <w:rPr>
                <w:rFonts w:eastAsia="Calibri"/>
                <w:b/>
                <w:color w:val="000000"/>
                <w:sz w:val="22"/>
                <w:szCs w:val="22"/>
                <w:lang w:eastAsia="en-US"/>
              </w:rPr>
            </w:pPr>
          </w:p>
        </w:tc>
        <w:tc>
          <w:tcPr>
            <w:tcW w:w="5809" w:type="dxa"/>
            <w:vAlign w:val="center"/>
          </w:tcPr>
          <w:p w14:paraId="28FD767E" w14:textId="77777777" w:rsidR="00894ECB" w:rsidRPr="00D927E4" w:rsidRDefault="00894ECB" w:rsidP="00894ECB">
            <w:pPr>
              <w:spacing w:after="120"/>
              <w:jc w:val="both"/>
              <w:rPr>
                <w:i/>
                <w:sz w:val="22"/>
                <w:szCs w:val="22"/>
              </w:rPr>
            </w:pPr>
            <w:r w:rsidRPr="00D927E4">
              <w:rPr>
                <w:i/>
                <w:sz w:val="22"/>
                <w:szCs w:val="22"/>
              </w:rPr>
              <w:lastRenderedPageBreak/>
              <w:t>ТОВ «РОЕК»</w:t>
            </w:r>
          </w:p>
          <w:p w14:paraId="1EB793EC" w14:textId="77777777" w:rsidR="00894ECB" w:rsidRPr="00D927E4" w:rsidRDefault="00894ECB" w:rsidP="00894ECB">
            <w:pPr>
              <w:ind w:firstLine="240"/>
              <w:jc w:val="both"/>
              <w:rPr>
                <w:sz w:val="22"/>
                <w:szCs w:val="22"/>
              </w:rPr>
            </w:pPr>
            <w:r w:rsidRPr="00D927E4">
              <w:rPr>
                <w:b/>
                <w:color w:val="000000"/>
                <w:sz w:val="22"/>
                <w:szCs w:val="22"/>
              </w:rPr>
              <w:t>2.2.13.</w:t>
            </w:r>
            <w:r w:rsidRPr="00D927E4">
              <w:rPr>
                <w:color w:val="000000"/>
                <w:sz w:val="22"/>
                <w:szCs w:val="22"/>
              </w:rPr>
              <w:t xml:space="preserve"> НКРЕКП припиняє розрахунок розміру штрафів та застосовує інші види санкцій, передбачені чинним законодавством, якщо сума оцінки серйозності та характеру порушення, розрахована відповідно до пункту 2.2.12 цієї глави, не перевищує 11.</w:t>
            </w:r>
          </w:p>
          <w:p w14:paraId="03B2778A" w14:textId="77777777" w:rsidR="00894ECB" w:rsidRPr="00D927E4" w:rsidRDefault="00894ECB" w:rsidP="00894ECB">
            <w:pPr>
              <w:ind w:firstLine="240"/>
              <w:jc w:val="both"/>
              <w:rPr>
                <w:b/>
                <w:color w:val="000000"/>
                <w:sz w:val="22"/>
                <w:szCs w:val="22"/>
              </w:rPr>
            </w:pPr>
            <w:r w:rsidRPr="00D927E4">
              <w:rPr>
                <w:b/>
                <w:color w:val="000000"/>
                <w:sz w:val="22"/>
                <w:szCs w:val="22"/>
              </w:rPr>
              <w:t>Положення цього пункту не застосовується:</w:t>
            </w:r>
          </w:p>
          <w:p w14:paraId="70A0A273" w14:textId="77777777" w:rsidR="00894ECB" w:rsidRPr="00D927E4" w:rsidRDefault="00894ECB" w:rsidP="00894ECB">
            <w:pPr>
              <w:ind w:firstLine="240"/>
              <w:jc w:val="both"/>
              <w:rPr>
                <w:b/>
                <w:color w:val="000000"/>
                <w:sz w:val="22"/>
                <w:szCs w:val="22"/>
              </w:rPr>
            </w:pPr>
            <w:r w:rsidRPr="00D927E4">
              <w:rPr>
                <w:b/>
                <w:color w:val="000000"/>
                <w:sz w:val="22"/>
                <w:szCs w:val="22"/>
              </w:rPr>
              <w:t>до порушення, визначеного підпунктом 2 пункту 2.2.10 цього Порядку;</w:t>
            </w:r>
          </w:p>
          <w:p w14:paraId="5D851441" w14:textId="77777777" w:rsidR="00894ECB" w:rsidRPr="00D927E4" w:rsidRDefault="00894ECB" w:rsidP="00894ECB">
            <w:pPr>
              <w:ind w:firstLine="240"/>
              <w:jc w:val="both"/>
              <w:rPr>
                <w:b/>
                <w:strike/>
                <w:color w:val="000000"/>
                <w:sz w:val="22"/>
                <w:szCs w:val="22"/>
              </w:rPr>
            </w:pPr>
            <w:r w:rsidRPr="00D927E4">
              <w:rPr>
                <w:b/>
                <w:strike/>
                <w:color w:val="000000"/>
                <w:sz w:val="22"/>
                <w:szCs w:val="22"/>
              </w:rPr>
              <w:t xml:space="preserve">у разі виявлення за результатами однієї перевірки більше трьох різних (відповідно до предмету) порушень законодавства та/або ліцензійних умов; </w:t>
            </w:r>
            <w:r w:rsidRPr="00D927E4">
              <w:rPr>
                <w:b/>
                <w:color w:val="000000"/>
                <w:sz w:val="22"/>
                <w:szCs w:val="22"/>
              </w:rPr>
              <w:t>Вилучити</w:t>
            </w:r>
          </w:p>
          <w:p w14:paraId="5566F2D4" w14:textId="77777777" w:rsidR="00894ECB" w:rsidRPr="00D927E4" w:rsidRDefault="00894ECB" w:rsidP="00894ECB">
            <w:pPr>
              <w:ind w:firstLine="240"/>
              <w:jc w:val="both"/>
              <w:rPr>
                <w:b/>
                <w:color w:val="000000"/>
                <w:sz w:val="22"/>
                <w:szCs w:val="22"/>
              </w:rPr>
            </w:pPr>
            <w:r w:rsidRPr="00D927E4">
              <w:rPr>
                <w:b/>
                <w:color w:val="000000"/>
                <w:sz w:val="22"/>
                <w:szCs w:val="22"/>
              </w:rPr>
              <w:t>за наявності постраждалої сторони та шкоди, завданої споживачам, замовникам послуг, ліцензіатам, державі та додатково отриманої вигоди у розмірі від 1 000 001 грн, завданої/отриманої ліцензіатом внаслідок вчинення порушення.</w:t>
            </w:r>
          </w:p>
          <w:p w14:paraId="697E9A76" w14:textId="77777777" w:rsidR="00894ECB" w:rsidRPr="00D927E4" w:rsidRDefault="00894ECB" w:rsidP="00894ECB">
            <w:pPr>
              <w:spacing w:after="120"/>
              <w:jc w:val="both"/>
              <w:rPr>
                <w:sz w:val="22"/>
                <w:szCs w:val="22"/>
              </w:rPr>
            </w:pPr>
          </w:p>
          <w:p w14:paraId="38F88CD7" w14:textId="77777777" w:rsidR="00894ECB" w:rsidRPr="00D927E4" w:rsidRDefault="00894ECB" w:rsidP="00894ECB">
            <w:pPr>
              <w:spacing w:after="120"/>
              <w:jc w:val="both"/>
              <w:rPr>
                <w:i/>
                <w:sz w:val="22"/>
                <w:szCs w:val="22"/>
              </w:rPr>
            </w:pPr>
            <w:r w:rsidRPr="00D927E4">
              <w:rPr>
                <w:i/>
                <w:sz w:val="22"/>
                <w:szCs w:val="22"/>
              </w:rPr>
              <w:t>ОБГРУНТУВАННЯ:</w:t>
            </w:r>
          </w:p>
          <w:p w14:paraId="323FE421" w14:textId="77777777" w:rsidR="00894ECB" w:rsidRPr="00D927E4" w:rsidRDefault="00894ECB" w:rsidP="00894ECB">
            <w:pPr>
              <w:spacing w:after="120"/>
              <w:jc w:val="both"/>
              <w:rPr>
                <w:sz w:val="22"/>
                <w:szCs w:val="22"/>
              </w:rPr>
            </w:pPr>
            <w:r w:rsidRPr="00D927E4">
              <w:rPr>
                <w:sz w:val="22"/>
                <w:szCs w:val="22"/>
              </w:rPr>
              <w:t xml:space="preserve">Будь яке порушення ліцензіатом умов провадження діяльності у сферах енергетики та комунальних послуг, так </w:t>
            </w:r>
            <w:r w:rsidRPr="00D927E4">
              <w:rPr>
                <w:sz w:val="22"/>
                <w:szCs w:val="22"/>
              </w:rPr>
              <w:lastRenderedPageBreak/>
              <w:t>чи інакше, призводить до нанесенню шкоди постраждалій сторонні (споживачу, замовнику послуг, іншим ліцензіатам, державі тощо). Проте, притягуватись до відповідальності з накладанням штрафу, повинні ті ліцензіати, які завдали шкоду /отримали матеріальну вигоду у значних розмірах.</w:t>
            </w:r>
          </w:p>
          <w:p w14:paraId="581F9F87" w14:textId="77777777" w:rsidR="00894ECB" w:rsidRPr="00D927E4" w:rsidRDefault="00894ECB" w:rsidP="00894ECB">
            <w:pPr>
              <w:spacing w:after="120"/>
              <w:jc w:val="both"/>
              <w:rPr>
                <w:sz w:val="22"/>
                <w:szCs w:val="22"/>
              </w:rPr>
            </w:pPr>
            <w:r w:rsidRPr="00D927E4">
              <w:rPr>
                <w:sz w:val="22"/>
                <w:szCs w:val="22"/>
              </w:rPr>
              <w:t>Порушення під час здійснення діяльності ліцензіата інколи є незначними або не з вини ліцензіата. Для прикладу, ліцензіат може допустити три і більше порушень, наслідок яких може бути меншим від одного порушення, з більш серйозними наслідками. В такому разі оцінка таких порушень може бути нерівномірною.</w:t>
            </w:r>
          </w:p>
          <w:p w14:paraId="5037DA34" w14:textId="77777777" w:rsidR="00894ECB" w:rsidRPr="00D927E4" w:rsidRDefault="00894ECB" w:rsidP="00894ECB">
            <w:pPr>
              <w:spacing w:after="120"/>
              <w:jc w:val="both"/>
              <w:rPr>
                <w:sz w:val="22"/>
                <w:szCs w:val="22"/>
              </w:rPr>
            </w:pPr>
            <w:r w:rsidRPr="00D927E4">
              <w:rPr>
                <w:sz w:val="22"/>
                <w:szCs w:val="22"/>
              </w:rPr>
              <w:t>Покарання у вигляді штрафів повинні понести ті учасники ринку, які завдали шкоди чи отримали вигоду у значній грошовій формі, більше 1 000 000 грн.</w:t>
            </w:r>
          </w:p>
          <w:p w14:paraId="09BAE6C5" w14:textId="77777777" w:rsidR="00894ECB" w:rsidRPr="00D927E4" w:rsidRDefault="00894ECB" w:rsidP="00894ECB">
            <w:pPr>
              <w:spacing w:after="120"/>
              <w:jc w:val="both"/>
              <w:rPr>
                <w:sz w:val="22"/>
                <w:szCs w:val="22"/>
              </w:rPr>
            </w:pPr>
          </w:p>
          <w:p w14:paraId="6233B9EE" w14:textId="77777777" w:rsidR="00894ECB" w:rsidRPr="00D927E4" w:rsidRDefault="00894ECB" w:rsidP="00894ECB">
            <w:pPr>
              <w:spacing w:after="120"/>
              <w:jc w:val="both"/>
              <w:rPr>
                <w:i/>
                <w:sz w:val="22"/>
                <w:szCs w:val="22"/>
              </w:rPr>
            </w:pPr>
            <w:r w:rsidRPr="00D927E4">
              <w:rPr>
                <w:i/>
                <w:sz w:val="22"/>
                <w:szCs w:val="22"/>
              </w:rPr>
              <w:t>АТ «ОПЕРАТОР РИНКУ»</w:t>
            </w:r>
          </w:p>
          <w:p w14:paraId="7570B94C" w14:textId="77777777" w:rsidR="00894ECB" w:rsidRPr="00D927E4" w:rsidRDefault="00894ECB" w:rsidP="00894ECB">
            <w:pPr>
              <w:ind w:firstLine="240"/>
              <w:jc w:val="both"/>
              <w:rPr>
                <w:sz w:val="22"/>
                <w:szCs w:val="22"/>
              </w:rPr>
            </w:pPr>
            <w:r w:rsidRPr="00D927E4">
              <w:rPr>
                <w:b/>
                <w:color w:val="000000"/>
                <w:sz w:val="22"/>
                <w:szCs w:val="22"/>
              </w:rPr>
              <w:t>2.2.14.</w:t>
            </w:r>
            <w:r w:rsidRPr="00D927E4">
              <w:rPr>
                <w:color w:val="000000"/>
                <w:sz w:val="22"/>
                <w:szCs w:val="22"/>
              </w:rPr>
              <w:t xml:space="preserve"> НКРЕКП припиняє розрахунок розміру штрафів та застосовує </w:t>
            </w:r>
            <w:r w:rsidRPr="00D927E4">
              <w:rPr>
                <w:b/>
                <w:bCs/>
                <w:color w:val="000000"/>
                <w:sz w:val="22"/>
                <w:szCs w:val="22"/>
              </w:rPr>
              <w:t>попередження про необхідність усунення порушень</w:t>
            </w:r>
            <w:r w:rsidRPr="00D927E4">
              <w:rPr>
                <w:color w:val="000000"/>
                <w:sz w:val="22"/>
                <w:szCs w:val="22"/>
              </w:rPr>
              <w:t xml:space="preserve">, якщо сума оцінки серйозності та характеру порушення, розрахована відповідно до пункту 2.2.12 цієї глави, не перевищує </w:t>
            </w:r>
            <w:r w:rsidRPr="00D927E4">
              <w:rPr>
                <w:b/>
                <w:color w:val="000000"/>
                <w:sz w:val="22"/>
                <w:szCs w:val="22"/>
              </w:rPr>
              <w:t>12</w:t>
            </w:r>
            <w:r w:rsidRPr="00D927E4">
              <w:rPr>
                <w:color w:val="000000"/>
                <w:sz w:val="22"/>
                <w:szCs w:val="22"/>
              </w:rPr>
              <w:t>.</w:t>
            </w:r>
          </w:p>
          <w:p w14:paraId="008190A6" w14:textId="77777777" w:rsidR="00894ECB" w:rsidRPr="00D927E4" w:rsidRDefault="00894ECB" w:rsidP="00894ECB">
            <w:pPr>
              <w:ind w:firstLine="240"/>
              <w:jc w:val="both"/>
              <w:rPr>
                <w:strike/>
                <w:color w:val="000000"/>
                <w:sz w:val="22"/>
                <w:szCs w:val="22"/>
              </w:rPr>
            </w:pPr>
            <w:r w:rsidRPr="00D927E4">
              <w:rPr>
                <w:strike/>
                <w:color w:val="000000"/>
                <w:sz w:val="22"/>
                <w:szCs w:val="22"/>
              </w:rPr>
              <w:t>Положення цього пункту не застосовується до порушення, визначеного підпунктом 2 пункту 2.2.9 цього Порядку.</w:t>
            </w:r>
          </w:p>
          <w:p w14:paraId="0596E37C" w14:textId="77777777" w:rsidR="00894ECB" w:rsidRPr="00D927E4" w:rsidRDefault="00894ECB" w:rsidP="00894ECB">
            <w:pPr>
              <w:ind w:firstLine="306"/>
              <w:jc w:val="both"/>
              <w:rPr>
                <w:i/>
                <w:color w:val="000000"/>
                <w:sz w:val="22"/>
                <w:szCs w:val="22"/>
              </w:rPr>
            </w:pPr>
          </w:p>
          <w:p w14:paraId="08A1C1DA" w14:textId="77777777" w:rsidR="00894ECB" w:rsidRPr="00D927E4" w:rsidRDefault="00894ECB" w:rsidP="00894ECB">
            <w:pPr>
              <w:spacing w:after="120"/>
              <w:jc w:val="both"/>
              <w:rPr>
                <w:i/>
                <w:sz w:val="22"/>
                <w:szCs w:val="22"/>
              </w:rPr>
            </w:pPr>
            <w:r w:rsidRPr="00D927E4">
              <w:rPr>
                <w:i/>
                <w:sz w:val="22"/>
                <w:szCs w:val="22"/>
              </w:rPr>
              <w:t>ОБГРУНТУВАННЯ:</w:t>
            </w:r>
          </w:p>
          <w:p w14:paraId="409670D7" w14:textId="77777777" w:rsidR="00894ECB" w:rsidRPr="00D927E4" w:rsidRDefault="00894ECB" w:rsidP="00894ECB">
            <w:pPr>
              <w:spacing w:after="160" w:line="259" w:lineRule="auto"/>
              <w:ind w:firstLine="306"/>
              <w:jc w:val="both"/>
              <w:rPr>
                <w:rFonts w:eastAsia="Calibri"/>
                <w:i/>
                <w:color w:val="000000"/>
                <w:sz w:val="22"/>
                <w:szCs w:val="22"/>
                <w:lang w:eastAsia="en-US"/>
              </w:rPr>
            </w:pPr>
            <w:r w:rsidRPr="00D927E4">
              <w:rPr>
                <w:rFonts w:eastAsia="Calibri"/>
                <w:i/>
                <w:color w:val="000000"/>
                <w:sz w:val="22"/>
                <w:szCs w:val="22"/>
                <w:lang w:eastAsia="en-US"/>
              </w:rPr>
              <w:t xml:space="preserve">Пропонується уточнити, які саме інші види санкцій, передбачені чинним законодавством, можуть бути застосовані, коли штраф є непропорційним та великим покаранням. </w:t>
            </w:r>
          </w:p>
          <w:p w14:paraId="6673BBDB" w14:textId="77777777" w:rsidR="00894ECB" w:rsidRPr="00D927E4" w:rsidRDefault="00894ECB" w:rsidP="00894ECB">
            <w:pPr>
              <w:spacing w:after="120"/>
              <w:jc w:val="both"/>
              <w:rPr>
                <w:rFonts w:eastAsia="Calibri"/>
                <w:i/>
                <w:color w:val="000000"/>
                <w:sz w:val="22"/>
                <w:szCs w:val="22"/>
                <w:lang w:eastAsia="en-US"/>
              </w:rPr>
            </w:pPr>
            <w:r w:rsidRPr="00D927E4">
              <w:rPr>
                <w:rFonts w:eastAsia="Calibri"/>
                <w:i/>
                <w:color w:val="000000"/>
                <w:sz w:val="22"/>
                <w:szCs w:val="22"/>
                <w:lang w:eastAsia="en-US"/>
              </w:rPr>
              <w:t xml:space="preserve">Крім того, враховуючи, що оцінка серйозності у 12 балів входить в один діапазон з оцінками 9-11 балів і їм відповідає однаковий відсоток серйозності та характеру порушення, пропонується встановити границю для припинення </w:t>
            </w:r>
            <w:r w:rsidRPr="00D927E4">
              <w:rPr>
                <w:rFonts w:eastAsia="Calibri"/>
                <w:i/>
                <w:color w:val="000000"/>
                <w:sz w:val="22"/>
                <w:szCs w:val="22"/>
                <w:lang w:eastAsia="en-US"/>
              </w:rPr>
              <w:lastRenderedPageBreak/>
              <w:t>розрахунку розміру штрафів у 12 балів. При цьому, слід зауважити, що оскільки відповідно до чинних умов глави 2.2 Порядку (методики) окремі ліцензіати за критеріями щодо оцінки суб’єкта господарювання вже «на старті» мають оцінку серйозності у 9 балів (тип та величина ліцензіата, а у разі додавання оцінки за критерієм «досвід ліцензіата» ще + 4 бали, то вже буде 13 балів), відповідні ліцензіати практично не мають можливості скористатися умовою цього пункту у разі допущення ними незначного порушення, що у свою чергу порушує принцип недопущення дискримінації, якого має дотримуватися НКРЕКП відповідно до вимог статті 4 Закону України «Про НКРЕКП» .</w:t>
            </w:r>
          </w:p>
          <w:p w14:paraId="00FAA51E" w14:textId="77777777" w:rsidR="00894ECB" w:rsidRPr="00D927E4" w:rsidRDefault="00894ECB" w:rsidP="00894ECB">
            <w:pPr>
              <w:ind w:firstLine="306"/>
              <w:jc w:val="both"/>
              <w:rPr>
                <w:i/>
                <w:color w:val="000000"/>
                <w:sz w:val="22"/>
                <w:szCs w:val="22"/>
              </w:rPr>
            </w:pPr>
            <w:r w:rsidRPr="00D927E4">
              <w:rPr>
                <w:i/>
                <w:color w:val="000000"/>
                <w:sz w:val="22"/>
                <w:szCs w:val="22"/>
              </w:rPr>
              <w:t xml:space="preserve">Крім того, пропонуємо не робити виключень щодо застосування норми цього пункту, оскільки якщо ознаки, що наведені у пропозиціях, заслуговують на штраф, доцільніше встановити щодо них оцінку серйозності таку, щоб у підсумку з оцінкою ліцензіата вона призводила до величини, яка перевищуватиме границю для припинення розрахунку розміру штрафів. </w:t>
            </w:r>
          </w:p>
          <w:p w14:paraId="2A9D1A3C" w14:textId="77777777" w:rsidR="00894ECB" w:rsidRPr="00D927E4" w:rsidRDefault="00894ECB" w:rsidP="00894ECB">
            <w:pPr>
              <w:spacing w:after="120"/>
              <w:jc w:val="both"/>
              <w:rPr>
                <w:sz w:val="22"/>
                <w:szCs w:val="22"/>
              </w:rPr>
            </w:pPr>
          </w:p>
          <w:p w14:paraId="68043B53" w14:textId="77777777" w:rsidR="00894ECB" w:rsidRPr="00D927E4" w:rsidRDefault="00894ECB" w:rsidP="00894ECB">
            <w:pPr>
              <w:spacing w:after="120"/>
              <w:jc w:val="both"/>
              <w:rPr>
                <w:i/>
                <w:sz w:val="22"/>
                <w:szCs w:val="22"/>
              </w:rPr>
            </w:pPr>
            <w:r w:rsidRPr="00D927E4">
              <w:rPr>
                <w:i/>
                <w:sz w:val="22"/>
                <w:szCs w:val="22"/>
              </w:rPr>
              <w:t>АТ «ДТЕК КИЇВСЬКІ ЕЛЕКТРОМЕРЕЖІ»</w:t>
            </w:r>
          </w:p>
          <w:p w14:paraId="0564C818" w14:textId="77777777" w:rsidR="00894ECB" w:rsidRPr="00D927E4" w:rsidRDefault="00894ECB" w:rsidP="00894ECB">
            <w:pPr>
              <w:spacing w:after="160" w:line="259" w:lineRule="auto"/>
              <w:ind w:firstLine="240"/>
              <w:jc w:val="both"/>
              <w:rPr>
                <w:rFonts w:eastAsia="Calibri"/>
                <w:color w:val="000000"/>
                <w:kern w:val="2"/>
                <w:sz w:val="22"/>
                <w:szCs w:val="22"/>
                <w:lang w:eastAsia="en-US"/>
                <w14:ligatures w14:val="standardContextual"/>
              </w:rPr>
            </w:pPr>
            <w:r w:rsidRPr="00D927E4">
              <w:rPr>
                <w:rFonts w:eastAsia="Calibri"/>
                <w:b/>
                <w:color w:val="000000"/>
                <w:kern w:val="2"/>
                <w:sz w:val="22"/>
                <w:szCs w:val="22"/>
                <w:lang w:eastAsia="en-US"/>
                <w14:ligatures w14:val="standardContextual"/>
              </w:rPr>
              <w:t>2.2.14.</w:t>
            </w:r>
            <w:r w:rsidRPr="00D927E4">
              <w:rPr>
                <w:rFonts w:eastAsia="Calibri"/>
                <w:color w:val="000000"/>
                <w:kern w:val="2"/>
                <w:sz w:val="22"/>
                <w:szCs w:val="22"/>
                <w:lang w:eastAsia="en-US"/>
                <w14:ligatures w14:val="standardContextual"/>
              </w:rPr>
              <w:t xml:space="preserve"> НКРЕКП припиняє розрахунок розміру штрафів та застосовує інші види санкцій, передбачені чинним законодавством, якщо сума оцінки серйозності та характеру порушення, розрахована відповідно до пункту 2.2.12 цієї глави, не перевищує 11.</w:t>
            </w:r>
          </w:p>
          <w:p w14:paraId="065CEFED" w14:textId="77777777" w:rsidR="00894ECB" w:rsidRPr="00D927E4" w:rsidRDefault="00894ECB" w:rsidP="00894ECB">
            <w:pPr>
              <w:spacing w:after="160" w:line="259" w:lineRule="auto"/>
              <w:ind w:firstLine="240"/>
              <w:jc w:val="both"/>
              <w:rPr>
                <w:rFonts w:eastAsia="Calibri"/>
                <w:b/>
                <w:color w:val="000000"/>
                <w:kern w:val="2"/>
                <w:sz w:val="22"/>
                <w:szCs w:val="22"/>
                <w:lang w:eastAsia="en-US"/>
                <w14:ligatures w14:val="standardContextual"/>
              </w:rPr>
            </w:pPr>
            <w:r w:rsidRPr="00D927E4">
              <w:rPr>
                <w:rFonts w:eastAsia="Calibri"/>
                <w:b/>
                <w:color w:val="000000"/>
                <w:kern w:val="2"/>
                <w:sz w:val="22"/>
                <w:szCs w:val="22"/>
                <w:lang w:eastAsia="en-US"/>
                <w14:ligatures w14:val="standardContextual"/>
              </w:rPr>
              <w:t>Положення цього пункту не застосовується:</w:t>
            </w:r>
          </w:p>
          <w:p w14:paraId="366D1B35" w14:textId="77777777" w:rsidR="00894ECB" w:rsidRPr="00D927E4" w:rsidRDefault="00894ECB" w:rsidP="00894ECB">
            <w:pPr>
              <w:spacing w:after="160" w:line="259" w:lineRule="auto"/>
              <w:ind w:firstLine="240"/>
              <w:jc w:val="both"/>
              <w:rPr>
                <w:rFonts w:eastAsia="Calibri"/>
                <w:b/>
                <w:color w:val="000000"/>
                <w:kern w:val="2"/>
                <w:sz w:val="22"/>
                <w:szCs w:val="22"/>
                <w:lang w:eastAsia="en-US"/>
                <w14:ligatures w14:val="standardContextual"/>
              </w:rPr>
            </w:pPr>
            <w:r w:rsidRPr="00D927E4">
              <w:rPr>
                <w:rFonts w:eastAsia="Calibri"/>
                <w:b/>
                <w:color w:val="000000"/>
                <w:kern w:val="2"/>
                <w:sz w:val="22"/>
                <w:szCs w:val="22"/>
                <w:lang w:eastAsia="en-US"/>
                <w14:ligatures w14:val="standardContextual"/>
              </w:rPr>
              <w:t>до порушення, визначеного підпунктом 2 пункту 2.2.9 цього Порядку;</w:t>
            </w:r>
          </w:p>
          <w:p w14:paraId="12B99E5E" w14:textId="77777777" w:rsidR="00894ECB" w:rsidRPr="00D927E4" w:rsidRDefault="00894ECB" w:rsidP="00894ECB">
            <w:pPr>
              <w:spacing w:after="120"/>
              <w:jc w:val="both"/>
              <w:rPr>
                <w:rFonts w:eastAsia="Calibri"/>
                <w:b/>
                <w:color w:val="000000"/>
                <w:kern w:val="2"/>
                <w:sz w:val="22"/>
                <w:szCs w:val="22"/>
                <w:lang w:eastAsia="en-US"/>
                <w14:ligatures w14:val="standardContextual"/>
              </w:rPr>
            </w:pPr>
            <w:r w:rsidRPr="00D927E4">
              <w:rPr>
                <w:rFonts w:eastAsia="Calibri"/>
                <w:b/>
                <w:color w:val="000000"/>
                <w:kern w:val="2"/>
                <w:sz w:val="22"/>
                <w:szCs w:val="22"/>
                <w:lang w:eastAsia="en-US"/>
                <w14:ligatures w14:val="standardContextual"/>
              </w:rPr>
              <w:t>за наявності постраждалої сторони та шкоди, завданої споживачам, замовникам послуг, ліцензіатам, державі, та/або додатково отриманої вигоди у розмірі від 1 000 001 грн, завданої/отриманої ліцензіатом внаслідок вчинення порушення.</w:t>
            </w:r>
          </w:p>
          <w:p w14:paraId="75FD3504" w14:textId="77777777" w:rsidR="00894ECB" w:rsidRPr="00D927E4" w:rsidRDefault="00894ECB" w:rsidP="00894ECB">
            <w:pPr>
              <w:spacing w:after="120"/>
              <w:jc w:val="both"/>
              <w:rPr>
                <w:i/>
                <w:sz w:val="22"/>
                <w:szCs w:val="22"/>
              </w:rPr>
            </w:pPr>
            <w:r w:rsidRPr="00D927E4">
              <w:rPr>
                <w:i/>
                <w:sz w:val="22"/>
                <w:szCs w:val="22"/>
              </w:rPr>
              <w:lastRenderedPageBreak/>
              <w:t>ОБГРУНТУВАННЯ:</w:t>
            </w:r>
          </w:p>
          <w:p w14:paraId="0DE7D57D" w14:textId="77777777" w:rsidR="00894ECB" w:rsidRPr="00D927E4" w:rsidRDefault="00894ECB" w:rsidP="00894ECB">
            <w:pPr>
              <w:spacing w:after="120"/>
              <w:jc w:val="both"/>
              <w:rPr>
                <w:sz w:val="22"/>
                <w:szCs w:val="22"/>
              </w:rPr>
            </w:pPr>
            <w:r w:rsidRPr="00D927E4">
              <w:rPr>
                <w:sz w:val="22"/>
                <w:szCs w:val="22"/>
              </w:rPr>
              <w:t>Можуть мати місце несуттєві порушення, зокрема внаслідок  технічних проблем чи людського фактору, що не спричинили жодної шкоди іншим ліцензіатам, споживачам. Пропонуємо не застосовувати обов’язковий розрахунок штрафу через  виявлення більше трьох несуттєвих порушень.</w:t>
            </w:r>
          </w:p>
          <w:p w14:paraId="11F5D9C8" w14:textId="77777777" w:rsidR="00894ECB" w:rsidRPr="00D927E4" w:rsidRDefault="00894ECB" w:rsidP="00894ECB">
            <w:pPr>
              <w:spacing w:after="120"/>
              <w:jc w:val="both"/>
              <w:rPr>
                <w:sz w:val="22"/>
                <w:szCs w:val="22"/>
              </w:rPr>
            </w:pPr>
          </w:p>
          <w:p w14:paraId="1FB07811" w14:textId="77777777" w:rsidR="00894ECB" w:rsidRPr="00D927E4" w:rsidRDefault="00894ECB" w:rsidP="00894ECB">
            <w:pPr>
              <w:spacing w:after="120"/>
              <w:jc w:val="both"/>
              <w:rPr>
                <w:i/>
                <w:sz w:val="22"/>
                <w:szCs w:val="22"/>
              </w:rPr>
            </w:pPr>
            <w:r w:rsidRPr="00D927E4">
              <w:rPr>
                <w:i/>
                <w:sz w:val="22"/>
                <w:szCs w:val="22"/>
              </w:rPr>
              <w:t>АТ «ДТЕК ДНІПРОВСЬКІ ЕЛЕКТРОМЕРЕЖІ»</w:t>
            </w:r>
          </w:p>
          <w:p w14:paraId="4FFAF6AC" w14:textId="77777777" w:rsidR="00894ECB" w:rsidRPr="00D927E4" w:rsidRDefault="00894ECB" w:rsidP="00894ECB">
            <w:pPr>
              <w:spacing w:after="160" w:line="259" w:lineRule="auto"/>
              <w:ind w:firstLine="240"/>
              <w:jc w:val="both"/>
              <w:rPr>
                <w:rFonts w:eastAsia="Calibri"/>
                <w:color w:val="000000"/>
                <w:kern w:val="2"/>
                <w:sz w:val="22"/>
                <w:szCs w:val="22"/>
                <w:lang w:eastAsia="en-US"/>
                <w14:ligatures w14:val="standardContextual"/>
              </w:rPr>
            </w:pPr>
            <w:r w:rsidRPr="00D927E4">
              <w:rPr>
                <w:rFonts w:eastAsia="Calibri"/>
                <w:b/>
                <w:color w:val="000000"/>
                <w:kern w:val="2"/>
                <w:sz w:val="22"/>
                <w:szCs w:val="22"/>
                <w:lang w:eastAsia="en-US"/>
                <w14:ligatures w14:val="standardContextual"/>
              </w:rPr>
              <w:t>2.2.14.</w:t>
            </w:r>
            <w:r w:rsidRPr="00D927E4">
              <w:rPr>
                <w:rFonts w:eastAsia="Calibri"/>
                <w:color w:val="000000"/>
                <w:kern w:val="2"/>
                <w:sz w:val="22"/>
                <w:szCs w:val="22"/>
                <w:lang w:eastAsia="en-US"/>
                <w14:ligatures w14:val="standardContextual"/>
              </w:rPr>
              <w:t xml:space="preserve"> НКРЕКП припиняє розрахунок розміру штрафів та застосовує інші види санкцій, передбачені чинним законодавством, якщо сума оцінки серйозності та характеру порушення, розрахована відповідно до пункту 2.2.12 цієї глави, не перевищує 11.</w:t>
            </w:r>
          </w:p>
          <w:p w14:paraId="69D5FDCC" w14:textId="77777777" w:rsidR="00894ECB" w:rsidRPr="00D927E4" w:rsidRDefault="00894ECB" w:rsidP="00894ECB">
            <w:pPr>
              <w:spacing w:after="160" w:line="259" w:lineRule="auto"/>
              <w:ind w:firstLine="240"/>
              <w:jc w:val="both"/>
              <w:rPr>
                <w:rFonts w:eastAsia="Calibri"/>
                <w:b/>
                <w:color w:val="000000"/>
                <w:kern w:val="2"/>
                <w:sz w:val="22"/>
                <w:szCs w:val="22"/>
                <w:lang w:eastAsia="en-US"/>
                <w14:ligatures w14:val="standardContextual"/>
              </w:rPr>
            </w:pPr>
            <w:r w:rsidRPr="00D927E4">
              <w:rPr>
                <w:rFonts w:eastAsia="Calibri"/>
                <w:b/>
                <w:color w:val="000000"/>
                <w:kern w:val="2"/>
                <w:sz w:val="22"/>
                <w:szCs w:val="22"/>
                <w:lang w:eastAsia="en-US"/>
                <w14:ligatures w14:val="standardContextual"/>
              </w:rPr>
              <w:t>Положення цього пункту не застосовується:</w:t>
            </w:r>
          </w:p>
          <w:p w14:paraId="517668BB" w14:textId="77777777" w:rsidR="00894ECB" w:rsidRPr="00D927E4" w:rsidRDefault="00894ECB" w:rsidP="00894ECB">
            <w:pPr>
              <w:spacing w:after="160" w:line="259" w:lineRule="auto"/>
              <w:ind w:firstLine="240"/>
              <w:jc w:val="both"/>
              <w:rPr>
                <w:rFonts w:eastAsia="Calibri"/>
                <w:b/>
                <w:color w:val="000000"/>
                <w:kern w:val="2"/>
                <w:sz w:val="22"/>
                <w:szCs w:val="22"/>
                <w:lang w:eastAsia="en-US"/>
                <w14:ligatures w14:val="standardContextual"/>
              </w:rPr>
            </w:pPr>
            <w:r w:rsidRPr="00D927E4">
              <w:rPr>
                <w:rFonts w:eastAsia="Calibri"/>
                <w:b/>
                <w:color w:val="000000"/>
                <w:kern w:val="2"/>
                <w:sz w:val="22"/>
                <w:szCs w:val="22"/>
                <w:lang w:eastAsia="en-US"/>
                <w14:ligatures w14:val="standardContextual"/>
              </w:rPr>
              <w:t>до порушення, визначеного підпунктом 2 пункту 2.2.9 цього Порядку;</w:t>
            </w:r>
          </w:p>
          <w:p w14:paraId="469C9DCF" w14:textId="77777777" w:rsidR="00894ECB" w:rsidRPr="00D927E4" w:rsidRDefault="00894ECB" w:rsidP="00894ECB">
            <w:pPr>
              <w:spacing w:after="120"/>
              <w:jc w:val="both"/>
              <w:rPr>
                <w:sz w:val="22"/>
                <w:szCs w:val="22"/>
              </w:rPr>
            </w:pPr>
            <w:r w:rsidRPr="00D927E4">
              <w:rPr>
                <w:rFonts w:eastAsia="Calibri"/>
                <w:b/>
                <w:color w:val="000000"/>
                <w:kern w:val="2"/>
                <w:sz w:val="22"/>
                <w:szCs w:val="22"/>
                <w:lang w:eastAsia="en-US"/>
                <w14:ligatures w14:val="standardContextual"/>
              </w:rPr>
              <w:t>за наявності постраждалої сторони та шкоди, завданої споживачам, замовникам послуг, ліцензіатам, державі, та/або додатково отриманої вигоди у розмірі від 1 000 001 грн, завданої/отриманої ліцензіатом внаслідок вчинення порушення.</w:t>
            </w:r>
          </w:p>
          <w:p w14:paraId="015ED9CE" w14:textId="77777777" w:rsidR="00894ECB" w:rsidRPr="00D927E4" w:rsidRDefault="00894ECB" w:rsidP="00894ECB">
            <w:pPr>
              <w:spacing w:after="120"/>
              <w:jc w:val="both"/>
              <w:rPr>
                <w:i/>
                <w:sz w:val="22"/>
                <w:szCs w:val="22"/>
              </w:rPr>
            </w:pPr>
            <w:r w:rsidRPr="00D927E4">
              <w:rPr>
                <w:i/>
                <w:sz w:val="22"/>
                <w:szCs w:val="22"/>
              </w:rPr>
              <w:t>ОБГРУНТУВАННЯ:</w:t>
            </w:r>
          </w:p>
          <w:p w14:paraId="2ED671E1" w14:textId="77777777" w:rsidR="00894ECB" w:rsidRPr="00D927E4" w:rsidRDefault="00894ECB" w:rsidP="00894ECB">
            <w:pPr>
              <w:spacing w:after="120"/>
              <w:jc w:val="both"/>
              <w:rPr>
                <w:sz w:val="22"/>
                <w:szCs w:val="22"/>
              </w:rPr>
            </w:pPr>
            <w:r w:rsidRPr="00D927E4">
              <w:rPr>
                <w:color w:val="000000"/>
                <w:sz w:val="22"/>
                <w:szCs w:val="22"/>
              </w:rPr>
              <w:t>Можуть мати місце несуттєві порушення, зокрема внаслідок  технічних проблем чи людського фактору, що не спричинили жодної шкоди іншим ліцензіатам, споживачам. Пропонуємо не застосовувати обов’язковий розрахунок штрафу через  виявлення більше трьох несуттєвих порушень.</w:t>
            </w:r>
          </w:p>
        </w:tc>
        <w:tc>
          <w:tcPr>
            <w:tcW w:w="3549" w:type="dxa"/>
          </w:tcPr>
          <w:p w14:paraId="73DB877F" w14:textId="77777777" w:rsidR="008619BE" w:rsidRDefault="008619BE" w:rsidP="008619BE">
            <w:pPr>
              <w:jc w:val="both"/>
              <w:rPr>
                <w:b/>
                <w:sz w:val="22"/>
                <w:szCs w:val="22"/>
                <w:shd w:val="clear" w:color="auto" w:fill="FFFFFF"/>
              </w:rPr>
            </w:pPr>
          </w:p>
          <w:p w14:paraId="47EA18C5" w14:textId="77777777" w:rsidR="008619BE" w:rsidRDefault="008619BE" w:rsidP="008619BE">
            <w:pPr>
              <w:jc w:val="both"/>
              <w:rPr>
                <w:b/>
                <w:sz w:val="22"/>
                <w:szCs w:val="22"/>
                <w:shd w:val="clear" w:color="auto" w:fill="FFFFFF"/>
              </w:rPr>
            </w:pPr>
            <w:r>
              <w:rPr>
                <w:b/>
                <w:sz w:val="22"/>
                <w:szCs w:val="22"/>
                <w:shd w:val="clear" w:color="auto" w:fill="FFFFFF"/>
              </w:rPr>
              <w:t>Для обговорення</w:t>
            </w:r>
          </w:p>
          <w:p w14:paraId="7AC528EF" w14:textId="77777777" w:rsidR="008619BE" w:rsidRDefault="008619BE" w:rsidP="008619BE">
            <w:pPr>
              <w:jc w:val="both"/>
              <w:rPr>
                <w:b/>
                <w:sz w:val="22"/>
                <w:szCs w:val="22"/>
                <w:shd w:val="clear" w:color="auto" w:fill="FFFFFF"/>
              </w:rPr>
            </w:pPr>
          </w:p>
          <w:p w14:paraId="78C06430" w14:textId="77777777" w:rsidR="00894ECB" w:rsidRDefault="008619BE" w:rsidP="00894ECB">
            <w:pPr>
              <w:rPr>
                <w:sz w:val="22"/>
                <w:szCs w:val="22"/>
                <w:shd w:val="clear" w:color="auto" w:fill="FFFFFF"/>
              </w:rPr>
            </w:pPr>
            <w:r>
              <w:rPr>
                <w:sz w:val="22"/>
                <w:szCs w:val="22"/>
                <w:shd w:val="clear" w:color="auto" w:fill="FFFFFF"/>
              </w:rPr>
              <w:t>В частині р</w:t>
            </w:r>
            <w:r w:rsidRPr="00264759">
              <w:rPr>
                <w:sz w:val="22"/>
                <w:szCs w:val="22"/>
                <w:shd w:val="clear" w:color="auto" w:fill="FFFFFF"/>
              </w:rPr>
              <w:t>едакці</w:t>
            </w:r>
            <w:r>
              <w:rPr>
                <w:sz w:val="22"/>
                <w:szCs w:val="22"/>
                <w:shd w:val="clear" w:color="auto" w:fill="FFFFFF"/>
              </w:rPr>
              <w:t>ї</w:t>
            </w:r>
            <w:r w:rsidRPr="00264759">
              <w:rPr>
                <w:sz w:val="22"/>
                <w:szCs w:val="22"/>
                <w:shd w:val="clear" w:color="auto" w:fill="FFFFFF"/>
              </w:rPr>
              <w:t xml:space="preserve"> щодо</w:t>
            </w:r>
            <w:r>
              <w:rPr>
                <w:sz w:val="22"/>
                <w:szCs w:val="22"/>
                <w:shd w:val="clear" w:color="auto" w:fill="FFFFFF"/>
              </w:rPr>
              <w:t xml:space="preserve"> виявлення</w:t>
            </w:r>
            <w:r w:rsidRPr="00264759">
              <w:rPr>
                <w:sz w:val="22"/>
                <w:szCs w:val="22"/>
                <w:shd w:val="clear" w:color="auto" w:fill="FFFFFF"/>
              </w:rPr>
              <w:t xml:space="preserve"> </w:t>
            </w:r>
            <w:r w:rsidRPr="008619BE">
              <w:rPr>
                <w:sz w:val="22"/>
                <w:szCs w:val="22"/>
                <w:shd w:val="clear" w:color="auto" w:fill="FFFFFF"/>
              </w:rPr>
              <w:t>більше трьох різних (відповідно до предмету) порушень</w:t>
            </w:r>
          </w:p>
          <w:p w14:paraId="07D07FF3" w14:textId="77777777" w:rsidR="00507DD6" w:rsidRDefault="00507DD6" w:rsidP="00894ECB">
            <w:pPr>
              <w:rPr>
                <w:b/>
                <w:sz w:val="22"/>
                <w:szCs w:val="22"/>
                <w:shd w:val="clear" w:color="auto" w:fill="FFFFFF"/>
              </w:rPr>
            </w:pPr>
          </w:p>
          <w:p w14:paraId="64C94027" w14:textId="77777777" w:rsidR="00507DD6" w:rsidRDefault="00507DD6" w:rsidP="00894ECB">
            <w:pPr>
              <w:rPr>
                <w:b/>
                <w:sz w:val="22"/>
                <w:szCs w:val="22"/>
                <w:shd w:val="clear" w:color="auto" w:fill="FFFFFF"/>
              </w:rPr>
            </w:pPr>
          </w:p>
          <w:p w14:paraId="17AEFED3" w14:textId="77777777" w:rsidR="00507DD6" w:rsidRDefault="00507DD6" w:rsidP="00894ECB">
            <w:pPr>
              <w:rPr>
                <w:b/>
                <w:sz w:val="22"/>
                <w:szCs w:val="22"/>
                <w:shd w:val="clear" w:color="auto" w:fill="FFFFFF"/>
              </w:rPr>
            </w:pPr>
          </w:p>
          <w:p w14:paraId="2F729249" w14:textId="77777777" w:rsidR="00507DD6" w:rsidRDefault="00507DD6" w:rsidP="00894ECB">
            <w:pPr>
              <w:rPr>
                <w:b/>
                <w:sz w:val="22"/>
                <w:szCs w:val="22"/>
                <w:shd w:val="clear" w:color="auto" w:fill="FFFFFF"/>
              </w:rPr>
            </w:pPr>
          </w:p>
          <w:p w14:paraId="5962C5BF" w14:textId="77777777" w:rsidR="00507DD6" w:rsidRDefault="00507DD6" w:rsidP="00894ECB">
            <w:pPr>
              <w:rPr>
                <w:b/>
                <w:sz w:val="22"/>
                <w:szCs w:val="22"/>
                <w:shd w:val="clear" w:color="auto" w:fill="FFFFFF"/>
              </w:rPr>
            </w:pPr>
          </w:p>
          <w:p w14:paraId="3D491850" w14:textId="77777777" w:rsidR="00507DD6" w:rsidRDefault="00507DD6" w:rsidP="00894ECB">
            <w:pPr>
              <w:rPr>
                <w:b/>
                <w:sz w:val="22"/>
                <w:szCs w:val="22"/>
                <w:shd w:val="clear" w:color="auto" w:fill="FFFFFF"/>
              </w:rPr>
            </w:pPr>
          </w:p>
          <w:p w14:paraId="38368C6E" w14:textId="77777777" w:rsidR="00507DD6" w:rsidRDefault="00507DD6" w:rsidP="00894ECB">
            <w:pPr>
              <w:rPr>
                <w:b/>
                <w:sz w:val="22"/>
                <w:szCs w:val="22"/>
                <w:shd w:val="clear" w:color="auto" w:fill="FFFFFF"/>
              </w:rPr>
            </w:pPr>
          </w:p>
          <w:p w14:paraId="1FB629DC" w14:textId="77777777" w:rsidR="00507DD6" w:rsidRDefault="00507DD6" w:rsidP="00894ECB">
            <w:pPr>
              <w:rPr>
                <w:b/>
                <w:sz w:val="22"/>
                <w:szCs w:val="22"/>
                <w:shd w:val="clear" w:color="auto" w:fill="FFFFFF"/>
              </w:rPr>
            </w:pPr>
          </w:p>
          <w:p w14:paraId="2A70A4DB" w14:textId="77777777" w:rsidR="00507DD6" w:rsidRDefault="00507DD6" w:rsidP="00894ECB">
            <w:pPr>
              <w:rPr>
                <w:b/>
                <w:sz w:val="22"/>
                <w:szCs w:val="22"/>
                <w:shd w:val="clear" w:color="auto" w:fill="FFFFFF"/>
              </w:rPr>
            </w:pPr>
          </w:p>
          <w:p w14:paraId="3E71276C" w14:textId="77777777" w:rsidR="00507DD6" w:rsidRDefault="00507DD6" w:rsidP="00894ECB">
            <w:pPr>
              <w:rPr>
                <w:b/>
                <w:sz w:val="22"/>
                <w:szCs w:val="22"/>
                <w:shd w:val="clear" w:color="auto" w:fill="FFFFFF"/>
              </w:rPr>
            </w:pPr>
          </w:p>
          <w:p w14:paraId="1602271D" w14:textId="77777777" w:rsidR="00507DD6" w:rsidRDefault="00507DD6" w:rsidP="00894ECB">
            <w:pPr>
              <w:rPr>
                <w:b/>
                <w:sz w:val="22"/>
                <w:szCs w:val="22"/>
                <w:shd w:val="clear" w:color="auto" w:fill="FFFFFF"/>
              </w:rPr>
            </w:pPr>
          </w:p>
          <w:p w14:paraId="6BA344F2" w14:textId="77777777" w:rsidR="00507DD6" w:rsidRDefault="00507DD6" w:rsidP="00894ECB">
            <w:pPr>
              <w:rPr>
                <w:b/>
                <w:sz w:val="22"/>
                <w:szCs w:val="22"/>
                <w:shd w:val="clear" w:color="auto" w:fill="FFFFFF"/>
              </w:rPr>
            </w:pPr>
          </w:p>
          <w:p w14:paraId="7198E7B4" w14:textId="77777777" w:rsidR="00507DD6" w:rsidRDefault="00507DD6" w:rsidP="00894ECB">
            <w:pPr>
              <w:rPr>
                <w:b/>
                <w:sz w:val="22"/>
                <w:szCs w:val="22"/>
                <w:shd w:val="clear" w:color="auto" w:fill="FFFFFF"/>
              </w:rPr>
            </w:pPr>
          </w:p>
          <w:p w14:paraId="11FDE4E5" w14:textId="77777777" w:rsidR="00507DD6" w:rsidRDefault="00507DD6" w:rsidP="00894ECB">
            <w:pPr>
              <w:rPr>
                <w:b/>
                <w:sz w:val="22"/>
                <w:szCs w:val="22"/>
                <w:shd w:val="clear" w:color="auto" w:fill="FFFFFF"/>
              </w:rPr>
            </w:pPr>
          </w:p>
          <w:p w14:paraId="5442EC73" w14:textId="77777777" w:rsidR="00507DD6" w:rsidRDefault="00507DD6" w:rsidP="00894ECB">
            <w:pPr>
              <w:rPr>
                <w:b/>
                <w:sz w:val="22"/>
                <w:szCs w:val="22"/>
                <w:shd w:val="clear" w:color="auto" w:fill="FFFFFF"/>
              </w:rPr>
            </w:pPr>
          </w:p>
          <w:p w14:paraId="2675C7A7" w14:textId="77777777" w:rsidR="00507DD6" w:rsidRDefault="00507DD6" w:rsidP="00894ECB">
            <w:pPr>
              <w:rPr>
                <w:b/>
                <w:sz w:val="22"/>
                <w:szCs w:val="22"/>
                <w:shd w:val="clear" w:color="auto" w:fill="FFFFFF"/>
              </w:rPr>
            </w:pPr>
          </w:p>
          <w:p w14:paraId="0F791D46" w14:textId="77777777" w:rsidR="00507DD6" w:rsidRDefault="00507DD6" w:rsidP="00894ECB">
            <w:pPr>
              <w:rPr>
                <w:b/>
                <w:sz w:val="22"/>
                <w:szCs w:val="22"/>
                <w:shd w:val="clear" w:color="auto" w:fill="FFFFFF"/>
              </w:rPr>
            </w:pPr>
          </w:p>
          <w:p w14:paraId="3464C479" w14:textId="77777777" w:rsidR="00507DD6" w:rsidRDefault="00507DD6" w:rsidP="00894ECB">
            <w:pPr>
              <w:rPr>
                <w:b/>
                <w:sz w:val="22"/>
                <w:szCs w:val="22"/>
                <w:shd w:val="clear" w:color="auto" w:fill="FFFFFF"/>
              </w:rPr>
            </w:pPr>
          </w:p>
          <w:p w14:paraId="18D218B9" w14:textId="77777777" w:rsidR="00507DD6" w:rsidRDefault="00507DD6" w:rsidP="00894ECB">
            <w:pPr>
              <w:rPr>
                <w:b/>
                <w:sz w:val="22"/>
                <w:szCs w:val="22"/>
                <w:shd w:val="clear" w:color="auto" w:fill="FFFFFF"/>
              </w:rPr>
            </w:pPr>
          </w:p>
          <w:p w14:paraId="4F0B1E9D" w14:textId="77777777" w:rsidR="00507DD6" w:rsidRDefault="00507DD6" w:rsidP="00894ECB">
            <w:pPr>
              <w:rPr>
                <w:b/>
                <w:sz w:val="22"/>
                <w:szCs w:val="22"/>
                <w:shd w:val="clear" w:color="auto" w:fill="FFFFFF"/>
              </w:rPr>
            </w:pPr>
          </w:p>
          <w:p w14:paraId="78A249B8" w14:textId="77777777" w:rsidR="00507DD6" w:rsidRDefault="00507DD6" w:rsidP="00894ECB">
            <w:pPr>
              <w:rPr>
                <w:b/>
                <w:sz w:val="22"/>
                <w:szCs w:val="22"/>
                <w:shd w:val="clear" w:color="auto" w:fill="FFFFFF"/>
              </w:rPr>
            </w:pPr>
          </w:p>
          <w:p w14:paraId="04F30C23" w14:textId="77777777" w:rsidR="00507DD6" w:rsidRDefault="00507DD6" w:rsidP="00894ECB">
            <w:pPr>
              <w:rPr>
                <w:b/>
                <w:sz w:val="22"/>
                <w:szCs w:val="22"/>
                <w:shd w:val="clear" w:color="auto" w:fill="FFFFFF"/>
              </w:rPr>
            </w:pPr>
          </w:p>
          <w:p w14:paraId="7B254A97" w14:textId="77777777" w:rsidR="00507DD6" w:rsidRDefault="00507DD6" w:rsidP="00894ECB">
            <w:pPr>
              <w:rPr>
                <w:b/>
                <w:sz w:val="22"/>
                <w:szCs w:val="22"/>
                <w:shd w:val="clear" w:color="auto" w:fill="FFFFFF"/>
              </w:rPr>
            </w:pPr>
          </w:p>
          <w:p w14:paraId="60AB85AE" w14:textId="77777777" w:rsidR="00507DD6" w:rsidRDefault="00507DD6" w:rsidP="00894ECB">
            <w:pPr>
              <w:rPr>
                <w:b/>
                <w:sz w:val="22"/>
                <w:szCs w:val="22"/>
                <w:shd w:val="clear" w:color="auto" w:fill="FFFFFF"/>
              </w:rPr>
            </w:pPr>
          </w:p>
          <w:p w14:paraId="2F3443BF" w14:textId="77777777" w:rsidR="00507DD6" w:rsidRDefault="00507DD6" w:rsidP="00894ECB">
            <w:pPr>
              <w:rPr>
                <w:b/>
                <w:sz w:val="22"/>
                <w:szCs w:val="22"/>
                <w:shd w:val="clear" w:color="auto" w:fill="FFFFFF"/>
              </w:rPr>
            </w:pPr>
          </w:p>
          <w:p w14:paraId="0317C092" w14:textId="77777777" w:rsidR="00507DD6" w:rsidRDefault="00507DD6" w:rsidP="00894ECB">
            <w:pPr>
              <w:rPr>
                <w:b/>
                <w:sz w:val="22"/>
                <w:szCs w:val="22"/>
                <w:shd w:val="clear" w:color="auto" w:fill="FFFFFF"/>
              </w:rPr>
            </w:pPr>
          </w:p>
          <w:p w14:paraId="41434DC6" w14:textId="77777777" w:rsidR="00507DD6" w:rsidRDefault="00507DD6" w:rsidP="00894ECB">
            <w:pPr>
              <w:rPr>
                <w:b/>
                <w:sz w:val="22"/>
                <w:szCs w:val="22"/>
                <w:shd w:val="clear" w:color="auto" w:fill="FFFFFF"/>
              </w:rPr>
            </w:pPr>
          </w:p>
          <w:p w14:paraId="4E0B6944" w14:textId="77777777" w:rsidR="00507DD6" w:rsidRDefault="00507DD6" w:rsidP="00894ECB">
            <w:pPr>
              <w:rPr>
                <w:b/>
                <w:sz w:val="22"/>
                <w:szCs w:val="22"/>
                <w:shd w:val="clear" w:color="auto" w:fill="FFFFFF"/>
              </w:rPr>
            </w:pPr>
          </w:p>
          <w:p w14:paraId="26D2395C" w14:textId="77777777" w:rsidR="00507DD6" w:rsidRDefault="00507DD6" w:rsidP="00894ECB">
            <w:pPr>
              <w:rPr>
                <w:b/>
                <w:sz w:val="22"/>
                <w:szCs w:val="22"/>
                <w:shd w:val="clear" w:color="auto" w:fill="FFFFFF"/>
              </w:rPr>
            </w:pPr>
          </w:p>
          <w:p w14:paraId="69EF4839" w14:textId="77777777" w:rsidR="00507DD6" w:rsidRDefault="00507DD6" w:rsidP="00894ECB">
            <w:pPr>
              <w:rPr>
                <w:b/>
                <w:sz w:val="22"/>
                <w:szCs w:val="22"/>
                <w:shd w:val="clear" w:color="auto" w:fill="FFFFFF"/>
              </w:rPr>
            </w:pPr>
          </w:p>
          <w:p w14:paraId="1BB2AFB1" w14:textId="77777777" w:rsidR="00507DD6" w:rsidRDefault="00507DD6" w:rsidP="00894ECB">
            <w:pPr>
              <w:rPr>
                <w:b/>
                <w:sz w:val="22"/>
                <w:szCs w:val="22"/>
                <w:shd w:val="clear" w:color="auto" w:fill="FFFFFF"/>
              </w:rPr>
            </w:pPr>
          </w:p>
          <w:p w14:paraId="310ACBE1" w14:textId="77777777" w:rsidR="00507DD6" w:rsidRDefault="00507DD6" w:rsidP="00894ECB">
            <w:pPr>
              <w:rPr>
                <w:b/>
                <w:sz w:val="22"/>
                <w:szCs w:val="22"/>
                <w:shd w:val="clear" w:color="auto" w:fill="FFFFFF"/>
              </w:rPr>
            </w:pPr>
          </w:p>
          <w:p w14:paraId="063C4185" w14:textId="77777777" w:rsidR="00507DD6" w:rsidRDefault="00507DD6" w:rsidP="00894ECB">
            <w:pPr>
              <w:rPr>
                <w:b/>
                <w:sz w:val="22"/>
                <w:szCs w:val="22"/>
                <w:shd w:val="clear" w:color="auto" w:fill="FFFFFF"/>
              </w:rPr>
            </w:pPr>
          </w:p>
          <w:p w14:paraId="50AA496E" w14:textId="77777777" w:rsidR="00507DD6" w:rsidRDefault="00507DD6" w:rsidP="00894ECB">
            <w:pPr>
              <w:rPr>
                <w:b/>
                <w:sz w:val="22"/>
                <w:szCs w:val="22"/>
                <w:shd w:val="clear" w:color="auto" w:fill="FFFFFF"/>
              </w:rPr>
            </w:pPr>
          </w:p>
          <w:p w14:paraId="2FCFF10E" w14:textId="77777777" w:rsidR="003B6DF0" w:rsidRDefault="003B6DF0" w:rsidP="003B6DF0">
            <w:pPr>
              <w:jc w:val="both"/>
              <w:rPr>
                <w:b/>
                <w:sz w:val="22"/>
                <w:szCs w:val="22"/>
                <w:shd w:val="clear" w:color="auto" w:fill="FFFFFF"/>
              </w:rPr>
            </w:pPr>
            <w:r>
              <w:rPr>
                <w:b/>
                <w:sz w:val="22"/>
                <w:szCs w:val="22"/>
                <w:shd w:val="clear" w:color="auto" w:fill="FFFFFF"/>
              </w:rPr>
              <w:t>Враховано частково</w:t>
            </w:r>
          </w:p>
          <w:p w14:paraId="575F75BC" w14:textId="77777777" w:rsidR="003B6DF0" w:rsidRDefault="003B6DF0" w:rsidP="003B6DF0">
            <w:pPr>
              <w:jc w:val="both"/>
              <w:rPr>
                <w:b/>
                <w:sz w:val="22"/>
                <w:szCs w:val="22"/>
                <w:shd w:val="clear" w:color="auto" w:fill="FFFFFF"/>
              </w:rPr>
            </w:pPr>
          </w:p>
          <w:p w14:paraId="04348A5D" w14:textId="77777777" w:rsidR="00507DD6" w:rsidRDefault="003B6DF0" w:rsidP="003B6DF0">
            <w:pPr>
              <w:rPr>
                <w:b/>
                <w:sz w:val="22"/>
                <w:szCs w:val="22"/>
                <w:shd w:val="clear" w:color="auto" w:fill="FFFFFF"/>
              </w:rPr>
            </w:pPr>
            <w:r>
              <w:rPr>
                <w:sz w:val="22"/>
                <w:szCs w:val="22"/>
                <w:shd w:val="clear" w:color="auto" w:fill="FFFFFF"/>
              </w:rPr>
              <w:t xml:space="preserve">В частині застосування </w:t>
            </w:r>
            <w:r w:rsidRPr="003B6DF0">
              <w:rPr>
                <w:sz w:val="22"/>
                <w:szCs w:val="22"/>
                <w:shd w:val="clear" w:color="auto" w:fill="FFFFFF"/>
              </w:rPr>
              <w:t>застереження та/або попередження про необхідність усунення порушень</w:t>
            </w:r>
          </w:p>
          <w:p w14:paraId="6EACB5D3" w14:textId="77777777" w:rsidR="00507DD6" w:rsidRDefault="00507DD6" w:rsidP="00894ECB">
            <w:pPr>
              <w:rPr>
                <w:b/>
                <w:sz w:val="22"/>
                <w:szCs w:val="22"/>
                <w:shd w:val="clear" w:color="auto" w:fill="FFFFFF"/>
              </w:rPr>
            </w:pPr>
          </w:p>
          <w:p w14:paraId="72C847A6" w14:textId="77777777" w:rsidR="00507DD6" w:rsidRDefault="00507DD6" w:rsidP="00894ECB">
            <w:pPr>
              <w:rPr>
                <w:b/>
                <w:sz w:val="22"/>
                <w:szCs w:val="22"/>
                <w:shd w:val="clear" w:color="auto" w:fill="FFFFFF"/>
              </w:rPr>
            </w:pPr>
          </w:p>
          <w:p w14:paraId="0871B002" w14:textId="77777777" w:rsidR="00507DD6" w:rsidRDefault="00507DD6" w:rsidP="00894ECB">
            <w:pPr>
              <w:rPr>
                <w:b/>
                <w:sz w:val="22"/>
                <w:szCs w:val="22"/>
                <w:shd w:val="clear" w:color="auto" w:fill="FFFFFF"/>
              </w:rPr>
            </w:pPr>
          </w:p>
          <w:p w14:paraId="0C79E438" w14:textId="77777777" w:rsidR="00507DD6" w:rsidRDefault="00507DD6" w:rsidP="00894ECB">
            <w:pPr>
              <w:rPr>
                <w:b/>
                <w:sz w:val="22"/>
                <w:szCs w:val="22"/>
                <w:shd w:val="clear" w:color="auto" w:fill="FFFFFF"/>
              </w:rPr>
            </w:pPr>
          </w:p>
          <w:p w14:paraId="3B34E141" w14:textId="77777777" w:rsidR="00507DD6" w:rsidRDefault="00507DD6" w:rsidP="00894ECB">
            <w:pPr>
              <w:rPr>
                <w:b/>
                <w:sz w:val="22"/>
                <w:szCs w:val="22"/>
                <w:shd w:val="clear" w:color="auto" w:fill="FFFFFF"/>
              </w:rPr>
            </w:pPr>
          </w:p>
          <w:p w14:paraId="76B25B31" w14:textId="77777777" w:rsidR="00507DD6" w:rsidRDefault="00507DD6" w:rsidP="00894ECB">
            <w:pPr>
              <w:rPr>
                <w:b/>
                <w:sz w:val="22"/>
                <w:szCs w:val="22"/>
                <w:shd w:val="clear" w:color="auto" w:fill="FFFFFF"/>
              </w:rPr>
            </w:pPr>
          </w:p>
          <w:p w14:paraId="33616C2D" w14:textId="77777777" w:rsidR="00507DD6" w:rsidRDefault="00507DD6" w:rsidP="00894ECB">
            <w:pPr>
              <w:rPr>
                <w:b/>
                <w:sz w:val="22"/>
                <w:szCs w:val="22"/>
                <w:shd w:val="clear" w:color="auto" w:fill="FFFFFF"/>
              </w:rPr>
            </w:pPr>
          </w:p>
          <w:p w14:paraId="3B7FBA1D" w14:textId="77777777" w:rsidR="00507DD6" w:rsidRDefault="00507DD6" w:rsidP="00894ECB">
            <w:pPr>
              <w:rPr>
                <w:b/>
                <w:sz w:val="22"/>
                <w:szCs w:val="22"/>
                <w:shd w:val="clear" w:color="auto" w:fill="FFFFFF"/>
              </w:rPr>
            </w:pPr>
          </w:p>
          <w:p w14:paraId="2E13B41E" w14:textId="77777777" w:rsidR="00507DD6" w:rsidRDefault="00507DD6" w:rsidP="00894ECB">
            <w:pPr>
              <w:rPr>
                <w:b/>
                <w:sz w:val="22"/>
                <w:szCs w:val="22"/>
                <w:shd w:val="clear" w:color="auto" w:fill="FFFFFF"/>
              </w:rPr>
            </w:pPr>
          </w:p>
          <w:p w14:paraId="44F1A49C" w14:textId="77777777" w:rsidR="00507DD6" w:rsidRDefault="00507DD6" w:rsidP="00894ECB">
            <w:pPr>
              <w:rPr>
                <w:b/>
                <w:sz w:val="22"/>
                <w:szCs w:val="22"/>
                <w:shd w:val="clear" w:color="auto" w:fill="FFFFFF"/>
              </w:rPr>
            </w:pPr>
          </w:p>
          <w:p w14:paraId="0544D9FB" w14:textId="77777777" w:rsidR="00507DD6" w:rsidRDefault="00507DD6" w:rsidP="00894ECB">
            <w:pPr>
              <w:rPr>
                <w:b/>
                <w:sz w:val="22"/>
                <w:szCs w:val="22"/>
                <w:shd w:val="clear" w:color="auto" w:fill="FFFFFF"/>
              </w:rPr>
            </w:pPr>
          </w:p>
          <w:p w14:paraId="3D6B157A" w14:textId="77777777" w:rsidR="00507DD6" w:rsidRDefault="00507DD6" w:rsidP="00894ECB">
            <w:pPr>
              <w:rPr>
                <w:b/>
                <w:sz w:val="22"/>
                <w:szCs w:val="22"/>
                <w:shd w:val="clear" w:color="auto" w:fill="FFFFFF"/>
              </w:rPr>
            </w:pPr>
          </w:p>
          <w:p w14:paraId="5023B200" w14:textId="77777777" w:rsidR="00507DD6" w:rsidRDefault="00507DD6" w:rsidP="00894ECB">
            <w:pPr>
              <w:rPr>
                <w:b/>
                <w:sz w:val="22"/>
                <w:szCs w:val="22"/>
                <w:shd w:val="clear" w:color="auto" w:fill="FFFFFF"/>
              </w:rPr>
            </w:pPr>
          </w:p>
          <w:p w14:paraId="04708B30" w14:textId="77777777" w:rsidR="00507DD6" w:rsidRDefault="00507DD6" w:rsidP="00894ECB">
            <w:pPr>
              <w:rPr>
                <w:b/>
                <w:sz w:val="22"/>
                <w:szCs w:val="22"/>
                <w:shd w:val="clear" w:color="auto" w:fill="FFFFFF"/>
              </w:rPr>
            </w:pPr>
          </w:p>
          <w:p w14:paraId="6C98541A" w14:textId="77777777" w:rsidR="00507DD6" w:rsidRDefault="00507DD6" w:rsidP="00894ECB">
            <w:pPr>
              <w:rPr>
                <w:b/>
                <w:sz w:val="22"/>
                <w:szCs w:val="22"/>
                <w:shd w:val="clear" w:color="auto" w:fill="FFFFFF"/>
              </w:rPr>
            </w:pPr>
          </w:p>
          <w:p w14:paraId="2ADF54F8" w14:textId="77777777" w:rsidR="00507DD6" w:rsidRDefault="00507DD6" w:rsidP="00894ECB">
            <w:pPr>
              <w:rPr>
                <w:b/>
                <w:sz w:val="22"/>
                <w:szCs w:val="22"/>
                <w:shd w:val="clear" w:color="auto" w:fill="FFFFFF"/>
              </w:rPr>
            </w:pPr>
          </w:p>
          <w:p w14:paraId="54CB7ABF" w14:textId="77777777" w:rsidR="00507DD6" w:rsidRDefault="00507DD6" w:rsidP="00894ECB">
            <w:pPr>
              <w:rPr>
                <w:b/>
                <w:sz w:val="22"/>
                <w:szCs w:val="22"/>
                <w:shd w:val="clear" w:color="auto" w:fill="FFFFFF"/>
              </w:rPr>
            </w:pPr>
          </w:p>
          <w:p w14:paraId="1D30C443" w14:textId="77777777" w:rsidR="00507DD6" w:rsidRDefault="00507DD6" w:rsidP="00894ECB">
            <w:pPr>
              <w:rPr>
                <w:b/>
                <w:sz w:val="22"/>
                <w:szCs w:val="22"/>
                <w:shd w:val="clear" w:color="auto" w:fill="FFFFFF"/>
              </w:rPr>
            </w:pPr>
          </w:p>
          <w:p w14:paraId="72E5EDC4" w14:textId="77777777" w:rsidR="00507DD6" w:rsidRDefault="00507DD6" w:rsidP="00894ECB">
            <w:pPr>
              <w:rPr>
                <w:b/>
                <w:sz w:val="22"/>
                <w:szCs w:val="22"/>
                <w:shd w:val="clear" w:color="auto" w:fill="FFFFFF"/>
              </w:rPr>
            </w:pPr>
          </w:p>
          <w:p w14:paraId="79DF7794" w14:textId="77777777" w:rsidR="00507DD6" w:rsidRDefault="00507DD6" w:rsidP="00894ECB">
            <w:pPr>
              <w:rPr>
                <w:b/>
                <w:sz w:val="22"/>
                <w:szCs w:val="22"/>
                <w:shd w:val="clear" w:color="auto" w:fill="FFFFFF"/>
              </w:rPr>
            </w:pPr>
          </w:p>
          <w:p w14:paraId="0CFB60E1" w14:textId="77777777" w:rsidR="00507DD6" w:rsidRDefault="00507DD6" w:rsidP="00894ECB">
            <w:pPr>
              <w:rPr>
                <w:b/>
                <w:sz w:val="22"/>
                <w:szCs w:val="22"/>
                <w:shd w:val="clear" w:color="auto" w:fill="FFFFFF"/>
              </w:rPr>
            </w:pPr>
          </w:p>
          <w:p w14:paraId="22C051CF" w14:textId="77777777" w:rsidR="00507DD6" w:rsidRDefault="00507DD6" w:rsidP="00894ECB">
            <w:pPr>
              <w:rPr>
                <w:b/>
                <w:sz w:val="22"/>
                <w:szCs w:val="22"/>
                <w:shd w:val="clear" w:color="auto" w:fill="FFFFFF"/>
              </w:rPr>
            </w:pPr>
          </w:p>
          <w:p w14:paraId="470F4346" w14:textId="77777777" w:rsidR="00507DD6" w:rsidRDefault="00507DD6" w:rsidP="00894ECB">
            <w:pPr>
              <w:rPr>
                <w:b/>
                <w:sz w:val="22"/>
                <w:szCs w:val="22"/>
                <w:shd w:val="clear" w:color="auto" w:fill="FFFFFF"/>
              </w:rPr>
            </w:pPr>
          </w:p>
          <w:p w14:paraId="2F949C70" w14:textId="77777777" w:rsidR="00507DD6" w:rsidRDefault="00507DD6" w:rsidP="00894ECB">
            <w:pPr>
              <w:rPr>
                <w:b/>
                <w:sz w:val="22"/>
                <w:szCs w:val="22"/>
                <w:shd w:val="clear" w:color="auto" w:fill="FFFFFF"/>
              </w:rPr>
            </w:pPr>
          </w:p>
          <w:p w14:paraId="73423D84" w14:textId="77777777" w:rsidR="00507DD6" w:rsidRDefault="00507DD6" w:rsidP="00894ECB">
            <w:pPr>
              <w:rPr>
                <w:b/>
                <w:sz w:val="22"/>
                <w:szCs w:val="22"/>
                <w:shd w:val="clear" w:color="auto" w:fill="FFFFFF"/>
              </w:rPr>
            </w:pPr>
          </w:p>
          <w:p w14:paraId="4F3EE012" w14:textId="77777777" w:rsidR="00507DD6" w:rsidRDefault="00507DD6" w:rsidP="00894ECB">
            <w:pPr>
              <w:rPr>
                <w:b/>
                <w:sz w:val="22"/>
                <w:szCs w:val="22"/>
                <w:shd w:val="clear" w:color="auto" w:fill="FFFFFF"/>
              </w:rPr>
            </w:pPr>
          </w:p>
          <w:p w14:paraId="3A26FAC4" w14:textId="77777777" w:rsidR="00507DD6" w:rsidRDefault="00507DD6" w:rsidP="00894ECB">
            <w:pPr>
              <w:rPr>
                <w:b/>
                <w:sz w:val="22"/>
                <w:szCs w:val="22"/>
                <w:shd w:val="clear" w:color="auto" w:fill="FFFFFF"/>
              </w:rPr>
            </w:pPr>
          </w:p>
          <w:p w14:paraId="046EFE15" w14:textId="77777777" w:rsidR="00507DD6" w:rsidRDefault="00507DD6" w:rsidP="00894ECB">
            <w:pPr>
              <w:rPr>
                <w:b/>
                <w:sz w:val="22"/>
                <w:szCs w:val="22"/>
                <w:shd w:val="clear" w:color="auto" w:fill="FFFFFF"/>
              </w:rPr>
            </w:pPr>
          </w:p>
          <w:p w14:paraId="31162D0B" w14:textId="77777777" w:rsidR="00507DD6" w:rsidRDefault="00507DD6" w:rsidP="00894ECB">
            <w:pPr>
              <w:rPr>
                <w:b/>
                <w:sz w:val="22"/>
                <w:szCs w:val="22"/>
                <w:shd w:val="clear" w:color="auto" w:fill="FFFFFF"/>
              </w:rPr>
            </w:pPr>
          </w:p>
          <w:p w14:paraId="3ACAC86D" w14:textId="77777777" w:rsidR="00507DD6" w:rsidRDefault="00507DD6" w:rsidP="00894ECB">
            <w:pPr>
              <w:rPr>
                <w:b/>
                <w:sz w:val="22"/>
                <w:szCs w:val="22"/>
                <w:shd w:val="clear" w:color="auto" w:fill="FFFFFF"/>
              </w:rPr>
            </w:pPr>
          </w:p>
          <w:p w14:paraId="1077D7BD" w14:textId="77777777" w:rsidR="00507DD6" w:rsidRDefault="00507DD6" w:rsidP="00894ECB">
            <w:pPr>
              <w:rPr>
                <w:b/>
                <w:sz w:val="22"/>
                <w:szCs w:val="22"/>
                <w:shd w:val="clear" w:color="auto" w:fill="FFFFFF"/>
              </w:rPr>
            </w:pPr>
          </w:p>
          <w:p w14:paraId="609C34D7" w14:textId="77777777" w:rsidR="00507DD6" w:rsidRDefault="00507DD6" w:rsidP="00894ECB">
            <w:pPr>
              <w:rPr>
                <w:b/>
                <w:sz w:val="22"/>
                <w:szCs w:val="22"/>
                <w:shd w:val="clear" w:color="auto" w:fill="FFFFFF"/>
              </w:rPr>
            </w:pPr>
          </w:p>
          <w:p w14:paraId="63A40B5F" w14:textId="77777777" w:rsidR="00507DD6" w:rsidRDefault="00507DD6" w:rsidP="00894ECB">
            <w:pPr>
              <w:rPr>
                <w:b/>
                <w:sz w:val="22"/>
                <w:szCs w:val="22"/>
                <w:shd w:val="clear" w:color="auto" w:fill="FFFFFF"/>
              </w:rPr>
            </w:pPr>
          </w:p>
          <w:p w14:paraId="2755319A" w14:textId="77777777" w:rsidR="00507DD6" w:rsidRDefault="00507DD6" w:rsidP="00894ECB">
            <w:pPr>
              <w:rPr>
                <w:b/>
                <w:sz w:val="22"/>
                <w:szCs w:val="22"/>
                <w:shd w:val="clear" w:color="auto" w:fill="FFFFFF"/>
              </w:rPr>
            </w:pPr>
          </w:p>
          <w:p w14:paraId="0A5C9E9D" w14:textId="77777777" w:rsidR="00507DD6" w:rsidRDefault="00507DD6" w:rsidP="00894ECB">
            <w:pPr>
              <w:rPr>
                <w:b/>
                <w:sz w:val="22"/>
                <w:szCs w:val="22"/>
                <w:shd w:val="clear" w:color="auto" w:fill="FFFFFF"/>
              </w:rPr>
            </w:pPr>
          </w:p>
          <w:p w14:paraId="1E3DB352" w14:textId="77777777" w:rsidR="00507DD6" w:rsidRDefault="00507DD6" w:rsidP="00894ECB">
            <w:pPr>
              <w:rPr>
                <w:b/>
                <w:sz w:val="22"/>
                <w:szCs w:val="22"/>
                <w:shd w:val="clear" w:color="auto" w:fill="FFFFFF"/>
              </w:rPr>
            </w:pPr>
          </w:p>
          <w:p w14:paraId="401512CD" w14:textId="77777777" w:rsidR="00507DD6" w:rsidRDefault="00507DD6" w:rsidP="00507DD6">
            <w:pPr>
              <w:jc w:val="both"/>
              <w:rPr>
                <w:b/>
                <w:sz w:val="22"/>
                <w:szCs w:val="22"/>
                <w:shd w:val="clear" w:color="auto" w:fill="FFFFFF"/>
              </w:rPr>
            </w:pPr>
          </w:p>
          <w:p w14:paraId="037F1D4A" w14:textId="77777777" w:rsidR="00507DD6" w:rsidRDefault="00507DD6" w:rsidP="00507DD6">
            <w:pPr>
              <w:jc w:val="both"/>
              <w:rPr>
                <w:b/>
                <w:sz w:val="22"/>
                <w:szCs w:val="22"/>
                <w:shd w:val="clear" w:color="auto" w:fill="FFFFFF"/>
              </w:rPr>
            </w:pPr>
            <w:r>
              <w:rPr>
                <w:b/>
                <w:sz w:val="22"/>
                <w:szCs w:val="22"/>
                <w:shd w:val="clear" w:color="auto" w:fill="FFFFFF"/>
              </w:rPr>
              <w:t>Для обговорення</w:t>
            </w:r>
          </w:p>
          <w:p w14:paraId="3E93590E" w14:textId="77777777" w:rsidR="00507DD6" w:rsidRDefault="00507DD6" w:rsidP="00507DD6">
            <w:pPr>
              <w:jc w:val="both"/>
              <w:rPr>
                <w:b/>
                <w:sz w:val="22"/>
                <w:szCs w:val="22"/>
                <w:shd w:val="clear" w:color="auto" w:fill="FFFFFF"/>
              </w:rPr>
            </w:pPr>
          </w:p>
          <w:p w14:paraId="35CC3844" w14:textId="77777777" w:rsidR="00507DD6" w:rsidRDefault="00507DD6" w:rsidP="00507DD6">
            <w:pPr>
              <w:rPr>
                <w:sz w:val="22"/>
                <w:szCs w:val="22"/>
                <w:shd w:val="clear" w:color="auto" w:fill="FFFFFF"/>
              </w:rPr>
            </w:pPr>
            <w:r>
              <w:rPr>
                <w:sz w:val="22"/>
                <w:szCs w:val="22"/>
                <w:shd w:val="clear" w:color="auto" w:fill="FFFFFF"/>
              </w:rPr>
              <w:t>В частині р</w:t>
            </w:r>
            <w:r w:rsidRPr="00264759">
              <w:rPr>
                <w:sz w:val="22"/>
                <w:szCs w:val="22"/>
                <w:shd w:val="clear" w:color="auto" w:fill="FFFFFF"/>
              </w:rPr>
              <w:t>едакці</w:t>
            </w:r>
            <w:r>
              <w:rPr>
                <w:sz w:val="22"/>
                <w:szCs w:val="22"/>
                <w:shd w:val="clear" w:color="auto" w:fill="FFFFFF"/>
              </w:rPr>
              <w:t>ї</w:t>
            </w:r>
            <w:r w:rsidRPr="00264759">
              <w:rPr>
                <w:sz w:val="22"/>
                <w:szCs w:val="22"/>
                <w:shd w:val="clear" w:color="auto" w:fill="FFFFFF"/>
              </w:rPr>
              <w:t xml:space="preserve"> щодо</w:t>
            </w:r>
            <w:r>
              <w:rPr>
                <w:sz w:val="22"/>
                <w:szCs w:val="22"/>
                <w:shd w:val="clear" w:color="auto" w:fill="FFFFFF"/>
              </w:rPr>
              <w:t xml:space="preserve"> виявлення</w:t>
            </w:r>
            <w:r w:rsidRPr="00264759">
              <w:rPr>
                <w:sz w:val="22"/>
                <w:szCs w:val="22"/>
                <w:shd w:val="clear" w:color="auto" w:fill="FFFFFF"/>
              </w:rPr>
              <w:t xml:space="preserve"> </w:t>
            </w:r>
            <w:r w:rsidRPr="008619BE">
              <w:rPr>
                <w:sz w:val="22"/>
                <w:szCs w:val="22"/>
                <w:shd w:val="clear" w:color="auto" w:fill="FFFFFF"/>
              </w:rPr>
              <w:t>більше трьох різних (відповідно до предмету) порушень</w:t>
            </w:r>
          </w:p>
          <w:p w14:paraId="76975BCC" w14:textId="77777777" w:rsidR="00B21EFE" w:rsidRDefault="00B21EFE" w:rsidP="00507DD6">
            <w:pPr>
              <w:rPr>
                <w:b/>
                <w:sz w:val="22"/>
                <w:szCs w:val="22"/>
                <w:shd w:val="clear" w:color="auto" w:fill="FFFFFF"/>
              </w:rPr>
            </w:pPr>
          </w:p>
          <w:p w14:paraId="27A98BCF" w14:textId="77777777" w:rsidR="00B21EFE" w:rsidRDefault="00B21EFE" w:rsidP="00507DD6">
            <w:pPr>
              <w:rPr>
                <w:b/>
                <w:sz w:val="22"/>
                <w:szCs w:val="22"/>
                <w:shd w:val="clear" w:color="auto" w:fill="FFFFFF"/>
              </w:rPr>
            </w:pPr>
          </w:p>
          <w:p w14:paraId="2E6550DA" w14:textId="77777777" w:rsidR="00B21EFE" w:rsidRDefault="00B21EFE" w:rsidP="00507DD6">
            <w:pPr>
              <w:rPr>
                <w:b/>
                <w:sz w:val="22"/>
                <w:szCs w:val="22"/>
                <w:shd w:val="clear" w:color="auto" w:fill="FFFFFF"/>
              </w:rPr>
            </w:pPr>
          </w:p>
          <w:p w14:paraId="7FDB8E10" w14:textId="77777777" w:rsidR="00B21EFE" w:rsidRDefault="00B21EFE" w:rsidP="00507DD6">
            <w:pPr>
              <w:rPr>
                <w:b/>
                <w:sz w:val="22"/>
                <w:szCs w:val="22"/>
                <w:shd w:val="clear" w:color="auto" w:fill="FFFFFF"/>
              </w:rPr>
            </w:pPr>
          </w:p>
          <w:p w14:paraId="24E5F7F8" w14:textId="77777777" w:rsidR="00B21EFE" w:rsidRDefault="00B21EFE" w:rsidP="00507DD6">
            <w:pPr>
              <w:rPr>
                <w:b/>
                <w:sz w:val="22"/>
                <w:szCs w:val="22"/>
                <w:shd w:val="clear" w:color="auto" w:fill="FFFFFF"/>
              </w:rPr>
            </w:pPr>
          </w:p>
          <w:p w14:paraId="2566BE2F" w14:textId="77777777" w:rsidR="00B21EFE" w:rsidRDefault="00B21EFE" w:rsidP="00507DD6">
            <w:pPr>
              <w:rPr>
                <w:b/>
                <w:sz w:val="22"/>
                <w:szCs w:val="22"/>
                <w:shd w:val="clear" w:color="auto" w:fill="FFFFFF"/>
              </w:rPr>
            </w:pPr>
          </w:p>
          <w:p w14:paraId="719AE9C9" w14:textId="77777777" w:rsidR="00B21EFE" w:rsidRDefault="00B21EFE" w:rsidP="00507DD6">
            <w:pPr>
              <w:rPr>
                <w:b/>
                <w:sz w:val="22"/>
                <w:szCs w:val="22"/>
                <w:shd w:val="clear" w:color="auto" w:fill="FFFFFF"/>
              </w:rPr>
            </w:pPr>
          </w:p>
          <w:p w14:paraId="5F07C69E" w14:textId="77777777" w:rsidR="00B21EFE" w:rsidRDefault="00B21EFE" w:rsidP="00507DD6">
            <w:pPr>
              <w:rPr>
                <w:b/>
                <w:sz w:val="22"/>
                <w:szCs w:val="22"/>
                <w:shd w:val="clear" w:color="auto" w:fill="FFFFFF"/>
              </w:rPr>
            </w:pPr>
          </w:p>
          <w:p w14:paraId="485B8C51" w14:textId="77777777" w:rsidR="00B21EFE" w:rsidRDefault="00B21EFE" w:rsidP="00507DD6">
            <w:pPr>
              <w:rPr>
                <w:b/>
                <w:sz w:val="22"/>
                <w:szCs w:val="22"/>
                <w:shd w:val="clear" w:color="auto" w:fill="FFFFFF"/>
              </w:rPr>
            </w:pPr>
          </w:p>
          <w:p w14:paraId="7B22CEFF" w14:textId="77777777" w:rsidR="00B21EFE" w:rsidRDefault="00B21EFE" w:rsidP="00507DD6">
            <w:pPr>
              <w:rPr>
                <w:b/>
                <w:sz w:val="22"/>
                <w:szCs w:val="22"/>
                <w:shd w:val="clear" w:color="auto" w:fill="FFFFFF"/>
              </w:rPr>
            </w:pPr>
          </w:p>
          <w:p w14:paraId="016C0919" w14:textId="77777777" w:rsidR="00B21EFE" w:rsidRDefault="00B21EFE" w:rsidP="00507DD6">
            <w:pPr>
              <w:rPr>
                <w:b/>
                <w:sz w:val="22"/>
                <w:szCs w:val="22"/>
                <w:shd w:val="clear" w:color="auto" w:fill="FFFFFF"/>
              </w:rPr>
            </w:pPr>
          </w:p>
          <w:p w14:paraId="28A5AC52" w14:textId="77777777" w:rsidR="00B21EFE" w:rsidRDefault="00B21EFE" w:rsidP="00507DD6">
            <w:pPr>
              <w:rPr>
                <w:b/>
                <w:sz w:val="22"/>
                <w:szCs w:val="22"/>
                <w:shd w:val="clear" w:color="auto" w:fill="FFFFFF"/>
              </w:rPr>
            </w:pPr>
          </w:p>
          <w:p w14:paraId="76D08E05" w14:textId="77777777" w:rsidR="00B21EFE" w:rsidRDefault="00B21EFE" w:rsidP="00507DD6">
            <w:pPr>
              <w:rPr>
                <w:b/>
                <w:sz w:val="22"/>
                <w:szCs w:val="22"/>
                <w:shd w:val="clear" w:color="auto" w:fill="FFFFFF"/>
              </w:rPr>
            </w:pPr>
          </w:p>
          <w:p w14:paraId="39E53F0E" w14:textId="77777777" w:rsidR="00B21EFE" w:rsidRDefault="00B21EFE" w:rsidP="00507DD6">
            <w:pPr>
              <w:rPr>
                <w:b/>
                <w:sz w:val="22"/>
                <w:szCs w:val="22"/>
                <w:shd w:val="clear" w:color="auto" w:fill="FFFFFF"/>
              </w:rPr>
            </w:pPr>
          </w:p>
          <w:p w14:paraId="2AB0C73E" w14:textId="77777777" w:rsidR="00B21EFE" w:rsidRDefault="00B21EFE" w:rsidP="00507DD6">
            <w:pPr>
              <w:rPr>
                <w:b/>
                <w:sz w:val="22"/>
                <w:szCs w:val="22"/>
                <w:shd w:val="clear" w:color="auto" w:fill="FFFFFF"/>
              </w:rPr>
            </w:pPr>
          </w:p>
          <w:p w14:paraId="5AD8501E" w14:textId="77777777" w:rsidR="00B21EFE" w:rsidRDefault="00B21EFE" w:rsidP="00507DD6">
            <w:pPr>
              <w:rPr>
                <w:b/>
                <w:sz w:val="22"/>
                <w:szCs w:val="22"/>
                <w:shd w:val="clear" w:color="auto" w:fill="FFFFFF"/>
              </w:rPr>
            </w:pPr>
          </w:p>
          <w:p w14:paraId="37866A63" w14:textId="77777777" w:rsidR="00B21EFE" w:rsidRDefault="00B21EFE" w:rsidP="00507DD6">
            <w:pPr>
              <w:rPr>
                <w:b/>
                <w:sz w:val="22"/>
                <w:szCs w:val="22"/>
                <w:shd w:val="clear" w:color="auto" w:fill="FFFFFF"/>
              </w:rPr>
            </w:pPr>
          </w:p>
          <w:p w14:paraId="3AAC297D" w14:textId="77777777" w:rsidR="00B21EFE" w:rsidRDefault="00B21EFE" w:rsidP="00507DD6">
            <w:pPr>
              <w:rPr>
                <w:b/>
                <w:sz w:val="22"/>
                <w:szCs w:val="22"/>
                <w:shd w:val="clear" w:color="auto" w:fill="FFFFFF"/>
              </w:rPr>
            </w:pPr>
          </w:p>
          <w:p w14:paraId="79C06BDC" w14:textId="77777777" w:rsidR="00B21EFE" w:rsidRDefault="00B21EFE" w:rsidP="00507DD6">
            <w:pPr>
              <w:rPr>
                <w:b/>
                <w:sz w:val="22"/>
                <w:szCs w:val="22"/>
                <w:shd w:val="clear" w:color="auto" w:fill="FFFFFF"/>
              </w:rPr>
            </w:pPr>
          </w:p>
          <w:p w14:paraId="65F6D3C0" w14:textId="77777777" w:rsidR="00B21EFE" w:rsidRDefault="00B21EFE" w:rsidP="00507DD6">
            <w:pPr>
              <w:rPr>
                <w:b/>
                <w:sz w:val="22"/>
                <w:szCs w:val="22"/>
                <w:shd w:val="clear" w:color="auto" w:fill="FFFFFF"/>
              </w:rPr>
            </w:pPr>
          </w:p>
          <w:p w14:paraId="49265E44" w14:textId="77777777" w:rsidR="00B21EFE" w:rsidRDefault="00B21EFE" w:rsidP="00507DD6">
            <w:pPr>
              <w:rPr>
                <w:b/>
                <w:sz w:val="22"/>
                <w:szCs w:val="22"/>
                <w:shd w:val="clear" w:color="auto" w:fill="FFFFFF"/>
              </w:rPr>
            </w:pPr>
          </w:p>
          <w:p w14:paraId="5FFB37A9" w14:textId="77777777" w:rsidR="00B21EFE" w:rsidRDefault="00B21EFE" w:rsidP="00B21EFE">
            <w:pPr>
              <w:jc w:val="both"/>
              <w:rPr>
                <w:b/>
                <w:sz w:val="22"/>
                <w:szCs w:val="22"/>
                <w:shd w:val="clear" w:color="auto" w:fill="FFFFFF"/>
              </w:rPr>
            </w:pPr>
            <w:r>
              <w:rPr>
                <w:b/>
                <w:sz w:val="22"/>
                <w:szCs w:val="22"/>
                <w:shd w:val="clear" w:color="auto" w:fill="FFFFFF"/>
              </w:rPr>
              <w:t>Для обговорення</w:t>
            </w:r>
          </w:p>
          <w:p w14:paraId="439329E2" w14:textId="77777777" w:rsidR="00B21EFE" w:rsidRDefault="00B21EFE" w:rsidP="00B21EFE">
            <w:pPr>
              <w:jc w:val="both"/>
              <w:rPr>
                <w:b/>
                <w:sz w:val="22"/>
                <w:szCs w:val="22"/>
                <w:shd w:val="clear" w:color="auto" w:fill="FFFFFF"/>
              </w:rPr>
            </w:pPr>
          </w:p>
          <w:p w14:paraId="7FBA949F" w14:textId="77777777" w:rsidR="00B21EFE" w:rsidRPr="00D927E4" w:rsidRDefault="00B21EFE" w:rsidP="00B21EFE">
            <w:pPr>
              <w:rPr>
                <w:b/>
                <w:sz w:val="22"/>
                <w:szCs w:val="22"/>
                <w:shd w:val="clear" w:color="auto" w:fill="FFFFFF"/>
              </w:rPr>
            </w:pPr>
            <w:r>
              <w:rPr>
                <w:sz w:val="22"/>
                <w:szCs w:val="22"/>
                <w:shd w:val="clear" w:color="auto" w:fill="FFFFFF"/>
              </w:rPr>
              <w:t>В частині р</w:t>
            </w:r>
            <w:r w:rsidRPr="00264759">
              <w:rPr>
                <w:sz w:val="22"/>
                <w:szCs w:val="22"/>
                <w:shd w:val="clear" w:color="auto" w:fill="FFFFFF"/>
              </w:rPr>
              <w:t>едакці</w:t>
            </w:r>
            <w:r>
              <w:rPr>
                <w:sz w:val="22"/>
                <w:szCs w:val="22"/>
                <w:shd w:val="clear" w:color="auto" w:fill="FFFFFF"/>
              </w:rPr>
              <w:t>ї</w:t>
            </w:r>
            <w:r w:rsidRPr="00264759">
              <w:rPr>
                <w:sz w:val="22"/>
                <w:szCs w:val="22"/>
                <w:shd w:val="clear" w:color="auto" w:fill="FFFFFF"/>
              </w:rPr>
              <w:t xml:space="preserve"> щодо</w:t>
            </w:r>
            <w:r>
              <w:rPr>
                <w:sz w:val="22"/>
                <w:szCs w:val="22"/>
                <w:shd w:val="clear" w:color="auto" w:fill="FFFFFF"/>
              </w:rPr>
              <w:t xml:space="preserve"> виявлення</w:t>
            </w:r>
            <w:r w:rsidRPr="00264759">
              <w:rPr>
                <w:sz w:val="22"/>
                <w:szCs w:val="22"/>
                <w:shd w:val="clear" w:color="auto" w:fill="FFFFFF"/>
              </w:rPr>
              <w:t xml:space="preserve"> </w:t>
            </w:r>
            <w:r w:rsidRPr="008619BE">
              <w:rPr>
                <w:sz w:val="22"/>
                <w:szCs w:val="22"/>
                <w:shd w:val="clear" w:color="auto" w:fill="FFFFFF"/>
              </w:rPr>
              <w:t>більше трьох різних (відповідно до предмету) порушень</w:t>
            </w:r>
          </w:p>
        </w:tc>
      </w:tr>
      <w:tr w:rsidR="00894ECB" w:rsidRPr="00D927E4" w14:paraId="667BE3D1" w14:textId="77777777" w:rsidTr="00894ECB">
        <w:trPr>
          <w:trHeight w:val="595"/>
        </w:trPr>
        <w:tc>
          <w:tcPr>
            <w:tcW w:w="5839" w:type="dxa"/>
            <w:vAlign w:val="center"/>
          </w:tcPr>
          <w:p w14:paraId="617EC94E" w14:textId="77777777" w:rsidR="00894ECB" w:rsidRPr="00D927E4" w:rsidRDefault="00894ECB" w:rsidP="00894ECB">
            <w:pPr>
              <w:spacing w:after="160" w:line="259" w:lineRule="auto"/>
              <w:ind w:firstLine="240"/>
              <w:rPr>
                <w:rFonts w:eastAsia="Calibri"/>
                <w:b/>
                <w:color w:val="000000"/>
                <w:sz w:val="22"/>
                <w:szCs w:val="22"/>
                <w:lang w:eastAsia="en-US"/>
              </w:rPr>
            </w:pPr>
          </w:p>
          <w:p w14:paraId="57FDADAB" w14:textId="77777777" w:rsidR="00894ECB" w:rsidRPr="00D927E4" w:rsidRDefault="00894ECB" w:rsidP="00894ECB">
            <w:pPr>
              <w:spacing w:after="160" w:line="259" w:lineRule="auto"/>
              <w:ind w:firstLine="240"/>
              <w:rPr>
                <w:rFonts w:eastAsia="Calibri"/>
                <w:sz w:val="22"/>
                <w:szCs w:val="22"/>
                <w:lang w:eastAsia="en-US"/>
              </w:rPr>
            </w:pPr>
            <w:r w:rsidRPr="00D927E4">
              <w:rPr>
                <w:rFonts w:eastAsia="Calibri"/>
                <w:b/>
                <w:color w:val="000000"/>
                <w:sz w:val="22"/>
                <w:szCs w:val="22"/>
                <w:lang w:eastAsia="en-US"/>
              </w:rPr>
              <w:t>2.2.15.</w:t>
            </w:r>
            <w:r w:rsidRPr="00D927E4">
              <w:rPr>
                <w:rFonts w:eastAsia="Calibri"/>
                <w:color w:val="000000"/>
                <w:sz w:val="22"/>
                <w:szCs w:val="22"/>
                <w:lang w:eastAsia="en-US"/>
              </w:rPr>
              <w:t xml:space="preserve"> У разі наявності шкоди, завданої споживачам, замовникам послуг, ліцензіатам, державі та/або додаткової </w:t>
            </w:r>
            <w:r w:rsidRPr="00D927E4">
              <w:rPr>
                <w:rFonts w:eastAsia="Calibri"/>
                <w:color w:val="000000"/>
                <w:sz w:val="22"/>
                <w:szCs w:val="22"/>
                <w:lang w:eastAsia="en-US"/>
              </w:rPr>
              <w:lastRenderedPageBreak/>
              <w:t>вигоди, отриманої ліцензіатом внаслідок вчинення порушення, та можливості їх визначення, НКРЕКП для цілей обрахунку початкового розміру штрафу застосовує такі коефіцієнти</w:t>
            </w:r>
          </w:p>
          <w:p w14:paraId="39FC6E62" w14:textId="77777777" w:rsidR="00894ECB" w:rsidRPr="00D927E4" w:rsidRDefault="00894ECB" w:rsidP="00894ECB">
            <w:pPr>
              <w:spacing w:after="160" w:line="259" w:lineRule="auto"/>
              <w:ind w:firstLine="240"/>
              <w:jc w:val="right"/>
              <w:rPr>
                <w:rFonts w:eastAsia="Calibri"/>
                <w:sz w:val="22"/>
                <w:szCs w:val="22"/>
                <w:lang w:eastAsia="en-US"/>
              </w:rPr>
            </w:pPr>
          </w:p>
          <w:tbl>
            <w:tblPr>
              <w:tblW w:w="538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25"/>
              <w:gridCol w:w="1361"/>
            </w:tblGrid>
            <w:tr w:rsidR="00D927E4" w:rsidRPr="00D927E4" w14:paraId="38C7B49E" w14:textId="77777777" w:rsidTr="00975CDA">
              <w:trPr>
                <w:trHeight w:val="45"/>
              </w:trPr>
              <w:tc>
                <w:tcPr>
                  <w:tcW w:w="4025" w:type="dxa"/>
                  <w:vAlign w:val="center"/>
                </w:tcPr>
                <w:p w14:paraId="242389B5" w14:textId="77777777" w:rsidR="00894ECB" w:rsidRPr="00D927E4" w:rsidRDefault="00894ECB" w:rsidP="00894ECB">
                  <w:pPr>
                    <w:spacing w:line="259" w:lineRule="auto"/>
                    <w:jc w:val="center"/>
                    <w:rPr>
                      <w:rFonts w:eastAsia="Calibri"/>
                      <w:b/>
                      <w:sz w:val="22"/>
                      <w:szCs w:val="22"/>
                      <w:lang w:eastAsia="en-US"/>
                    </w:rPr>
                  </w:pPr>
                  <w:r w:rsidRPr="00D927E4">
                    <w:rPr>
                      <w:rFonts w:eastAsia="Calibri"/>
                      <w:b/>
                      <w:color w:val="000000"/>
                      <w:sz w:val="22"/>
                      <w:szCs w:val="22"/>
                      <w:lang w:eastAsia="en-US"/>
                    </w:rPr>
                    <w:t>Розмір завданої шкоди / отриманої додаткової вигоди</w:t>
                  </w:r>
                </w:p>
              </w:tc>
              <w:tc>
                <w:tcPr>
                  <w:tcW w:w="1361" w:type="dxa"/>
                  <w:vAlign w:val="center"/>
                </w:tcPr>
                <w:p w14:paraId="0266B202" w14:textId="77777777" w:rsidR="00894ECB" w:rsidRPr="00D927E4" w:rsidRDefault="00894ECB" w:rsidP="00894ECB">
                  <w:pPr>
                    <w:spacing w:line="259" w:lineRule="auto"/>
                    <w:jc w:val="center"/>
                    <w:rPr>
                      <w:rFonts w:eastAsia="Calibri"/>
                      <w:b/>
                      <w:sz w:val="22"/>
                      <w:szCs w:val="22"/>
                      <w:lang w:eastAsia="en-US"/>
                    </w:rPr>
                  </w:pPr>
                  <w:r w:rsidRPr="00D927E4">
                    <w:rPr>
                      <w:rFonts w:eastAsia="Calibri"/>
                      <w:b/>
                      <w:color w:val="000000"/>
                      <w:sz w:val="22"/>
                      <w:szCs w:val="22"/>
                      <w:lang w:eastAsia="en-US"/>
                    </w:rPr>
                    <w:t>Коефіцієнт</w:t>
                  </w:r>
                </w:p>
              </w:tc>
            </w:tr>
            <w:tr w:rsidR="00D927E4" w:rsidRPr="00D927E4" w14:paraId="75CA3318" w14:textId="77777777" w:rsidTr="00975CDA">
              <w:trPr>
                <w:trHeight w:val="567"/>
              </w:trPr>
              <w:tc>
                <w:tcPr>
                  <w:tcW w:w="4025" w:type="dxa"/>
                  <w:vAlign w:val="center"/>
                </w:tcPr>
                <w:p w14:paraId="6068EC96" w14:textId="77777777" w:rsidR="00894ECB" w:rsidRPr="00D927E4" w:rsidRDefault="00894ECB" w:rsidP="00894ECB">
                  <w:pPr>
                    <w:spacing w:line="259" w:lineRule="auto"/>
                    <w:rPr>
                      <w:rFonts w:eastAsia="Calibri"/>
                      <w:b/>
                      <w:sz w:val="22"/>
                      <w:szCs w:val="22"/>
                      <w:lang w:eastAsia="en-US"/>
                    </w:rPr>
                  </w:pPr>
                  <w:r w:rsidRPr="00D927E4">
                    <w:rPr>
                      <w:rFonts w:eastAsia="Calibri"/>
                      <w:b/>
                      <w:bCs/>
                      <w:sz w:val="22"/>
                      <w:szCs w:val="22"/>
                      <w:lang w:eastAsia="en-US"/>
                    </w:rPr>
                    <w:t>Шкода/додаткова вигода відсутня (чи її розрахунок неможливий)</w:t>
                  </w:r>
                </w:p>
              </w:tc>
              <w:tc>
                <w:tcPr>
                  <w:tcW w:w="1361" w:type="dxa"/>
                  <w:vAlign w:val="center"/>
                </w:tcPr>
                <w:p w14:paraId="34492982" w14:textId="77777777" w:rsidR="00894ECB" w:rsidRPr="00D927E4" w:rsidRDefault="00894ECB" w:rsidP="00894ECB">
                  <w:pPr>
                    <w:spacing w:line="259" w:lineRule="auto"/>
                    <w:jc w:val="center"/>
                    <w:rPr>
                      <w:rFonts w:eastAsia="Calibri"/>
                      <w:b/>
                      <w:sz w:val="22"/>
                      <w:szCs w:val="22"/>
                      <w:lang w:eastAsia="en-US"/>
                    </w:rPr>
                  </w:pPr>
                  <w:r w:rsidRPr="00D927E4">
                    <w:rPr>
                      <w:rFonts w:eastAsia="Calibri"/>
                      <w:b/>
                      <w:bCs/>
                      <w:sz w:val="22"/>
                      <w:szCs w:val="22"/>
                      <w:lang w:eastAsia="en-US"/>
                    </w:rPr>
                    <w:t>1</w:t>
                  </w:r>
                </w:p>
              </w:tc>
            </w:tr>
            <w:tr w:rsidR="00D927E4" w:rsidRPr="00D927E4" w14:paraId="15CA62F3" w14:textId="77777777" w:rsidTr="00975CDA">
              <w:trPr>
                <w:trHeight w:val="283"/>
              </w:trPr>
              <w:tc>
                <w:tcPr>
                  <w:tcW w:w="4025" w:type="dxa"/>
                  <w:vAlign w:val="center"/>
                </w:tcPr>
                <w:p w14:paraId="69171BDF" w14:textId="77777777" w:rsidR="00894ECB" w:rsidRPr="00D927E4" w:rsidRDefault="00894ECB" w:rsidP="00894ECB">
                  <w:pPr>
                    <w:spacing w:line="259" w:lineRule="auto"/>
                    <w:rPr>
                      <w:rFonts w:eastAsia="Calibri"/>
                      <w:b/>
                      <w:sz w:val="22"/>
                      <w:szCs w:val="22"/>
                      <w:lang w:eastAsia="en-US"/>
                    </w:rPr>
                  </w:pPr>
                  <w:r w:rsidRPr="00D927E4">
                    <w:rPr>
                      <w:rFonts w:eastAsia="Calibri"/>
                      <w:b/>
                      <w:bCs/>
                      <w:sz w:val="22"/>
                      <w:szCs w:val="22"/>
                      <w:lang w:eastAsia="en-US"/>
                    </w:rPr>
                    <w:t>від 1 грн до 1 000 000 грн</w:t>
                  </w:r>
                </w:p>
              </w:tc>
              <w:tc>
                <w:tcPr>
                  <w:tcW w:w="1361" w:type="dxa"/>
                </w:tcPr>
                <w:p w14:paraId="36953977" w14:textId="77777777" w:rsidR="00894ECB" w:rsidRPr="00D927E4" w:rsidRDefault="00894ECB" w:rsidP="00894ECB">
                  <w:pPr>
                    <w:spacing w:line="259" w:lineRule="auto"/>
                    <w:jc w:val="center"/>
                    <w:rPr>
                      <w:rFonts w:eastAsia="Calibri"/>
                      <w:b/>
                      <w:sz w:val="22"/>
                      <w:szCs w:val="22"/>
                      <w:lang w:eastAsia="en-US"/>
                    </w:rPr>
                  </w:pPr>
                  <w:r w:rsidRPr="00D927E4">
                    <w:rPr>
                      <w:rFonts w:eastAsia="Calibri"/>
                      <w:b/>
                      <w:bCs/>
                      <w:sz w:val="22"/>
                      <w:szCs w:val="22"/>
                      <w:lang w:eastAsia="en-US"/>
                    </w:rPr>
                    <w:t>1.1</w:t>
                  </w:r>
                </w:p>
              </w:tc>
            </w:tr>
            <w:tr w:rsidR="00D927E4" w:rsidRPr="00D927E4" w14:paraId="02AC8CEA" w14:textId="77777777" w:rsidTr="00975CDA">
              <w:trPr>
                <w:trHeight w:val="283"/>
              </w:trPr>
              <w:tc>
                <w:tcPr>
                  <w:tcW w:w="4025" w:type="dxa"/>
                  <w:vAlign w:val="center"/>
                </w:tcPr>
                <w:p w14:paraId="1042BA27" w14:textId="77777777" w:rsidR="00894ECB" w:rsidRPr="00D927E4" w:rsidRDefault="00894ECB" w:rsidP="00894ECB">
                  <w:pPr>
                    <w:spacing w:line="259" w:lineRule="auto"/>
                    <w:rPr>
                      <w:rFonts w:eastAsia="Calibri"/>
                      <w:b/>
                      <w:sz w:val="22"/>
                      <w:szCs w:val="22"/>
                      <w:lang w:eastAsia="en-US"/>
                    </w:rPr>
                  </w:pPr>
                  <w:r w:rsidRPr="00D927E4">
                    <w:rPr>
                      <w:rFonts w:eastAsia="Calibri"/>
                      <w:b/>
                      <w:bCs/>
                      <w:sz w:val="22"/>
                      <w:szCs w:val="22"/>
                      <w:lang w:eastAsia="en-US"/>
                    </w:rPr>
                    <w:t>від 1 000 001 грн до 5 000 000 грн</w:t>
                  </w:r>
                </w:p>
              </w:tc>
              <w:tc>
                <w:tcPr>
                  <w:tcW w:w="1361" w:type="dxa"/>
                </w:tcPr>
                <w:p w14:paraId="6AEC34A5" w14:textId="77777777" w:rsidR="00894ECB" w:rsidRPr="00D927E4" w:rsidRDefault="00894ECB" w:rsidP="00894ECB">
                  <w:pPr>
                    <w:spacing w:line="259" w:lineRule="auto"/>
                    <w:jc w:val="center"/>
                    <w:rPr>
                      <w:rFonts w:eastAsia="Calibri"/>
                      <w:b/>
                      <w:sz w:val="22"/>
                      <w:szCs w:val="22"/>
                      <w:lang w:eastAsia="en-US"/>
                    </w:rPr>
                  </w:pPr>
                  <w:r w:rsidRPr="00D927E4">
                    <w:rPr>
                      <w:rFonts w:eastAsia="Calibri"/>
                      <w:b/>
                      <w:bCs/>
                      <w:sz w:val="22"/>
                      <w:szCs w:val="22"/>
                      <w:lang w:eastAsia="en-US"/>
                    </w:rPr>
                    <w:t>1.2</w:t>
                  </w:r>
                </w:p>
              </w:tc>
            </w:tr>
            <w:tr w:rsidR="00D927E4" w:rsidRPr="00D927E4" w14:paraId="4B4EAC94" w14:textId="77777777" w:rsidTr="00975CDA">
              <w:trPr>
                <w:trHeight w:val="283"/>
              </w:trPr>
              <w:tc>
                <w:tcPr>
                  <w:tcW w:w="4025" w:type="dxa"/>
                  <w:vAlign w:val="center"/>
                </w:tcPr>
                <w:p w14:paraId="30A6A0EF" w14:textId="77777777" w:rsidR="00894ECB" w:rsidRPr="00D927E4" w:rsidRDefault="00894ECB" w:rsidP="00894ECB">
                  <w:pPr>
                    <w:spacing w:line="259" w:lineRule="auto"/>
                    <w:rPr>
                      <w:rFonts w:eastAsia="Calibri"/>
                      <w:b/>
                      <w:sz w:val="22"/>
                      <w:szCs w:val="22"/>
                      <w:lang w:eastAsia="en-US"/>
                    </w:rPr>
                  </w:pPr>
                  <w:r w:rsidRPr="00D927E4">
                    <w:rPr>
                      <w:rFonts w:eastAsia="Calibri"/>
                      <w:b/>
                      <w:bCs/>
                      <w:sz w:val="22"/>
                      <w:szCs w:val="22"/>
                      <w:lang w:eastAsia="en-US"/>
                    </w:rPr>
                    <w:t>від 5 000 001 грн до 10 000 000 грн</w:t>
                  </w:r>
                </w:p>
              </w:tc>
              <w:tc>
                <w:tcPr>
                  <w:tcW w:w="1361" w:type="dxa"/>
                </w:tcPr>
                <w:p w14:paraId="0378C5F3" w14:textId="77777777" w:rsidR="00894ECB" w:rsidRPr="00D927E4" w:rsidRDefault="00894ECB" w:rsidP="00894ECB">
                  <w:pPr>
                    <w:spacing w:line="259" w:lineRule="auto"/>
                    <w:jc w:val="center"/>
                    <w:rPr>
                      <w:rFonts w:eastAsia="Calibri"/>
                      <w:b/>
                      <w:sz w:val="22"/>
                      <w:szCs w:val="22"/>
                      <w:lang w:eastAsia="en-US"/>
                    </w:rPr>
                  </w:pPr>
                  <w:r w:rsidRPr="00D927E4">
                    <w:rPr>
                      <w:rFonts w:eastAsia="Calibri"/>
                      <w:b/>
                      <w:bCs/>
                      <w:sz w:val="22"/>
                      <w:szCs w:val="22"/>
                      <w:lang w:eastAsia="en-US"/>
                    </w:rPr>
                    <w:t>1.3</w:t>
                  </w:r>
                </w:p>
              </w:tc>
            </w:tr>
            <w:tr w:rsidR="00D927E4" w:rsidRPr="00D927E4" w14:paraId="7CAB577C" w14:textId="77777777" w:rsidTr="00975CDA">
              <w:trPr>
                <w:trHeight w:val="283"/>
              </w:trPr>
              <w:tc>
                <w:tcPr>
                  <w:tcW w:w="4025" w:type="dxa"/>
                  <w:vAlign w:val="center"/>
                </w:tcPr>
                <w:p w14:paraId="243F978A" w14:textId="77777777" w:rsidR="00894ECB" w:rsidRPr="00D927E4" w:rsidRDefault="00894ECB" w:rsidP="00894ECB">
                  <w:pPr>
                    <w:spacing w:line="259" w:lineRule="auto"/>
                    <w:rPr>
                      <w:rFonts w:eastAsia="Calibri"/>
                      <w:b/>
                      <w:sz w:val="22"/>
                      <w:szCs w:val="22"/>
                      <w:lang w:eastAsia="en-US"/>
                    </w:rPr>
                  </w:pPr>
                  <w:r w:rsidRPr="00D927E4">
                    <w:rPr>
                      <w:rFonts w:eastAsia="Calibri"/>
                      <w:b/>
                      <w:bCs/>
                      <w:sz w:val="22"/>
                      <w:szCs w:val="22"/>
                      <w:lang w:eastAsia="en-US"/>
                    </w:rPr>
                    <w:t>від 10 000 001 грн до 50 000 000 грн</w:t>
                  </w:r>
                </w:p>
              </w:tc>
              <w:tc>
                <w:tcPr>
                  <w:tcW w:w="1361" w:type="dxa"/>
                </w:tcPr>
                <w:p w14:paraId="36A54095" w14:textId="77777777" w:rsidR="00894ECB" w:rsidRPr="00D927E4" w:rsidRDefault="00894ECB" w:rsidP="00894ECB">
                  <w:pPr>
                    <w:spacing w:line="259" w:lineRule="auto"/>
                    <w:jc w:val="center"/>
                    <w:rPr>
                      <w:rFonts w:eastAsia="Calibri"/>
                      <w:b/>
                      <w:sz w:val="22"/>
                      <w:szCs w:val="22"/>
                      <w:lang w:eastAsia="en-US"/>
                    </w:rPr>
                  </w:pPr>
                  <w:r w:rsidRPr="00D927E4">
                    <w:rPr>
                      <w:rFonts w:eastAsia="Calibri"/>
                      <w:b/>
                      <w:bCs/>
                      <w:sz w:val="22"/>
                      <w:szCs w:val="22"/>
                      <w:lang w:eastAsia="en-US"/>
                    </w:rPr>
                    <w:t>1.4</w:t>
                  </w:r>
                </w:p>
              </w:tc>
            </w:tr>
            <w:tr w:rsidR="00D927E4" w:rsidRPr="00D927E4" w14:paraId="196FE45C" w14:textId="77777777" w:rsidTr="00975CDA">
              <w:trPr>
                <w:trHeight w:val="283"/>
              </w:trPr>
              <w:tc>
                <w:tcPr>
                  <w:tcW w:w="4025" w:type="dxa"/>
                  <w:vAlign w:val="center"/>
                </w:tcPr>
                <w:p w14:paraId="54483B90" w14:textId="77777777" w:rsidR="00894ECB" w:rsidRPr="00D927E4" w:rsidRDefault="00894ECB" w:rsidP="00894ECB">
                  <w:pPr>
                    <w:spacing w:line="259" w:lineRule="auto"/>
                    <w:rPr>
                      <w:rFonts w:eastAsia="Calibri"/>
                      <w:b/>
                      <w:sz w:val="22"/>
                      <w:szCs w:val="22"/>
                      <w:lang w:eastAsia="en-US"/>
                    </w:rPr>
                  </w:pPr>
                  <w:r w:rsidRPr="00D927E4">
                    <w:rPr>
                      <w:rFonts w:eastAsia="Calibri"/>
                      <w:b/>
                      <w:bCs/>
                      <w:sz w:val="22"/>
                      <w:szCs w:val="22"/>
                      <w:lang w:eastAsia="en-US"/>
                    </w:rPr>
                    <w:t>від 50 000 001 грн до 100 000 000 грн</w:t>
                  </w:r>
                </w:p>
              </w:tc>
              <w:tc>
                <w:tcPr>
                  <w:tcW w:w="1361" w:type="dxa"/>
                </w:tcPr>
                <w:p w14:paraId="7221E58A" w14:textId="77777777" w:rsidR="00894ECB" w:rsidRPr="00D927E4" w:rsidRDefault="00894ECB" w:rsidP="00894ECB">
                  <w:pPr>
                    <w:spacing w:line="259" w:lineRule="auto"/>
                    <w:jc w:val="center"/>
                    <w:rPr>
                      <w:rFonts w:eastAsia="Calibri"/>
                      <w:b/>
                      <w:sz w:val="22"/>
                      <w:szCs w:val="22"/>
                      <w:lang w:eastAsia="en-US"/>
                    </w:rPr>
                  </w:pPr>
                  <w:r w:rsidRPr="00D927E4">
                    <w:rPr>
                      <w:rFonts w:eastAsia="Calibri"/>
                      <w:b/>
                      <w:bCs/>
                      <w:sz w:val="22"/>
                      <w:szCs w:val="22"/>
                      <w:lang w:eastAsia="en-US"/>
                    </w:rPr>
                    <w:t>1.5</w:t>
                  </w:r>
                </w:p>
              </w:tc>
            </w:tr>
            <w:tr w:rsidR="00D927E4" w:rsidRPr="00D927E4" w14:paraId="113F99CD" w14:textId="77777777" w:rsidTr="00975CDA">
              <w:trPr>
                <w:trHeight w:val="283"/>
              </w:trPr>
              <w:tc>
                <w:tcPr>
                  <w:tcW w:w="4025" w:type="dxa"/>
                  <w:vAlign w:val="center"/>
                </w:tcPr>
                <w:p w14:paraId="74984F65" w14:textId="77777777" w:rsidR="00894ECB" w:rsidRPr="00D927E4" w:rsidRDefault="00894ECB" w:rsidP="00894ECB">
                  <w:pPr>
                    <w:spacing w:line="259" w:lineRule="auto"/>
                    <w:rPr>
                      <w:rFonts w:eastAsia="Calibri"/>
                      <w:b/>
                      <w:sz w:val="22"/>
                      <w:szCs w:val="22"/>
                      <w:lang w:eastAsia="en-US"/>
                    </w:rPr>
                  </w:pPr>
                  <w:r w:rsidRPr="00D927E4">
                    <w:rPr>
                      <w:rFonts w:eastAsia="Calibri"/>
                      <w:b/>
                      <w:bCs/>
                      <w:sz w:val="22"/>
                      <w:szCs w:val="22"/>
                      <w:lang w:eastAsia="en-US"/>
                    </w:rPr>
                    <w:t>від 100 000 001 грн до 200 000 000 грн</w:t>
                  </w:r>
                </w:p>
              </w:tc>
              <w:tc>
                <w:tcPr>
                  <w:tcW w:w="1361" w:type="dxa"/>
                </w:tcPr>
                <w:p w14:paraId="122ADBD1" w14:textId="77777777" w:rsidR="00894ECB" w:rsidRPr="00D927E4" w:rsidRDefault="00894ECB" w:rsidP="00894ECB">
                  <w:pPr>
                    <w:spacing w:line="259" w:lineRule="auto"/>
                    <w:jc w:val="center"/>
                    <w:rPr>
                      <w:rFonts w:eastAsia="Calibri"/>
                      <w:b/>
                      <w:sz w:val="22"/>
                      <w:szCs w:val="22"/>
                      <w:lang w:eastAsia="en-US"/>
                    </w:rPr>
                  </w:pPr>
                  <w:r w:rsidRPr="00D927E4">
                    <w:rPr>
                      <w:rFonts w:eastAsia="Calibri"/>
                      <w:b/>
                      <w:bCs/>
                      <w:sz w:val="22"/>
                      <w:szCs w:val="22"/>
                      <w:lang w:eastAsia="en-US"/>
                    </w:rPr>
                    <w:t>1.6</w:t>
                  </w:r>
                </w:p>
              </w:tc>
            </w:tr>
            <w:tr w:rsidR="00D927E4" w:rsidRPr="00D927E4" w14:paraId="6AB72835" w14:textId="77777777" w:rsidTr="00975CDA">
              <w:trPr>
                <w:trHeight w:val="283"/>
              </w:trPr>
              <w:tc>
                <w:tcPr>
                  <w:tcW w:w="4025" w:type="dxa"/>
                  <w:vAlign w:val="center"/>
                </w:tcPr>
                <w:p w14:paraId="4FFBFBC7" w14:textId="77777777" w:rsidR="00894ECB" w:rsidRPr="00D927E4" w:rsidRDefault="00894ECB" w:rsidP="00894ECB">
                  <w:pPr>
                    <w:spacing w:line="259" w:lineRule="auto"/>
                    <w:rPr>
                      <w:rFonts w:eastAsia="Calibri"/>
                      <w:b/>
                      <w:sz w:val="22"/>
                      <w:szCs w:val="22"/>
                      <w:lang w:eastAsia="en-US"/>
                    </w:rPr>
                  </w:pPr>
                  <w:r w:rsidRPr="00D927E4">
                    <w:rPr>
                      <w:rFonts w:eastAsia="Calibri"/>
                      <w:b/>
                      <w:bCs/>
                      <w:sz w:val="22"/>
                      <w:szCs w:val="22"/>
                      <w:lang w:eastAsia="en-US"/>
                    </w:rPr>
                    <w:t>від 200 000 001 грн до 400 000 000 грн</w:t>
                  </w:r>
                </w:p>
              </w:tc>
              <w:tc>
                <w:tcPr>
                  <w:tcW w:w="1361" w:type="dxa"/>
                </w:tcPr>
                <w:p w14:paraId="10F6E4E0" w14:textId="77777777" w:rsidR="00894ECB" w:rsidRPr="00D927E4" w:rsidRDefault="00894ECB" w:rsidP="00894ECB">
                  <w:pPr>
                    <w:spacing w:line="259" w:lineRule="auto"/>
                    <w:jc w:val="center"/>
                    <w:rPr>
                      <w:rFonts w:eastAsia="Calibri"/>
                      <w:b/>
                      <w:sz w:val="22"/>
                      <w:szCs w:val="22"/>
                      <w:lang w:eastAsia="en-US"/>
                    </w:rPr>
                  </w:pPr>
                  <w:r w:rsidRPr="00D927E4">
                    <w:rPr>
                      <w:rFonts w:eastAsia="Calibri"/>
                      <w:b/>
                      <w:bCs/>
                      <w:sz w:val="22"/>
                      <w:szCs w:val="22"/>
                      <w:lang w:eastAsia="en-US"/>
                    </w:rPr>
                    <w:t>1.7</w:t>
                  </w:r>
                </w:p>
              </w:tc>
            </w:tr>
            <w:tr w:rsidR="00D927E4" w:rsidRPr="00D927E4" w14:paraId="4EF5416D" w14:textId="77777777" w:rsidTr="00975CDA">
              <w:trPr>
                <w:trHeight w:val="283"/>
              </w:trPr>
              <w:tc>
                <w:tcPr>
                  <w:tcW w:w="4025" w:type="dxa"/>
                  <w:vAlign w:val="center"/>
                </w:tcPr>
                <w:p w14:paraId="0F8E7A5C" w14:textId="77777777" w:rsidR="00894ECB" w:rsidRPr="00D927E4" w:rsidRDefault="00894ECB" w:rsidP="00894ECB">
                  <w:pPr>
                    <w:spacing w:line="259" w:lineRule="auto"/>
                    <w:rPr>
                      <w:rFonts w:eastAsia="Calibri"/>
                      <w:b/>
                      <w:sz w:val="22"/>
                      <w:szCs w:val="22"/>
                      <w:lang w:eastAsia="en-US"/>
                    </w:rPr>
                  </w:pPr>
                  <w:r w:rsidRPr="00D927E4">
                    <w:rPr>
                      <w:rFonts w:eastAsia="Calibri"/>
                      <w:b/>
                      <w:bCs/>
                      <w:sz w:val="22"/>
                      <w:szCs w:val="22"/>
                      <w:lang w:eastAsia="en-US"/>
                    </w:rPr>
                    <w:t>від 400 000 001 грн до 600 000 000 грн</w:t>
                  </w:r>
                </w:p>
              </w:tc>
              <w:tc>
                <w:tcPr>
                  <w:tcW w:w="1361" w:type="dxa"/>
                </w:tcPr>
                <w:p w14:paraId="67F8CD9F" w14:textId="77777777" w:rsidR="00894ECB" w:rsidRPr="00D927E4" w:rsidRDefault="00894ECB" w:rsidP="00894ECB">
                  <w:pPr>
                    <w:spacing w:line="259" w:lineRule="auto"/>
                    <w:jc w:val="center"/>
                    <w:rPr>
                      <w:rFonts w:eastAsia="Calibri"/>
                      <w:b/>
                      <w:sz w:val="22"/>
                      <w:szCs w:val="22"/>
                      <w:lang w:eastAsia="en-US"/>
                    </w:rPr>
                  </w:pPr>
                  <w:r w:rsidRPr="00D927E4">
                    <w:rPr>
                      <w:rFonts w:eastAsia="Calibri"/>
                      <w:b/>
                      <w:bCs/>
                      <w:sz w:val="22"/>
                      <w:szCs w:val="22"/>
                      <w:lang w:eastAsia="en-US"/>
                    </w:rPr>
                    <w:t>1.8</w:t>
                  </w:r>
                </w:p>
              </w:tc>
            </w:tr>
            <w:tr w:rsidR="00D927E4" w:rsidRPr="00D927E4" w14:paraId="0CC57534" w14:textId="77777777" w:rsidTr="00975CDA">
              <w:trPr>
                <w:trHeight w:val="283"/>
              </w:trPr>
              <w:tc>
                <w:tcPr>
                  <w:tcW w:w="4025" w:type="dxa"/>
                  <w:vAlign w:val="center"/>
                </w:tcPr>
                <w:p w14:paraId="31DBC552" w14:textId="77777777" w:rsidR="00894ECB" w:rsidRPr="00D927E4" w:rsidRDefault="00894ECB" w:rsidP="00894ECB">
                  <w:pPr>
                    <w:spacing w:line="259" w:lineRule="auto"/>
                    <w:rPr>
                      <w:rFonts w:eastAsia="Calibri"/>
                      <w:b/>
                      <w:sz w:val="22"/>
                      <w:szCs w:val="22"/>
                      <w:lang w:eastAsia="en-US"/>
                    </w:rPr>
                  </w:pPr>
                  <w:r w:rsidRPr="00D927E4">
                    <w:rPr>
                      <w:rFonts w:eastAsia="Calibri"/>
                      <w:b/>
                      <w:bCs/>
                      <w:sz w:val="22"/>
                      <w:szCs w:val="22"/>
                      <w:lang w:eastAsia="en-US"/>
                    </w:rPr>
                    <w:t>від 600 000 001 грн до 1 000 000 000 грн</w:t>
                  </w:r>
                </w:p>
              </w:tc>
              <w:tc>
                <w:tcPr>
                  <w:tcW w:w="1361" w:type="dxa"/>
                </w:tcPr>
                <w:p w14:paraId="572DA2A5" w14:textId="77777777" w:rsidR="00894ECB" w:rsidRPr="00D927E4" w:rsidRDefault="00894ECB" w:rsidP="00894ECB">
                  <w:pPr>
                    <w:spacing w:line="259" w:lineRule="auto"/>
                    <w:jc w:val="center"/>
                    <w:rPr>
                      <w:rFonts w:eastAsia="Calibri"/>
                      <w:b/>
                      <w:sz w:val="22"/>
                      <w:szCs w:val="22"/>
                      <w:lang w:eastAsia="en-US"/>
                    </w:rPr>
                  </w:pPr>
                  <w:r w:rsidRPr="00D927E4">
                    <w:rPr>
                      <w:rFonts w:eastAsia="Calibri"/>
                      <w:b/>
                      <w:bCs/>
                      <w:sz w:val="22"/>
                      <w:szCs w:val="22"/>
                      <w:lang w:eastAsia="en-US"/>
                    </w:rPr>
                    <w:t>1.9</w:t>
                  </w:r>
                </w:p>
              </w:tc>
            </w:tr>
            <w:tr w:rsidR="00D927E4" w:rsidRPr="00D927E4" w14:paraId="7627A494" w14:textId="77777777" w:rsidTr="00975CDA">
              <w:trPr>
                <w:trHeight w:val="283"/>
              </w:trPr>
              <w:tc>
                <w:tcPr>
                  <w:tcW w:w="4025" w:type="dxa"/>
                  <w:vAlign w:val="center"/>
                </w:tcPr>
                <w:p w14:paraId="0E2DF687" w14:textId="77777777" w:rsidR="00894ECB" w:rsidRPr="00D927E4" w:rsidRDefault="00894ECB" w:rsidP="00894ECB">
                  <w:pPr>
                    <w:spacing w:line="259" w:lineRule="auto"/>
                    <w:rPr>
                      <w:rFonts w:eastAsia="Calibri"/>
                      <w:b/>
                      <w:sz w:val="22"/>
                      <w:szCs w:val="22"/>
                      <w:lang w:eastAsia="en-US"/>
                    </w:rPr>
                  </w:pPr>
                  <w:r w:rsidRPr="00D927E4">
                    <w:rPr>
                      <w:rFonts w:eastAsia="Calibri"/>
                      <w:b/>
                      <w:bCs/>
                      <w:sz w:val="22"/>
                      <w:szCs w:val="22"/>
                      <w:lang w:eastAsia="en-US"/>
                    </w:rPr>
                    <w:t>від 1 000 000 001 грн до 5 000 000 000 грн</w:t>
                  </w:r>
                </w:p>
              </w:tc>
              <w:tc>
                <w:tcPr>
                  <w:tcW w:w="1361" w:type="dxa"/>
                </w:tcPr>
                <w:p w14:paraId="14575A15" w14:textId="77777777" w:rsidR="00894ECB" w:rsidRPr="00D927E4" w:rsidRDefault="00894ECB" w:rsidP="00894ECB">
                  <w:pPr>
                    <w:spacing w:line="259" w:lineRule="auto"/>
                    <w:jc w:val="center"/>
                    <w:rPr>
                      <w:rFonts w:eastAsia="Calibri"/>
                      <w:b/>
                      <w:sz w:val="22"/>
                      <w:szCs w:val="22"/>
                      <w:lang w:eastAsia="en-US"/>
                    </w:rPr>
                  </w:pPr>
                  <w:r w:rsidRPr="00D927E4">
                    <w:rPr>
                      <w:rFonts w:eastAsia="Calibri"/>
                      <w:b/>
                      <w:bCs/>
                      <w:sz w:val="22"/>
                      <w:szCs w:val="22"/>
                      <w:lang w:eastAsia="en-US"/>
                    </w:rPr>
                    <w:t>2</w:t>
                  </w:r>
                </w:p>
              </w:tc>
            </w:tr>
            <w:tr w:rsidR="00D927E4" w:rsidRPr="00D927E4" w14:paraId="56414FCF" w14:textId="77777777" w:rsidTr="00975CDA">
              <w:trPr>
                <w:trHeight w:val="283"/>
              </w:trPr>
              <w:tc>
                <w:tcPr>
                  <w:tcW w:w="4025" w:type="dxa"/>
                  <w:vAlign w:val="center"/>
                </w:tcPr>
                <w:p w14:paraId="69E1B082" w14:textId="77777777" w:rsidR="00894ECB" w:rsidRPr="00D927E4" w:rsidRDefault="00894ECB" w:rsidP="00894ECB">
                  <w:pPr>
                    <w:spacing w:line="259" w:lineRule="auto"/>
                    <w:rPr>
                      <w:rFonts w:eastAsia="Calibri"/>
                      <w:b/>
                      <w:sz w:val="22"/>
                      <w:szCs w:val="22"/>
                      <w:lang w:eastAsia="en-US"/>
                    </w:rPr>
                  </w:pPr>
                  <w:r w:rsidRPr="00D927E4">
                    <w:rPr>
                      <w:rFonts w:eastAsia="Calibri"/>
                      <w:b/>
                      <w:bCs/>
                      <w:sz w:val="22"/>
                      <w:szCs w:val="22"/>
                      <w:lang w:eastAsia="en-US"/>
                    </w:rPr>
                    <w:t>від 5 000 000 001 грн до 9 000 000 000 грн</w:t>
                  </w:r>
                </w:p>
              </w:tc>
              <w:tc>
                <w:tcPr>
                  <w:tcW w:w="1361" w:type="dxa"/>
                </w:tcPr>
                <w:p w14:paraId="123D570D" w14:textId="77777777" w:rsidR="00894ECB" w:rsidRPr="00D927E4" w:rsidRDefault="00894ECB" w:rsidP="00894ECB">
                  <w:pPr>
                    <w:spacing w:line="259" w:lineRule="auto"/>
                    <w:jc w:val="center"/>
                    <w:rPr>
                      <w:rFonts w:eastAsia="Calibri"/>
                      <w:b/>
                      <w:sz w:val="22"/>
                      <w:szCs w:val="22"/>
                      <w:lang w:eastAsia="en-US"/>
                    </w:rPr>
                  </w:pPr>
                  <w:r w:rsidRPr="00D927E4">
                    <w:rPr>
                      <w:rFonts w:eastAsia="Calibri"/>
                      <w:b/>
                      <w:bCs/>
                      <w:sz w:val="22"/>
                      <w:szCs w:val="22"/>
                      <w:lang w:eastAsia="en-US"/>
                    </w:rPr>
                    <w:t>2.5</w:t>
                  </w:r>
                </w:p>
              </w:tc>
            </w:tr>
            <w:tr w:rsidR="00D927E4" w:rsidRPr="00D927E4" w14:paraId="248D7123" w14:textId="77777777" w:rsidTr="00975CDA">
              <w:trPr>
                <w:trHeight w:val="283"/>
              </w:trPr>
              <w:tc>
                <w:tcPr>
                  <w:tcW w:w="4025" w:type="dxa"/>
                  <w:vAlign w:val="center"/>
                </w:tcPr>
                <w:p w14:paraId="229F99FC" w14:textId="77777777" w:rsidR="00894ECB" w:rsidRPr="00D927E4" w:rsidRDefault="00894ECB" w:rsidP="00894ECB">
                  <w:pPr>
                    <w:spacing w:line="259" w:lineRule="auto"/>
                    <w:rPr>
                      <w:rFonts w:eastAsia="Calibri"/>
                      <w:b/>
                      <w:sz w:val="22"/>
                      <w:szCs w:val="22"/>
                      <w:lang w:eastAsia="en-US"/>
                    </w:rPr>
                  </w:pPr>
                  <w:r w:rsidRPr="00D927E4">
                    <w:rPr>
                      <w:rFonts w:eastAsia="Calibri"/>
                      <w:b/>
                      <w:bCs/>
                      <w:sz w:val="22"/>
                      <w:szCs w:val="22"/>
                      <w:lang w:eastAsia="en-US"/>
                    </w:rPr>
                    <w:t>понад 9 000 000 000 грн</w:t>
                  </w:r>
                </w:p>
              </w:tc>
              <w:tc>
                <w:tcPr>
                  <w:tcW w:w="1361" w:type="dxa"/>
                  <w:vAlign w:val="center"/>
                </w:tcPr>
                <w:p w14:paraId="5FE30D98" w14:textId="77777777" w:rsidR="00894ECB" w:rsidRPr="00D927E4" w:rsidRDefault="00894ECB" w:rsidP="00894ECB">
                  <w:pPr>
                    <w:spacing w:line="259" w:lineRule="auto"/>
                    <w:jc w:val="center"/>
                    <w:rPr>
                      <w:rFonts w:eastAsia="Calibri"/>
                      <w:b/>
                      <w:sz w:val="22"/>
                      <w:szCs w:val="22"/>
                      <w:lang w:eastAsia="en-US"/>
                    </w:rPr>
                  </w:pPr>
                  <w:r w:rsidRPr="00D927E4">
                    <w:rPr>
                      <w:rFonts w:eastAsia="Calibri"/>
                      <w:b/>
                      <w:bCs/>
                      <w:sz w:val="22"/>
                      <w:szCs w:val="22"/>
                      <w:lang w:eastAsia="en-US"/>
                    </w:rPr>
                    <w:t>3</w:t>
                  </w:r>
                </w:p>
              </w:tc>
            </w:tr>
          </w:tbl>
          <w:p w14:paraId="613A1B49" w14:textId="77777777" w:rsidR="00894ECB" w:rsidRPr="00D927E4" w:rsidRDefault="00894ECB" w:rsidP="00894ECB">
            <w:pPr>
              <w:spacing w:after="160" w:line="259" w:lineRule="auto"/>
              <w:rPr>
                <w:rFonts w:eastAsia="Calibri"/>
                <w:sz w:val="22"/>
                <w:szCs w:val="22"/>
                <w:lang w:eastAsia="en-US"/>
              </w:rPr>
            </w:pPr>
          </w:p>
          <w:p w14:paraId="0D35BBFB" w14:textId="77777777" w:rsidR="00894ECB" w:rsidRPr="00D927E4" w:rsidRDefault="00894ECB" w:rsidP="00894ECB">
            <w:pPr>
              <w:spacing w:after="160" w:line="259" w:lineRule="auto"/>
              <w:ind w:firstLine="240"/>
              <w:jc w:val="both"/>
              <w:rPr>
                <w:rFonts w:eastAsia="Calibri"/>
                <w:sz w:val="22"/>
                <w:szCs w:val="22"/>
                <w:lang w:eastAsia="en-US"/>
              </w:rPr>
            </w:pPr>
            <w:r w:rsidRPr="00D927E4">
              <w:rPr>
                <w:rFonts w:eastAsia="Calibri"/>
                <w:color w:val="000000"/>
                <w:sz w:val="22"/>
                <w:szCs w:val="22"/>
                <w:lang w:eastAsia="en-US"/>
              </w:rPr>
              <w:t>У разі відсутності шкоди/отриманої додаткової вигоди від заподіяного порушення або неможливості її обрахунку величина коефіцієнту дорівнює 1. Розрахунок шкоди чи додаткової вигоди здійснюється згідно з алгоритмом, наведеним у додатку 2 до цього Порядку.</w:t>
            </w:r>
          </w:p>
          <w:p w14:paraId="61793458" w14:textId="77777777" w:rsidR="00894ECB" w:rsidRPr="00D927E4" w:rsidRDefault="00894ECB" w:rsidP="00894ECB">
            <w:pPr>
              <w:spacing w:after="160" w:line="259" w:lineRule="auto"/>
              <w:ind w:firstLine="240"/>
              <w:jc w:val="both"/>
              <w:rPr>
                <w:rFonts w:eastAsia="Calibri"/>
                <w:sz w:val="22"/>
                <w:szCs w:val="22"/>
                <w:lang w:eastAsia="en-US"/>
              </w:rPr>
            </w:pPr>
            <w:r w:rsidRPr="00D927E4">
              <w:rPr>
                <w:rFonts w:eastAsia="Calibri"/>
                <w:color w:val="000000"/>
                <w:sz w:val="22"/>
                <w:szCs w:val="22"/>
                <w:lang w:eastAsia="en-US"/>
              </w:rPr>
              <w:t xml:space="preserve">Не вважається отриманням додаткової вигоди суми надлишково отриманого або недоотриманого доходу (суми економії/перевитрати коштів) від здійснення відповідної </w:t>
            </w:r>
            <w:r w:rsidRPr="00D927E4">
              <w:rPr>
                <w:rFonts w:eastAsia="Calibri"/>
                <w:color w:val="000000"/>
                <w:sz w:val="22"/>
                <w:szCs w:val="22"/>
                <w:lang w:eastAsia="en-US"/>
              </w:rPr>
              <w:lastRenderedPageBreak/>
              <w:t>ліцензованої діяльності, що визначаються відповідно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затвердженого постановою НКРЕКП від 14 червня 2018 року N 428, в рамках перевірки дотримання ліцензіатами структур відповідних тарифів та виконання інвестиційних програм, у разі якщо НКРЕКП за результатами перевірки має намір прийняти рішення про встановлення (зміну) тарифів на товари (послуги) для відповідного ліцензіата, зокрема зменшити діючий тариф, вилучивши зі структури тарифу кошти за недотримання ліцензіатом структури тарифу та/або невиконання (недовиконання) інвестиційної програми, або врахувати ці кошти як джерело фінансування інвестиційної програми.</w:t>
            </w:r>
          </w:p>
          <w:p w14:paraId="01D9FB99" w14:textId="77777777" w:rsidR="00894ECB" w:rsidRPr="00D927E4" w:rsidRDefault="00894ECB" w:rsidP="00894ECB">
            <w:pPr>
              <w:spacing w:after="160" w:line="259" w:lineRule="auto"/>
              <w:ind w:firstLine="306"/>
              <w:jc w:val="both"/>
              <w:rPr>
                <w:rFonts w:eastAsia="Calibri"/>
                <w:color w:val="000000"/>
                <w:sz w:val="22"/>
                <w:szCs w:val="22"/>
                <w:lang w:eastAsia="en-US"/>
              </w:rPr>
            </w:pPr>
            <w:r w:rsidRPr="00D927E4">
              <w:rPr>
                <w:rFonts w:eastAsia="Calibri"/>
                <w:color w:val="000000"/>
                <w:sz w:val="22"/>
                <w:szCs w:val="22"/>
                <w:lang w:eastAsia="en-US"/>
              </w:rPr>
              <w:t>Якщо порушення, що розглядається НКРЕКП, кваліфікується через застосування норм декількох нормативно-правових актів, але за суттю є однією (єдиною) дією (бездіяльністю), таке порушення має розглядатися як одне (єдине) порушення.</w:t>
            </w:r>
          </w:p>
          <w:p w14:paraId="2295D814" w14:textId="77777777" w:rsidR="00894ECB" w:rsidRPr="00D927E4" w:rsidRDefault="00894ECB" w:rsidP="00894ECB">
            <w:pPr>
              <w:spacing w:after="160" w:line="259" w:lineRule="auto"/>
              <w:ind w:firstLine="240"/>
              <w:rPr>
                <w:rFonts w:eastAsia="Calibri"/>
                <w:b/>
                <w:color w:val="000000"/>
                <w:sz w:val="22"/>
                <w:szCs w:val="22"/>
                <w:lang w:eastAsia="en-US"/>
              </w:rPr>
            </w:pPr>
          </w:p>
        </w:tc>
        <w:tc>
          <w:tcPr>
            <w:tcW w:w="5809" w:type="dxa"/>
            <w:vAlign w:val="center"/>
          </w:tcPr>
          <w:p w14:paraId="698F3349" w14:textId="77777777" w:rsidR="00894ECB" w:rsidRPr="00D927E4" w:rsidRDefault="00894ECB" w:rsidP="00894ECB">
            <w:pPr>
              <w:spacing w:after="120"/>
              <w:jc w:val="both"/>
              <w:rPr>
                <w:i/>
                <w:sz w:val="22"/>
                <w:szCs w:val="22"/>
              </w:rPr>
            </w:pPr>
            <w:r w:rsidRPr="00D927E4">
              <w:rPr>
                <w:i/>
                <w:sz w:val="22"/>
                <w:szCs w:val="22"/>
              </w:rPr>
              <w:lastRenderedPageBreak/>
              <w:t>ТОВ «Д.ТРЕЙДІНГ»</w:t>
            </w:r>
          </w:p>
          <w:p w14:paraId="35AF54F5" w14:textId="77777777" w:rsidR="00894ECB" w:rsidRPr="00D927E4" w:rsidRDefault="00894ECB" w:rsidP="00894ECB">
            <w:pPr>
              <w:ind w:firstLine="306"/>
              <w:jc w:val="center"/>
              <w:rPr>
                <w:b/>
                <w:i/>
                <w:iCs/>
                <w:sz w:val="22"/>
                <w:szCs w:val="22"/>
              </w:rPr>
            </w:pPr>
            <w:r w:rsidRPr="00D927E4">
              <w:rPr>
                <w:b/>
                <w:i/>
                <w:iCs/>
                <w:sz w:val="22"/>
                <w:szCs w:val="22"/>
              </w:rPr>
              <w:t>Пропонуємо коефіцієнти завданої шкоди / отриманої додаткової вигоди залишити в чинній редакції пункту 2.2.14.</w:t>
            </w:r>
          </w:p>
          <w:p w14:paraId="225B01E3" w14:textId="77777777" w:rsidR="00894ECB" w:rsidRPr="00D927E4" w:rsidRDefault="00894ECB" w:rsidP="00894ECB">
            <w:pPr>
              <w:spacing w:after="160" w:line="259" w:lineRule="auto"/>
              <w:ind w:firstLine="306"/>
              <w:jc w:val="center"/>
              <w:rPr>
                <w:rFonts w:eastAsia="Calibri"/>
                <w:b/>
                <w:i/>
                <w:iCs/>
                <w:sz w:val="22"/>
                <w:szCs w:val="22"/>
                <w:lang w:eastAsia="en-US"/>
              </w:rPr>
            </w:pPr>
          </w:p>
          <w:p w14:paraId="186434DD" w14:textId="77777777" w:rsidR="00894ECB" w:rsidRPr="00D927E4" w:rsidRDefault="00894ECB" w:rsidP="00894ECB">
            <w:pPr>
              <w:spacing w:after="120"/>
              <w:jc w:val="both"/>
              <w:rPr>
                <w:i/>
                <w:sz w:val="22"/>
                <w:szCs w:val="22"/>
              </w:rPr>
            </w:pPr>
            <w:r w:rsidRPr="00D927E4">
              <w:rPr>
                <w:i/>
                <w:sz w:val="22"/>
                <w:szCs w:val="22"/>
              </w:rPr>
              <w:t>ОБГРУНТУВАННЯ:</w:t>
            </w:r>
          </w:p>
          <w:p w14:paraId="574CBC21" w14:textId="77777777" w:rsidR="00894ECB" w:rsidRPr="00D927E4" w:rsidRDefault="00894ECB" w:rsidP="00894ECB">
            <w:pPr>
              <w:spacing w:after="120"/>
              <w:jc w:val="both"/>
              <w:rPr>
                <w:bCs/>
                <w:color w:val="000000" w:themeColor="text1"/>
                <w:sz w:val="22"/>
                <w:szCs w:val="22"/>
              </w:rPr>
            </w:pPr>
            <w:r w:rsidRPr="00D927E4">
              <w:rPr>
                <w:bCs/>
                <w:color w:val="000000" w:themeColor="text1"/>
                <w:sz w:val="22"/>
                <w:szCs w:val="22"/>
              </w:rPr>
              <w:t>Оприлюднений Аналіз впливу проекту постанови НКРЕКП «</w:t>
            </w:r>
            <w:r w:rsidRPr="00D927E4">
              <w:rPr>
                <w:rStyle w:val="rvts23"/>
                <w:i/>
                <w:iCs/>
                <w:color w:val="000000" w:themeColor="text1"/>
                <w:sz w:val="22"/>
                <w:szCs w:val="22"/>
              </w:rPr>
              <w:t>Про затвердження Змін до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w:t>
            </w:r>
            <w:r w:rsidRPr="00D927E4">
              <w:rPr>
                <w:bCs/>
                <w:color w:val="000000" w:themeColor="text1"/>
                <w:sz w:val="22"/>
                <w:szCs w:val="22"/>
              </w:rPr>
              <w:t>» не містить оцінки того, яким чином зміна коефіцієнтів розміру завданої шкоди / отриманої додаткової вигоди для цілей обрахунку початкового розміру штрафу вплине на досягнення цілей регулювання. Навряд чи збільшення коефіцієнтів сприятиме зменшенню випадків порушень чи стримуватиме ліцензіатів від їх вчинення. Крім того, вказані зміни за відсутності аналізу їх впливу можуть порушувати принцип відкритості і прозорості, гласності процесу державного регулювання, визначений пунктом 9 частини першої статті 4 Закону України «Про НКРЕКП».</w:t>
            </w:r>
          </w:p>
          <w:p w14:paraId="35DA2085" w14:textId="77777777" w:rsidR="00894ECB" w:rsidRPr="00D927E4" w:rsidRDefault="00E37804" w:rsidP="00894ECB">
            <w:pPr>
              <w:spacing w:after="120"/>
              <w:jc w:val="both"/>
              <w:rPr>
                <w:i/>
                <w:sz w:val="22"/>
                <w:szCs w:val="22"/>
              </w:rPr>
            </w:pPr>
            <w:r w:rsidRPr="00D927E4">
              <w:rPr>
                <w:i/>
                <w:sz w:val="22"/>
                <w:szCs w:val="22"/>
              </w:rPr>
              <w:t>ПРАТ «РІВНЕОБЛЕНЕРГО»</w:t>
            </w:r>
          </w:p>
          <w:p w14:paraId="0C1E62B0" w14:textId="77777777" w:rsidR="00894ECB" w:rsidRPr="00D927E4" w:rsidRDefault="00894ECB" w:rsidP="00894ECB">
            <w:pPr>
              <w:ind w:firstLine="240"/>
              <w:jc w:val="both"/>
              <w:rPr>
                <w:sz w:val="22"/>
                <w:szCs w:val="22"/>
              </w:rPr>
            </w:pPr>
            <w:r w:rsidRPr="00D927E4">
              <w:rPr>
                <w:b/>
                <w:color w:val="000000"/>
                <w:sz w:val="22"/>
                <w:szCs w:val="22"/>
              </w:rPr>
              <w:t>2.2.15.</w:t>
            </w:r>
            <w:r w:rsidRPr="00D927E4">
              <w:rPr>
                <w:color w:val="000000"/>
                <w:sz w:val="22"/>
                <w:szCs w:val="22"/>
              </w:rPr>
              <w:t xml:space="preserve"> У разі наявності шкоди, завданої споживачам, замовникам послуг, ліцензіатам, державі та/або додаткової вигоди, отриманої ліцензіатом внаслідок вчинення порушення, та можливості їх визначення, НКРЕКП для цілей обрахунку початкового розміру штрафу застосовує такі коефіцієнти</w:t>
            </w:r>
          </w:p>
          <w:p w14:paraId="04BCC1A6" w14:textId="77777777" w:rsidR="00894ECB" w:rsidRPr="00D927E4" w:rsidRDefault="00894ECB" w:rsidP="00894ECB">
            <w:pPr>
              <w:ind w:firstLine="240"/>
              <w:jc w:val="right"/>
              <w:rPr>
                <w:sz w:val="22"/>
                <w:szCs w:val="22"/>
              </w:rPr>
            </w:pPr>
          </w:p>
          <w:tbl>
            <w:tblPr>
              <w:tblW w:w="0" w:type="auto"/>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55"/>
              <w:gridCol w:w="1554"/>
            </w:tblGrid>
            <w:tr w:rsidR="00894ECB" w:rsidRPr="00D927E4" w14:paraId="3632056B" w14:textId="77777777" w:rsidTr="00E37804">
              <w:trPr>
                <w:trHeight w:val="45"/>
              </w:trPr>
              <w:tc>
                <w:tcPr>
                  <w:tcW w:w="3855" w:type="dxa"/>
                  <w:vAlign w:val="center"/>
                </w:tcPr>
                <w:p w14:paraId="585DAA43" w14:textId="77777777" w:rsidR="00894ECB" w:rsidRPr="00D927E4" w:rsidRDefault="00894ECB" w:rsidP="00894ECB">
                  <w:pPr>
                    <w:jc w:val="center"/>
                    <w:rPr>
                      <w:b/>
                      <w:sz w:val="22"/>
                      <w:szCs w:val="22"/>
                    </w:rPr>
                  </w:pPr>
                  <w:r w:rsidRPr="00D927E4">
                    <w:rPr>
                      <w:b/>
                      <w:color w:val="000000"/>
                      <w:sz w:val="22"/>
                      <w:szCs w:val="22"/>
                    </w:rPr>
                    <w:t>Розмір завданої шкоди / отриманої додаткової вигоди</w:t>
                  </w:r>
                </w:p>
              </w:tc>
              <w:tc>
                <w:tcPr>
                  <w:tcW w:w="1554" w:type="dxa"/>
                  <w:vAlign w:val="center"/>
                </w:tcPr>
                <w:p w14:paraId="1C59A595" w14:textId="77777777" w:rsidR="00894ECB" w:rsidRPr="00D927E4" w:rsidRDefault="00894ECB" w:rsidP="00894ECB">
                  <w:pPr>
                    <w:jc w:val="center"/>
                    <w:rPr>
                      <w:b/>
                      <w:sz w:val="22"/>
                      <w:szCs w:val="22"/>
                    </w:rPr>
                  </w:pPr>
                  <w:r w:rsidRPr="00D927E4">
                    <w:rPr>
                      <w:b/>
                      <w:color w:val="000000"/>
                      <w:sz w:val="22"/>
                      <w:szCs w:val="22"/>
                    </w:rPr>
                    <w:t>Коефіцієнт</w:t>
                  </w:r>
                </w:p>
              </w:tc>
            </w:tr>
            <w:tr w:rsidR="00894ECB" w:rsidRPr="00D927E4" w14:paraId="4F1AC14D" w14:textId="77777777" w:rsidTr="00E37804">
              <w:trPr>
                <w:trHeight w:val="567"/>
              </w:trPr>
              <w:tc>
                <w:tcPr>
                  <w:tcW w:w="3855" w:type="dxa"/>
                  <w:vAlign w:val="center"/>
                </w:tcPr>
                <w:p w14:paraId="3806ADDE" w14:textId="77777777" w:rsidR="00894ECB" w:rsidRPr="00D927E4" w:rsidRDefault="00894ECB" w:rsidP="00894ECB">
                  <w:pPr>
                    <w:rPr>
                      <w:b/>
                      <w:sz w:val="22"/>
                      <w:szCs w:val="22"/>
                    </w:rPr>
                  </w:pPr>
                  <w:r w:rsidRPr="00D927E4">
                    <w:rPr>
                      <w:b/>
                      <w:bCs/>
                      <w:sz w:val="22"/>
                      <w:szCs w:val="22"/>
                    </w:rPr>
                    <w:t>Шкода/додаткова вигода відсутня (чи її розрахунок неможливий)</w:t>
                  </w:r>
                </w:p>
              </w:tc>
              <w:tc>
                <w:tcPr>
                  <w:tcW w:w="1554" w:type="dxa"/>
                  <w:vAlign w:val="center"/>
                </w:tcPr>
                <w:p w14:paraId="7348E8E0" w14:textId="77777777" w:rsidR="00894ECB" w:rsidRPr="00D927E4" w:rsidRDefault="00894ECB" w:rsidP="00894ECB">
                  <w:pPr>
                    <w:jc w:val="center"/>
                    <w:rPr>
                      <w:b/>
                      <w:sz w:val="22"/>
                      <w:szCs w:val="22"/>
                    </w:rPr>
                  </w:pPr>
                  <w:r w:rsidRPr="00D927E4">
                    <w:rPr>
                      <w:b/>
                      <w:bCs/>
                      <w:sz w:val="22"/>
                      <w:szCs w:val="22"/>
                    </w:rPr>
                    <w:t>1</w:t>
                  </w:r>
                </w:p>
              </w:tc>
            </w:tr>
            <w:tr w:rsidR="00894ECB" w:rsidRPr="00D927E4" w14:paraId="625C03AF" w14:textId="77777777" w:rsidTr="00E37804">
              <w:trPr>
                <w:trHeight w:val="283"/>
              </w:trPr>
              <w:tc>
                <w:tcPr>
                  <w:tcW w:w="3855" w:type="dxa"/>
                  <w:vAlign w:val="center"/>
                </w:tcPr>
                <w:p w14:paraId="50767E6A" w14:textId="77777777" w:rsidR="00894ECB" w:rsidRPr="00D927E4" w:rsidRDefault="00894ECB" w:rsidP="00894ECB">
                  <w:pPr>
                    <w:rPr>
                      <w:b/>
                      <w:sz w:val="22"/>
                      <w:szCs w:val="22"/>
                    </w:rPr>
                  </w:pPr>
                  <w:r w:rsidRPr="00D927E4">
                    <w:rPr>
                      <w:b/>
                      <w:bCs/>
                      <w:sz w:val="22"/>
                      <w:szCs w:val="22"/>
                    </w:rPr>
                    <w:t>від 1 грн до 1 000 000 грн</w:t>
                  </w:r>
                </w:p>
              </w:tc>
              <w:tc>
                <w:tcPr>
                  <w:tcW w:w="1554" w:type="dxa"/>
                </w:tcPr>
                <w:p w14:paraId="6CDC815F" w14:textId="77777777" w:rsidR="00894ECB" w:rsidRPr="00D927E4" w:rsidRDefault="00894ECB" w:rsidP="00894ECB">
                  <w:pPr>
                    <w:jc w:val="center"/>
                    <w:rPr>
                      <w:b/>
                      <w:strike/>
                      <w:sz w:val="22"/>
                      <w:szCs w:val="22"/>
                    </w:rPr>
                  </w:pPr>
                  <w:r w:rsidRPr="00D927E4">
                    <w:rPr>
                      <w:b/>
                      <w:bCs/>
                      <w:strike/>
                      <w:sz w:val="22"/>
                      <w:szCs w:val="22"/>
                    </w:rPr>
                    <w:t>1.1</w:t>
                  </w:r>
                  <w:r w:rsidRPr="00D927E4">
                    <w:rPr>
                      <w:b/>
                      <w:bCs/>
                      <w:color w:val="FF0000"/>
                      <w:sz w:val="22"/>
                      <w:szCs w:val="22"/>
                    </w:rPr>
                    <w:t xml:space="preserve">  1.01</w:t>
                  </w:r>
                </w:p>
              </w:tc>
            </w:tr>
            <w:tr w:rsidR="00894ECB" w:rsidRPr="00D927E4" w14:paraId="20880274" w14:textId="77777777" w:rsidTr="00E37804">
              <w:trPr>
                <w:trHeight w:val="283"/>
              </w:trPr>
              <w:tc>
                <w:tcPr>
                  <w:tcW w:w="3855" w:type="dxa"/>
                  <w:vAlign w:val="center"/>
                </w:tcPr>
                <w:p w14:paraId="7F06393F" w14:textId="77777777" w:rsidR="00894ECB" w:rsidRPr="00D927E4" w:rsidRDefault="00894ECB" w:rsidP="00894ECB">
                  <w:pPr>
                    <w:rPr>
                      <w:b/>
                      <w:sz w:val="22"/>
                      <w:szCs w:val="22"/>
                    </w:rPr>
                  </w:pPr>
                  <w:r w:rsidRPr="00D927E4">
                    <w:rPr>
                      <w:b/>
                      <w:bCs/>
                      <w:sz w:val="22"/>
                      <w:szCs w:val="22"/>
                    </w:rPr>
                    <w:t>від 1 000 001 грн до 5 000 000 грн</w:t>
                  </w:r>
                </w:p>
              </w:tc>
              <w:tc>
                <w:tcPr>
                  <w:tcW w:w="1554" w:type="dxa"/>
                </w:tcPr>
                <w:p w14:paraId="2CCF1C93" w14:textId="77777777" w:rsidR="00894ECB" w:rsidRPr="00D927E4" w:rsidRDefault="00894ECB" w:rsidP="00894ECB">
                  <w:pPr>
                    <w:jc w:val="center"/>
                    <w:rPr>
                      <w:b/>
                      <w:strike/>
                      <w:sz w:val="22"/>
                      <w:szCs w:val="22"/>
                    </w:rPr>
                  </w:pPr>
                  <w:r w:rsidRPr="00D927E4">
                    <w:rPr>
                      <w:b/>
                      <w:bCs/>
                      <w:strike/>
                      <w:sz w:val="22"/>
                      <w:szCs w:val="22"/>
                    </w:rPr>
                    <w:t>1.2</w:t>
                  </w:r>
                  <w:r w:rsidRPr="00D927E4">
                    <w:rPr>
                      <w:b/>
                      <w:bCs/>
                      <w:color w:val="FF0000"/>
                      <w:sz w:val="22"/>
                      <w:szCs w:val="22"/>
                    </w:rPr>
                    <w:t xml:space="preserve">  1.03</w:t>
                  </w:r>
                </w:p>
              </w:tc>
            </w:tr>
            <w:tr w:rsidR="00894ECB" w:rsidRPr="00D927E4" w14:paraId="3A5AD09D" w14:textId="77777777" w:rsidTr="00E37804">
              <w:trPr>
                <w:trHeight w:val="283"/>
              </w:trPr>
              <w:tc>
                <w:tcPr>
                  <w:tcW w:w="3855" w:type="dxa"/>
                  <w:vAlign w:val="center"/>
                </w:tcPr>
                <w:p w14:paraId="1CD2E7D2" w14:textId="77777777" w:rsidR="00894ECB" w:rsidRPr="00D927E4" w:rsidRDefault="00894ECB" w:rsidP="00894ECB">
                  <w:pPr>
                    <w:rPr>
                      <w:b/>
                      <w:sz w:val="22"/>
                      <w:szCs w:val="22"/>
                    </w:rPr>
                  </w:pPr>
                  <w:r w:rsidRPr="00D927E4">
                    <w:rPr>
                      <w:b/>
                      <w:bCs/>
                      <w:sz w:val="22"/>
                      <w:szCs w:val="22"/>
                    </w:rPr>
                    <w:t>від 5 000 001 грн до 10 000 000 грн</w:t>
                  </w:r>
                </w:p>
              </w:tc>
              <w:tc>
                <w:tcPr>
                  <w:tcW w:w="1554" w:type="dxa"/>
                </w:tcPr>
                <w:p w14:paraId="6214284C" w14:textId="77777777" w:rsidR="00894ECB" w:rsidRPr="00D927E4" w:rsidRDefault="00894ECB" w:rsidP="00894ECB">
                  <w:pPr>
                    <w:jc w:val="center"/>
                    <w:rPr>
                      <w:b/>
                      <w:strike/>
                      <w:sz w:val="22"/>
                      <w:szCs w:val="22"/>
                    </w:rPr>
                  </w:pPr>
                  <w:r w:rsidRPr="00D927E4">
                    <w:rPr>
                      <w:b/>
                      <w:bCs/>
                      <w:strike/>
                      <w:sz w:val="22"/>
                      <w:szCs w:val="22"/>
                    </w:rPr>
                    <w:t>1.3</w:t>
                  </w:r>
                  <w:r w:rsidRPr="00D927E4">
                    <w:rPr>
                      <w:b/>
                      <w:bCs/>
                      <w:color w:val="FF0000"/>
                      <w:sz w:val="22"/>
                      <w:szCs w:val="22"/>
                    </w:rPr>
                    <w:t xml:space="preserve">  1.04</w:t>
                  </w:r>
                </w:p>
              </w:tc>
            </w:tr>
            <w:tr w:rsidR="00894ECB" w:rsidRPr="00D927E4" w14:paraId="71689D0E" w14:textId="77777777" w:rsidTr="00E37804">
              <w:trPr>
                <w:trHeight w:val="283"/>
              </w:trPr>
              <w:tc>
                <w:tcPr>
                  <w:tcW w:w="3855" w:type="dxa"/>
                  <w:vAlign w:val="center"/>
                </w:tcPr>
                <w:p w14:paraId="4901EB2E" w14:textId="77777777" w:rsidR="00894ECB" w:rsidRPr="00D927E4" w:rsidRDefault="00894ECB" w:rsidP="00894ECB">
                  <w:pPr>
                    <w:rPr>
                      <w:b/>
                      <w:sz w:val="22"/>
                      <w:szCs w:val="22"/>
                    </w:rPr>
                  </w:pPr>
                  <w:r w:rsidRPr="00D927E4">
                    <w:rPr>
                      <w:b/>
                      <w:bCs/>
                      <w:sz w:val="22"/>
                      <w:szCs w:val="22"/>
                    </w:rPr>
                    <w:t>від 10 000 001 грн до 50 000 000 грн</w:t>
                  </w:r>
                </w:p>
              </w:tc>
              <w:tc>
                <w:tcPr>
                  <w:tcW w:w="1554" w:type="dxa"/>
                </w:tcPr>
                <w:p w14:paraId="69A81CE0" w14:textId="77777777" w:rsidR="00894ECB" w:rsidRPr="00D927E4" w:rsidRDefault="00894ECB" w:rsidP="00894ECB">
                  <w:pPr>
                    <w:jc w:val="center"/>
                    <w:rPr>
                      <w:b/>
                      <w:strike/>
                      <w:sz w:val="22"/>
                      <w:szCs w:val="22"/>
                    </w:rPr>
                  </w:pPr>
                  <w:r w:rsidRPr="00D927E4">
                    <w:rPr>
                      <w:b/>
                      <w:bCs/>
                      <w:strike/>
                      <w:sz w:val="22"/>
                      <w:szCs w:val="22"/>
                    </w:rPr>
                    <w:t>1.4</w:t>
                  </w:r>
                  <w:r w:rsidRPr="00D927E4">
                    <w:rPr>
                      <w:b/>
                      <w:bCs/>
                      <w:color w:val="FF0000"/>
                      <w:sz w:val="22"/>
                      <w:szCs w:val="22"/>
                    </w:rPr>
                    <w:t xml:space="preserve">  1.06</w:t>
                  </w:r>
                </w:p>
              </w:tc>
            </w:tr>
            <w:tr w:rsidR="00894ECB" w:rsidRPr="00D927E4" w14:paraId="7AF0977D" w14:textId="77777777" w:rsidTr="00E37804">
              <w:trPr>
                <w:trHeight w:val="283"/>
              </w:trPr>
              <w:tc>
                <w:tcPr>
                  <w:tcW w:w="3855" w:type="dxa"/>
                  <w:vAlign w:val="center"/>
                </w:tcPr>
                <w:p w14:paraId="555E2090" w14:textId="77777777" w:rsidR="00894ECB" w:rsidRPr="00D927E4" w:rsidRDefault="00894ECB" w:rsidP="00894ECB">
                  <w:pPr>
                    <w:rPr>
                      <w:b/>
                      <w:sz w:val="22"/>
                      <w:szCs w:val="22"/>
                    </w:rPr>
                  </w:pPr>
                  <w:r w:rsidRPr="00D927E4">
                    <w:rPr>
                      <w:b/>
                      <w:bCs/>
                      <w:sz w:val="22"/>
                      <w:szCs w:val="22"/>
                    </w:rPr>
                    <w:t>від 50 000 001 грн до 100 000 000 грн</w:t>
                  </w:r>
                </w:p>
              </w:tc>
              <w:tc>
                <w:tcPr>
                  <w:tcW w:w="1554" w:type="dxa"/>
                </w:tcPr>
                <w:p w14:paraId="17142588" w14:textId="77777777" w:rsidR="00894ECB" w:rsidRPr="00D927E4" w:rsidRDefault="00894ECB" w:rsidP="00894ECB">
                  <w:pPr>
                    <w:jc w:val="center"/>
                    <w:rPr>
                      <w:b/>
                      <w:strike/>
                      <w:sz w:val="22"/>
                      <w:szCs w:val="22"/>
                    </w:rPr>
                  </w:pPr>
                  <w:r w:rsidRPr="00D927E4">
                    <w:rPr>
                      <w:b/>
                      <w:bCs/>
                      <w:strike/>
                      <w:sz w:val="22"/>
                      <w:szCs w:val="22"/>
                    </w:rPr>
                    <w:t>1.5</w:t>
                  </w:r>
                  <w:r w:rsidRPr="00D927E4">
                    <w:rPr>
                      <w:b/>
                      <w:bCs/>
                      <w:color w:val="FF0000"/>
                      <w:sz w:val="22"/>
                      <w:szCs w:val="22"/>
                    </w:rPr>
                    <w:t xml:space="preserve">  1.08</w:t>
                  </w:r>
                </w:p>
              </w:tc>
            </w:tr>
            <w:tr w:rsidR="00894ECB" w:rsidRPr="00D927E4" w14:paraId="1DCEE89D" w14:textId="77777777" w:rsidTr="00E37804">
              <w:trPr>
                <w:trHeight w:val="283"/>
              </w:trPr>
              <w:tc>
                <w:tcPr>
                  <w:tcW w:w="3855" w:type="dxa"/>
                  <w:vAlign w:val="center"/>
                </w:tcPr>
                <w:p w14:paraId="7AF08261" w14:textId="77777777" w:rsidR="00894ECB" w:rsidRPr="00D927E4" w:rsidRDefault="00894ECB" w:rsidP="00894ECB">
                  <w:pPr>
                    <w:rPr>
                      <w:b/>
                      <w:sz w:val="22"/>
                      <w:szCs w:val="22"/>
                    </w:rPr>
                  </w:pPr>
                  <w:r w:rsidRPr="00D927E4">
                    <w:rPr>
                      <w:b/>
                      <w:bCs/>
                      <w:sz w:val="22"/>
                      <w:szCs w:val="22"/>
                    </w:rPr>
                    <w:t>від 100 000 001 грн до 200 000 000 грн</w:t>
                  </w:r>
                </w:p>
              </w:tc>
              <w:tc>
                <w:tcPr>
                  <w:tcW w:w="1554" w:type="dxa"/>
                </w:tcPr>
                <w:p w14:paraId="77C6B9B2" w14:textId="77777777" w:rsidR="00894ECB" w:rsidRPr="00D927E4" w:rsidRDefault="00894ECB" w:rsidP="00894ECB">
                  <w:pPr>
                    <w:jc w:val="center"/>
                    <w:rPr>
                      <w:b/>
                      <w:strike/>
                      <w:sz w:val="22"/>
                      <w:szCs w:val="22"/>
                    </w:rPr>
                  </w:pPr>
                  <w:r w:rsidRPr="00D927E4">
                    <w:rPr>
                      <w:b/>
                      <w:bCs/>
                      <w:strike/>
                      <w:sz w:val="22"/>
                      <w:szCs w:val="22"/>
                    </w:rPr>
                    <w:t>1.6</w:t>
                  </w:r>
                  <w:r w:rsidRPr="00D927E4">
                    <w:rPr>
                      <w:b/>
                      <w:bCs/>
                      <w:color w:val="FF0000"/>
                      <w:sz w:val="22"/>
                      <w:szCs w:val="22"/>
                    </w:rPr>
                    <w:t xml:space="preserve">  1.1</w:t>
                  </w:r>
                </w:p>
              </w:tc>
            </w:tr>
            <w:tr w:rsidR="00894ECB" w:rsidRPr="00D927E4" w14:paraId="34C1B114" w14:textId="77777777" w:rsidTr="00E37804">
              <w:trPr>
                <w:trHeight w:val="283"/>
              </w:trPr>
              <w:tc>
                <w:tcPr>
                  <w:tcW w:w="3855" w:type="dxa"/>
                  <w:vAlign w:val="center"/>
                </w:tcPr>
                <w:p w14:paraId="25BE87C2" w14:textId="77777777" w:rsidR="00894ECB" w:rsidRPr="00D927E4" w:rsidRDefault="00894ECB" w:rsidP="00894ECB">
                  <w:pPr>
                    <w:rPr>
                      <w:b/>
                      <w:sz w:val="22"/>
                      <w:szCs w:val="22"/>
                    </w:rPr>
                  </w:pPr>
                  <w:r w:rsidRPr="00D927E4">
                    <w:rPr>
                      <w:b/>
                      <w:bCs/>
                      <w:sz w:val="22"/>
                      <w:szCs w:val="22"/>
                    </w:rPr>
                    <w:lastRenderedPageBreak/>
                    <w:t>від 200 000 001 грн до 400 000 000 грн</w:t>
                  </w:r>
                </w:p>
              </w:tc>
              <w:tc>
                <w:tcPr>
                  <w:tcW w:w="1554" w:type="dxa"/>
                </w:tcPr>
                <w:p w14:paraId="196AE436" w14:textId="77777777" w:rsidR="00894ECB" w:rsidRPr="00D927E4" w:rsidRDefault="00894ECB" w:rsidP="00894ECB">
                  <w:pPr>
                    <w:jc w:val="center"/>
                    <w:rPr>
                      <w:b/>
                      <w:strike/>
                      <w:sz w:val="22"/>
                      <w:szCs w:val="22"/>
                    </w:rPr>
                  </w:pPr>
                  <w:r w:rsidRPr="00D927E4">
                    <w:rPr>
                      <w:b/>
                      <w:bCs/>
                      <w:strike/>
                      <w:sz w:val="22"/>
                      <w:szCs w:val="22"/>
                    </w:rPr>
                    <w:t>1.7</w:t>
                  </w:r>
                  <w:r w:rsidRPr="00D927E4">
                    <w:rPr>
                      <w:b/>
                      <w:bCs/>
                      <w:color w:val="FF0000"/>
                      <w:sz w:val="22"/>
                      <w:szCs w:val="22"/>
                    </w:rPr>
                    <w:t xml:space="preserve">  1.15</w:t>
                  </w:r>
                </w:p>
              </w:tc>
            </w:tr>
            <w:tr w:rsidR="00894ECB" w:rsidRPr="00D927E4" w14:paraId="7A9347BB" w14:textId="77777777" w:rsidTr="00E37804">
              <w:trPr>
                <w:trHeight w:val="283"/>
              </w:trPr>
              <w:tc>
                <w:tcPr>
                  <w:tcW w:w="3855" w:type="dxa"/>
                  <w:vAlign w:val="center"/>
                </w:tcPr>
                <w:p w14:paraId="05B30E5B" w14:textId="77777777" w:rsidR="00894ECB" w:rsidRPr="00D927E4" w:rsidRDefault="00894ECB" w:rsidP="00894ECB">
                  <w:pPr>
                    <w:rPr>
                      <w:b/>
                      <w:sz w:val="22"/>
                      <w:szCs w:val="22"/>
                    </w:rPr>
                  </w:pPr>
                  <w:r w:rsidRPr="00D927E4">
                    <w:rPr>
                      <w:b/>
                      <w:bCs/>
                      <w:sz w:val="22"/>
                      <w:szCs w:val="22"/>
                    </w:rPr>
                    <w:t>від 400 000 001 грн до 600 000 000 грн</w:t>
                  </w:r>
                </w:p>
              </w:tc>
              <w:tc>
                <w:tcPr>
                  <w:tcW w:w="1554" w:type="dxa"/>
                </w:tcPr>
                <w:p w14:paraId="413A747A" w14:textId="77777777" w:rsidR="00894ECB" w:rsidRPr="00D927E4" w:rsidRDefault="00894ECB" w:rsidP="00894ECB">
                  <w:pPr>
                    <w:jc w:val="center"/>
                    <w:rPr>
                      <w:b/>
                      <w:strike/>
                      <w:sz w:val="22"/>
                      <w:szCs w:val="22"/>
                    </w:rPr>
                  </w:pPr>
                  <w:r w:rsidRPr="00D927E4">
                    <w:rPr>
                      <w:b/>
                      <w:bCs/>
                      <w:strike/>
                      <w:sz w:val="22"/>
                      <w:szCs w:val="22"/>
                    </w:rPr>
                    <w:t>1.8</w:t>
                  </w:r>
                  <w:r w:rsidRPr="00D927E4">
                    <w:rPr>
                      <w:b/>
                      <w:bCs/>
                      <w:color w:val="FF0000"/>
                      <w:sz w:val="22"/>
                      <w:szCs w:val="22"/>
                    </w:rPr>
                    <w:t xml:space="preserve">  1.20</w:t>
                  </w:r>
                </w:p>
              </w:tc>
            </w:tr>
            <w:tr w:rsidR="00894ECB" w:rsidRPr="00D927E4" w14:paraId="4EEE169B" w14:textId="77777777" w:rsidTr="00E37804">
              <w:trPr>
                <w:trHeight w:val="283"/>
              </w:trPr>
              <w:tc>
                <w:tcPr>
                  <w:tcW w:w="3855" w:type="dxa"/>
                  <w:vAlign w:val="center"/>
                </w:tcPr>
                <w:p w14:paraId="7F33C1D9" w14:textId="77777777" w:rsidR="00894ECB" w:rsidRPr="00D927E4" w:rsidRDefault="00894ECB" w:rsidP="00894ECB">
                  <w:pPr>
                    <w:rPr>
                      <w:b/>
                      <w:sz w:val="22"/>
                      <w:szCs w:val="22"/>
                    </w:rPr>
                  </w:pPr>
                  <w:r w:rsidRPr="00D927E4">
                    <w:rPr>
                      <w:b/>
                      <w:bCs/>
                      <w:sz w:val="22"/>
                      <w:szCs w:val="22"/>
                    </w:rPr>
                    <w:t>від 600 000 001 грн до 1 000 000 000 грн</w:t>
                  </w:r>
                </w:p>
              </w:tc>
              <w:tc>
                <w:tcPr>
                  <w:tcW w:w="1554" w:type="dxa"/>
                </w:tcPr>
                <w:p w14:paraId="7FA097D7" w14:textId="77777777" w:rsidR="00894ECB" w:rsidRPr="00D927E4" w:rsidRDefault="00894ECB" w:rsidP="00894ECB">
                  <w:pPr>
                    <w:jc w:val="center"/>
                    <w:rPr>
                      <w:b/>
                      <w:strike/>
                      <w:sz w:val="22"/>
                      <w:szCs w:val="22"/>
                    </w:rPr>
                  </w:pPr>
                  <w:r w:rsidRPr="00D927E4">
                    <w:rPr>
                      <w:b/>
                      <w:bCs/>
                      <w:strike/>
                      <w:sz w:val="22"/>
                      <w:szCs w:val="22"/>
                    </w:rPr>
                    <w:t>1.9</w:t>
                  </w:r>
                  <w:r w:rsidRPr="00D927E4">
                    <w:rPr>
                      <w:b/>
                      <w:bCs/>
                      <w:color w:val="FF0000"/>
                      <w:sz w:val="22"/>
                      <w:szCs w:val="22"/>
                    </w:rPr>
                    <w:t xml:space="preserve">  1.30</w:t>
                  </w:r>
                </w:p>
              </w:tc>
            </w:tr>
            <w:tr w:rsidR="00894ECB" w:rsidRPr="00D927E4" w14:paraId="7D6A86F4" w14:textId="77777777" w:rsidTr="00E37804">
              <w:trPr>
                <w:trHeight w:val="283"/>
              </w:trPr>
              <w:tc>
                <w:tcPr>
                  <w:tcW w:w="3855" w:type="dxa"/>
                  <w:vAlign w:val="center"/>
                </w:tcPr>
                <w:p w14:paraId="1EE609C2" w14:textId="77777777" w:rsidR="00894ECB" w:rsidRPr="00D927E4" w:rsidRDefault="00894ECB" w:rsidP="00894ECB">
                  <w:pPr>
                    <w:rPr>
                      <w:b/>
                      <w:sz w:val="22"/>
                      <w:szCs w:val="22"/>
                    </w:rPr>
                  </w:pPr>
                  <w:r w:rsidRPr="00D927E4">
                    <w:rPr>
                      <w:b/>
                      <w:bCs/>
                      <w:sz w:val="22"/>
                      <w:szCs w:val="22"/>
                    </w:rPr>
                    <w:t>від 1 000 000 001 грн до 5 000 000 000 грн</w:t>
                  </w:r>
                </w:p>
              </w:tc>
              <w:tc>
                <w:tcPr>
                  <w:tcW w:w="1554" w:type="dxa"/>
                </w:tcPr>
                <w:p w14:paraId="7A111BF5" w14:textId="77777777" w:rsidR="00894ECB" w:rsidRPr="00D927E4" w:rsidRDefault="00894ECB" w:rsidP="00894ECB">
                  <w:pPr>
                    <w:jc w:val="center"/>
                    <w:rPr>
                      <w:b/>
                      <w:strike/>
                      <w:sz w:val="22"/>
                      <w:szCs w:val="22"/>
                    </w:rPr>
                  </w:pPr>
                  <w:r w:rsidRPr="00D927E4">
                    <w:rPr>
                      <w:b/>
                      <w:bCs/>
                      <w:strike/>
                      <w:sz w:val="22"/>
                      <w:szCs w:val="22"/>
                    </w:rPr>
                    <w:t>2</w:t>
                  </w:r>
                  <w:r w:rsidRPr="00D927E4">
                    <w:rPr>
                      <w:b/>
                      <w:bCs/>
                      <w:color w:val="FF0000"/>
                      <w:sz w:val="22"/>
                      <w:szCs w:val="22"/>
                    </w:rPr>
                    <w:t xml:space="preserve">  1.50</w:t>
                  </w:r>
                </w:p>
              </w:tc>
            </w:tr>
            <w:tr w:rsidR="00894ECB" w:rsidRPr="00D927E4" w14:paraId="2B0EAE80" w14:textId="77777777" w:rsidTr="00E37804">
              <w:trPr>
                <w:trHeight w:val="283"/>
              </w:trPr>
              <w:tc>
                <w:tcPr>
                  <w:tcW w:w="3855" w:type="dxa"/>
                  <w:vAlign w:val="center"/>
                </w:tcPr>
                <w:p w14:paraId="7AC82FB4" w14:textId="77777777" w:rsidR="00894ECB" w:rsidRPr="00D927E4" w:rsidRDefault="00894ECB" w:rsidP="00894ECB">
                  <w:pPr>
                    <w:rPr>
                      <w:b/>
                      <w:sz w:val="22"/>
                      <w:szCs w:val="22"/>
                    </w:rPr>
                  </w:pPr>
                  <w:r w:rsidRPr="00D927E4">
                    <w:rPr>
                      <w:b/>
                      <w:bCs/>
                      <w:sz w:val="22"/>
                      <w:szCs w:val="22"/>
                    </w:rPr>
                    <w:t>від 5 000 000 001 грн до 9 000 000 000 грн</w:t>
                  </w:r>
                </w:p>
              </w:tc>
              <w:tc>
                <w:tcPr>
                  <w:tcW w:w="1554" w:type="dxa"/>
                </w:tcPr>
                <w:p w14:paraId="6CDB1056" w14:textId="77777777" w:rsidR="00894ECB" w:rsidRPr="00D927E4" w:rsidRDefault="00894ECB" w:rsidP="00894ECB">
                  <w:pPr>
                    <w:jc w:val="center"/>
                    <w:rPr>
                      <w:b/>
                      <w:strike/>
                      <w:sz w:val="22"/>
                      <w:szCs w:val="22"/>
                    </w:rPr>
                  </w:pPr>
                  <w:r w:rsidRPr="00D927E4">
                    <w:rPr>
                      <w:b/>
                      <w:bCs/>
                      <w:strike/>
                      <w:sz w:val="22"/>
                      <w:szCs w:val="22"/>
                    </w:rPr>
                    <w:t>2.5</w:t>
                  </w:r>
                  <w:r w:rsidRPr="00D927E4">
                    <w:rPr>
                      <w:b/>
                      <w:bCs/>
                      <w:color w:val="FF0000"/>
                      <w:sz w:val="22"/>
                      <w:szCs w:val="22"/>
                    </w:rPr>
                    <w:t xml:space="preserve">  1.70</w:t>
                  </w:r>
                </w:p>
              </w:tc>
            </w:tr>
            <w:tr w:rsidR="00894ECB" w:rsidRPr="00D927E4" w14:paraId="7D378955" w14:textId="77777777" w:rsidTr="00E37804">
              <w:trPr>
                <w:trHeight w:val="283"/>
              </w:trPr>
              <w:tc>
                <w:tcPr>
                  <w:tcW w:w="3855" w:type="dxa"/>
                  <w:vAlign w:val="center"/>
                </w:tcPr>
                <w:p w14:paraId="6D4936B2" w14:textId="77777777" w:rsidR="00894ECB" w:rsidRPr="00D927E4" w:rsidRDefault="00894ECB" w:rsidP="00894ECB">
                  <w:pPr>
                    <w:rPr>
                      <w:b/>
                      <w:sz w:val="22"/>
                      <w:szCs w:val="22"/>
                    </w:rPr>
                  </w:pPr>
                  <w:r w:rsidRPr="00D927E4">
                    <w:rPr>
                      <w:b/>
                      <w:bCs/>
                      <w:sz w:val="22"/>
                      <w:szCs w:val="22"/>
                    </w:rPr>
                    <w:t>понад 9 000 000 000 грн</w:t>
                  </w:r>
                </w:p>
              </w:tc>
              <w:tc>
                <w:tcPr>
                  <w:tcW w:w="1554" w:type="dxa"/>
                  <w:vAlign w:val="center"/>
                </w:tcPr>
                <w:p w14:paraId="2CC42E78" w14:textId="77777777" w:rsidR="00894ECB" w:rsidRPr="00D927E4" w:rsidRDefault="00894ECB" w:rsidP="00894ECB">
                  <w:pPr>
                    <w:jc w:val="center"/>
                    <w:rPr>
                      <w:b/>
                      <w:strike/>
                      <w:sz w:val="22"/>
                      <w:szCs w:val="22"/>
                    </w:rPr>
                  </w:pPr>
                  <w:r w:rsidRPr="00D927E4">
                    <w:rPr>
                      <w:b/>
                      <w:bCs/>
                      <w:strike/>
                      <w:sz w:val="22"/>
                      <w:szCs w:val="22"/>
                    </w:rPr>
                    <w:t>3</w:t>
                  </w:r>
                  <w:r w:rsidRPr="00D927E4">
                    <w:rPr>
                      <w:b/>
                      <w:bCs/>
                      <w:color w:val="FF0000"/>
                      <w:sz w:val="22"/>
                      <w:szCs w:val="22"/>
                    </w:rPr>
                    <w:t xml:space="preserve">  2</w:t>
                  </w:r>
                </w:p>
              </w:tc>
            </w:tr>
          </w:tbl>
          <w:p w14:paraId="569C769E" w14:textId="77777777" w:rsidR="00894ECB" w:rsidRPr="00D927E4" w:rsidRDefault="00894ECB" w:rsidP="00894ECB">
            <w:pPr>
              <w:spacing w:after="120"/>
              <w:jc w:val="both"/>
              <w:rPr>
                <w:sz w:val="22"/>
                <w:szCs w:val="22"/>
              </w:rPr>
            </w:pPr>
          </w:p>
          <w:p w14:paraId="4B7F653D" w14:textId="77777777" w:rsidR="00894ECB" w:rsidRPr="00D927E4" w:rsidRDefault="00894ECB" w:rsidP="00894ECB">
            <w:pPr>
              <w:spacing w:after="120"/>
              <w:jc w:val="both"/>
              <w:rPr>
                <w:i/>
                <w:sz w:val="22"/>
                <w:szCs w:val="22"/>
              </w:rPr>
            </w:pPr>
            <w:r w:rsidRPr="00D927E4">
              <w:rPr>
                <w:i/>
                <w:sz w:val="22"/>
                <w:szCs w:val="22"/>
              </w:rPr>
              <w:t>ОБГРУНТУВАННЯ:</w:t>
            </w:r>
          </w:p>
          <w:p w14:paraId="715BA6D4" w14:textId="77777777" w:rsidR="00894ECB" w:rsidRPr="00D927E4" w:rsidRDefault="00894ECB" w:rsidP="00894ECB">
            <w:pPr>
              <w:autoSpaceDE w:val="0"/>
              <w:autoSpaceDN w:val="0"/>
              <w:adjustRightInd w:val="0"/>
              <w:ind w:firstLine="367"/>
              <w:jc w:val="both"/>
              <w:rPr>
                <w:color w:val="000000"/>
                <w:sz w:val="22"/>
                <w:szCs w:val="22"/>
              </w:rPr>
            </w:pPr>
            <w:r w:rsidRPr="00D927E4">
              <w:rPr>
                <w:color w:val="000000"/>
                <w:sz w:val="22"/>
                <w:szCs w:val="22"/>
              </w:rPr>
              <w:t>ПрАТ «</w:t>
            </w:r>
            <w:proofErr w:type="spellStart"/>
            <w:r w:rsidRPr="00D927E4">
              <w:rPr>
                <w:color w:val="000000"/>
                <w:sz w:val="22"/>
                <w:szCs w:val="22"/>
              </w:rPr>
              <w:t>Рівнеобленерго</w:t>
            </w:r>
            <w:proofErr w:type="spellEnd"/>
            <w:r w:rsidRPr="00D927E4">
              <w:rPr>
                <w:color w:val="000000"/>
                <w:sz w:val="22"/>
                <w:szCs w:val="22"/>
              </w:rPr>
              <w:t>» пропонує  залишити діючу редакцію шкали в п. 2.2.15 для більш рівномірного розподілу коефіцієнтів відповідно до розміру завданої шкоди та / або додаткової вигоди з метою застосування принципу пропорційності покарання та порушення.</w:t>
            </w:r>
          </w:p>
          <w:p w14:paraId="641C12C4" w14:textId="77777777" w:rsidR="00894ECB" w:rsidRPr="00D927E4" w:rsidRDefault="00894ECB" w:rsidP="00894ECB">
            <w:pPr>
              <w:spacing w:after="120"/>
              <w:jc w:val="both"/>
              <w:rPr>
                <w:color w:val="000000"/>
                <w:sz w:val="22"/>
                <w:szCs w:val="22"/>
              </w:rPr>
            </w:pPr>
            <w:r w:rsidRPr="00D927E4">
              <w:rPr>
                <w:color w:val="000000"/>
                <w:sz w:val="22"/>
                <w:szCs w:val="22"/>
              </w:rPr>
              <w:t>Зважаючи на те, що крок зростання розміру завданої шкоди / отриманої додаткової вигоди в перших групах таблиці менший, ніж в останніх групах, відповідно коефіцієнт спочатку має бути  меншим.</w:t>
            </w:r>
          </w:p>
          <w:p w14:paraId="2408DDDE" w14:textId="77777777" w:rsidR="00894ECB" w:rsidRPr="00D927E4" w:rsidRDefault="00894ECB" w:rsidP="00894ECB">
            <w:pPr>
              <w:spacing w:after="120"/>
              <w:jc w:val="both"/>
              <w:rPr>
                <w:sz w:val="22"/>
                <w:szCs w:val="22"/>
              </w:rPr>
            </w:pPr>
          </w:p>
          <w:p w14:paraId="03346060" w14:textId="77777777" w:rsidR="00894ECB" w:rsidRPr="00D927E4" w:rsidRDefault="00894ECB" w:rsidP="00894ECB">
            <w:pPr>
              <w:spacing w:after="120"/>
              <w:jc w:val="both"/>
              <w:rPr>
                <w:i/>
                <w:sz w:val="22"/>
                <w:szCs w:val="22"/>
              </w:rPr>
            </w:pPr>
            <w:r w:rsidRPr="00D927E4">
              <w:rPr>
                <w:i/>
                <w:sz w:val="22"/>
                <w:szCs w:val="22"/>
              </w:rPr>
              <w:t>АТ «НАЕК «ЕНЕРГОАТОМ»</w:t>
            </w:r>
          </w:p>
          <w:p w14:paraId="0B61E45F" w14:textId="77777777" w:rsidR="00894ECB" w:rsidRPr="00D927E4" w:rsidRDefault="00894ECB" w:rsidP="00894ECB">
            <w:pPr>
              <w:tabs>
                <w:tab w:val="left" w:pos="342"/>
              </w:tabs>
              <w:ind w:firstLine="340"/>
              <w:jc w:val="both"/>
              <w:rPr>
                <w:rFonts w:eastAsia="Calibri"/>
                <w:sz w:val="22"/>
                <w:szCs w:val="22"/>
                <w:lang w:eastAsia="en-US"/>
              </w:rPr>
            </w:pPr>
            <w:r w:rsidRPr="00D927E4">
              <w:rPr>
                <w:rFonts w:eastAsia="Calibri"/>
                <w:sz w:val="22"/>
                <w:szCs w:val="22"/>
                <w:lang w:eastAsia="en-US"/>
              </w:rPr>
              <w:t>2.2.15. У разі наявності шкоди, завданої споживачам, замовникам послуг, ліцензіатам, державі та/або додаткової вигоди, отриманої ліцензіатом внаслідок вчинення порушення, та можливості їх визначення, НКРЕКП для цілей обрахунку початкового розміру штрафу застосовує такі коефіцієнти</w:t>
            </w:r>
          </w:p>
          <w:p w14:paraId="4582CB68" w14:textId="77777777" w:rsidR="00894ECB" w:rsidRPr="00D927E4" w:rsidRDefault="00894ECB" w:rsidP="00894ECB">
            <w:pPr>
              <w:tabs>
                <w:tab w:val="left" w:pos="342"/>
              </w:tabs>
              <w:ind w:firstLine="340"/>
              <w:jc w:val="both"/>
              <w:rPr>
                <w:rFonts w:eastAsia="Calibri"/>
                <w:b/>
                <w:sz w:val="22"/>
                <w:szCs w:val="22"/>
                <w:lang w:eastAsia="en-US"/>
              </w:rPr>
            </w:pPr>
          </w:p>
          <w:tbl>
            <w:tblPr>
              <w:tblW w:w="5329" w:type="dxa"/>
              <w:tblCellSpacing w:w="0" w:type="auto"/>
              <w:tblInd w:w="115" w:type="dxa"/>
              <w:tblBorders>
                <w:top w:val="inset" w:sz="8" w:space="0" w:color="000000"/>
                <w:left w:val="inset" w:sz="8" w:space="0" w:color="000000"/>
                <w:bottom w:val="inset" w:sz="8" w:space="0" w:color="000000"/>
                <w:right w:val="inset" w:sz="8" w:space="0" w:color="000000"/>
              </w:tblBorders>
              <w:tblLayout w:type="fixed"/>
              <w:tblLook w:val="04A0" w:firstRow="1" w:lastRow="0" w:firstColumn="1" w:lastColumn="0" w:noHBand="0" w:noVBand="1"/>
            </w:tblPr>
            <w:tblGrid>
              <w:gridCol w:w="4195"/>
              <w:gridCol w:w="1134"/>
            </w:tblGrid>
            <w:tr w:rsidR="00894ECB" w:rsidRPr="00D927E4" w14:paraId="3789D6DD" w14:textId="77777777" w:rsidTr="003508AC">
              <w:trPr>
                <w:trHeight w:val="45"/>
                <w:tblCellSpacing w:w="0" w:type="auto"/>
              </w:trPr>
              <w:tc>
                <w:tcPr>
                  <w:tcW w:w="4195" w:type="dxa"/>
                  <w:tcBorders>
                    <w:top w:val="outset" w:sz="8" w:space="0" w:color="000000"/>
                    <w:left w:val="outset" w:sz="8" w:space="0" w:color="000000"/>
                    <w:bottom w:val="outset" w:sz="8" w:space="0" w:color="000000"/>
                    <w:right w:val="outset" w:sz="8" w:space="0" w:color="000000"/>
                  </w:tcBorders>
                  <w:vAlign w:val="center"/>
                </w:tcPr>
                <w:p w14:paraId="45C23CC6" w14:textId="77777777" w:rsidR="00894ECB" w:rsidRPr="00D927E4" w:rsidRDefault="00894ECB" w:rsidP="00894ECB">
                  <w:pPr>
                    <w:tabs>
                      <w:tab w:val="left" w:pos="342"/>
                    </w:tabs>
                    <w:spacing w:after="120"/>
                    <w:ind w:firstLine="340"/>
                    <w:jc w:val="both"/>
                    <w:rPr>
                      <w:rFonts w:eastAsia="Calibri"/>
                      <w:b/>
                      <w:sz w:val="22"/>
                      <w:szCs w:val="22"/>
                      <w:lang w:eastAsia="en-US"/>
                    </w:rPr>
                  </w:pPr>
                  <w:r w:rsidRPr="00D927E4">
                    <w:rPr>
                      <w:rFonts w:eastAsia="Calibri"/>
                      <w:b/>
                      <w:sz w:val="22"/>
                      <w:szCs w:val="22"/>
                      <w:lang w:eastAsia="en-US"/>
                    </w:rPr>
                    <w:t>Розмір завданої шкоди / отриманої додаткової вигоди</w:t>
                  </w:r>
                </w:p>
              </w:tc>
              <w:tc>
                <w:tcPr>
                  <w:tcW w:w="1134" w:type="dxa"/>
                  <w:tcBorders>
                    <w:top w:val="outset" w:sz="8" w:space="0" w:color="000000"/>
                    <w:left w:val="outset" w:sz="8" w:space="0" w:color="000000"/>
                    <w:bottom w:val="outset" w:sz="8" w:space="0" w:color="000000"/>
                    <w:right w:val="outset" w:sz="8" w:space="0" w:color="000000"/>
                  </w:tcBorders>
                  <w:vAlign w:val="center"/>
                </w:tcPr>
                <w:p w14:paraId="47A246FB" w14:textId="77777777" w:rsidR="00894ECB" w:rsidRPr="00D927E4" w:rsidRDefault="00894ECB" w:rsidP="00894ECB">
                  <w:pPr>
                    <w:tabs>
                      <w:tab w:val="left" w:pos="342"/>
                    </w:tabs>
                    <w:spacing w:after="120"/>
                    <w:ind w:firstLine="340"/>
                    <w:jc w:val="both"/>
                    <w:rPr>
                      <w:rFonts w:eastAsia="Calibri"/>
                      <w:b/>
                      <w:sz w:val="22"/>
                      <w:szCs w:val="22"/>
                      <w:lang w:eastAsia="en-US"/>
                    </w:rPr>
                  </w:pPr>
                  <w:r w:rsidRPr="00D927E4">
                    <w:rPr>
                      <w:rFonts w:eastAsia="Calibri"/>
                      <w:b/>
                      <w:sz w:val="22"/>
                      <w:szCs w:val="22"/>
                      <w:lang w:eastAsia="en-US"/>
                    </w:rPr>
                    <w:t>Коефіцієнт</w:t>
                  </w:r>
                </w:p>
              </w:tc>
            </w:tr>
            <w:tr w:rsidR="00894ECB" w:rsidRPr="00D927E4" w14:paraId="43662E65" w14:textId="77777777" w:rsidTr="003508AC">
              <w:trPr>
                <w:trHeight w:val="375"/>
                <w:tblCellSpacing w:w="0" w:type="auto"/>
              </w:trPr>
              <w:tc>
                <w:tcPr>
                  <w:tcW w:w="4195" w:type="dxa"/>
                  <w:tcBorders>
                    <w:top w:val="outset" w:sz="8" w:space="0" w:color="000000"/>
                    <w:left w:val="outset" w:sz="8" w:space="0" w:color="000000"/>
                    <w:bottom w:val="outset" w:sz="8" w:space="0" w:color="000000"/>
                    <w:right w:val="outset" w:sz="8" w:space="0" w:color="000000"/>
                  </w:tcBorders>
                  <w:vAlign w:val="center"/>
                </w:tcPr>
                <w:p w14:paraId="3E04A14B" w14:textId="77777777" w:rsidR="00894ECB" w:rsidRPr="00D927E4" w:rsidRDefault="00894ECB" w:rsidP="00894ECB">
                  <w:pPr>
                    <w:tabs>
                      <w:tab w:val="left" w:pos="342"/>
                    </w:tabs>
                    <w:spacing w:after="120"/>
                    <w:ind w:firstLine="340"/>
                    <w:jc w:val="both"/>
                    <w:rPr>
                      <w:rFonts w:eastAsia="Calibri"/>
                      <w:b/>
                      <w:sz w:val="22"/>
                      <w:szCs w:val="22"/>
                      <w:lang w:eastAsia="en-US"/>
                    </w:rPr>
                  </w:pPr>
                  <w:r w:rsidRPr="00D927E4">
                    <w:rPr>
                      <w:rFonts w:eastAsia="Calibri"/>
                      <w:b/>
                      <w:sz w:val="22"/>
                      <w:szCs w:val="22"/>
                      <w:lang w:eastAsia="en-US"/>
                    </w:rPr>
                    <w:t>Шкода / додаткова вигода відсутня (чи її розрахунок неможливий)</w:t>
                  </w:r>
                </w:p>
              </w:tc>
              <w:tc>
                <w:tcPr>
                  <w:tcW w:w="1134" w:type="dxa"/>
                  <w:tcBorders>
                    <w:top w:val="outset" w:sz="8" w:space="0" w:color="000000"/>
                    <w:left w:val="outset" w:sz="8" w:space="0" w:color="000000"/>
                    <w:bottom w:val="outset" w:sz="8" w:space="0" w:color="000000"/>
                    <w:right w:val="outset" w:sz="8" w:space="0" w:color="000000"/>
                  </w:tcBorders>
                  <w:vAlign w:val="center"/>
                </w:tcPr>
                <w:p w14:paraId="52AC9F40" w14:textId="77777777" w:rsidR="00894ECB" w:rsidRPr="00D927E4" w:rsidRDefault="00894ECB" w:rsidP="00894ECB">
                  <w:pPr>
                    <w:tabs>
                      <w:tab w:val="left" w:pos="342"/>
                    </w:tabs>
                    <w:spacing w:after="120"/>
                    <w:ind w:firstLine="340"/>
                    <w:jc w:val="both"/>
                    <w:rPr>
                      <w:rFonts w:eastAsia="Calibri"/>
                      <w:b/>
                      <w:sz w:val="22"/>
                      <w:szCs w:val="22"/>
                      <w:lang w:eastAsia="en-US"/>
                    </w:rPr>
                  </w:pPr>
                  <w:r w:rsidRPr="00D927E4">
                    <w:rPr>
                      <w:rFonts w:eastAsia="Calibri"/>
                      <w:b/>
                      <w:sz w:val="22"/>
                      <w:szCs w:val="22"/>
                      <w:lang w:eastAsia="en-US"/>
                    </w:rPr>
                    <w:t>1</w:t>
                  </w:r>
                </w:p>
              </w:tc>
            </w:tr>
            <w:tr w:rsidR="00894ECB" w:rsidRPr="00D927E4" w14:paraId="082B68A5" w14:textId="77777777" w:rsidTr="003508AC">
              <w:trPr>
                <w:trHeight w:val="45"/>
                <w:tblCellSpacing w:w="0" w:type="auto"/>
              </w:trPr>
              <w:tc>
                <w:tcPr>
                  <w:tcW w:w="4195" w:type="dxa"/>
                  <w:tcBorders>
                    <w:top w:val="outset" w:sz="8" w:space="0" w:color="000000"/>
                    <w:left w:val="outset" w:sz="8" w:space="0" w:color="000000"/>
                    <w:bottom w:val="outset" w:sz="8" w:space="0" w:color="000000"/>
                    <w:right w:val="outset" w:sz="8" w:space="0" w:color="000000"/>
                  </w:tcBorders>
                  <w:vAlign w:val="center"/>
                </w:tcPr>
                <w:p w14:paraId="420EB1DB" w14:textId="77777777" w:rsidR="00894ECB" w:rsidRPr="00D927E4" w:rsidRDefault="00894ECB" w:rsidP="00894ECB">
                  <w:pPr>
                    <w:tabs>
                      <w:tab w:val="left" w:pos="342"/>
                    </w:tabs>
                    <w:spacing w:after="120"/>
                    <w:ind w:firstLine="340"/>
                    <w:jc w:val="both"/>
                    <w:rPr>
                      <w:rFonts w:eastAsia="Calibri"/>
                      <w:b/>
                      <w:sz w:val="22"/>
                      <w:szCs w:val="22"/>
                      <w:lang w:eastAsia="en-US"/>
                    </w:rPr>
                  </w:pPr>
                  <w:r w:rsidRPr="00D927E4">
                    <w:rPr>
                      <w:rFonts w:eastAsia="Calibri"/>
                      <w:b/>
                      <w:sz w:val="22"/>
                      <w:szCs w:val="22"/>
                      <w:lang w:eastAsia="en-US"/>
                    </w:rPr>
                    <w:lastRenderedPageBreak/>
                    <w:t>від 1 грн до 1000000 грн</w:t>
                  </w:r>
                </w:p>
              </w:tc>
              <w:tc>
                <w:tcPr>
                  <w:tcW w:w="1134" w:type="dxa"/>
                  <w:tcBorders>
                    <w:top w:val="outset" w:sz="8" w:space="0" w:color="000000"/>
                    <w:left w:val="outset" w:sz="8" w:space="0" w:color="000000"/>
                    <w:bottom w:val="outset" w:sz="8" w:space="0" w:color="000000"/>
                    <w:right w:val="outset" w:sz="8" w:space="0" w:color="000000"/>
                  </w:tcBorders>
                  <w:vAlign w:val="center"/>
                </w:tcPr>
                <w:p w14:paraId="48C9FE3E" w14:textId="77777777" w:rsidR="00894ECB" w:rsidRPr="00D927E4" w:rsidRDefault="00894ECB" w:rsidP="00894ECB">
                  <w:pPr>
                    <w:tabs>
                      <w:tab w:val="left" w:pos="342"/>
                    </w:tabs>
                    <w:spacing w:after="120"/>
                    <w:ind w:firstLine="340"/>
                    <w:jc w:val="both"/>
                    <w:rPr>
                      <w:rFonts w:eastAsia="Calibri"/>
                      <w:b/>
                      <w:sz w:val="22"/>
                      <w:szCs w:val="22"/>
                      <w:lang w:eastAsia="en-US"/>
                    </w:rPr>
                  </w:pPr>
                  <w:r w:rsidRPr="00D927E4">
                    <w:rPr>
                      <w:rFonts w:eastAsia="Calibri"/>
                      <w:b/>
                      <w:sz w:val="22"/>
                      <w:szCs w:val="22"/>
                      <w:lang w:eastAsia="en-US"/>
                    </w:rPr>
                    <w:t>1.01</w:t>
                  </w:r>
                </w:p>
              </w:tc>
            </w:tr>
            <w:tr w:rsidR="00894ECB" w:rsidRPr="00D927E4" w14:paraId="24EAC2C1" w14:textId="77777777" w:rsidTr="003508AC">
              <w:trPr>
                <w:trHeight w:val="45"/>
                <w:tblCellSpacing w:w="0" w:type="auto"/>
              </w:trPr>
              <w:tc>
                <w:tcPr>
                  <w:tcW w:w="4195" w:type="dxa"/>
                  <w:tcBorders>
                    <w:top w:val="outset" w:sz="8" w:space="0" w:color="000000"/>
                    <w:left w:val="outset" w:sz="8" w:space="0" w:color="000000"/>
                    <w:bottom w:val="outset" w:sz="8" w:space="0" w:color="000000"/>
                    <w:right w:val="outset" w:sz="8" w:space="0" w:color="000000"/>
                  </w:tcBorders>
                  <w:vAlign w:val="center"/>
                </w:tcPr>
                <w:p w14:paraId="045A266F" w14:textId="77777777" w:rsidR="00894ECB" w:rsidRPr="00D927E4" w:rsidRDefault="00894ECB" w:rsidP="00894ECB">
                  <w:pPr>
                    <w:tabs>
                      <w:tab w:val="left" w:pos="342"/>
                    </w:tabs>
                    <w:spacing w:after="120"/>
                    <w:ind w:firstLine="340"/>
                    <w:jc w:val="both"/>
                    <w:rPr>
                      <w:rFonts w:eastAsia="Calibri"/>
                      <w:b/>
                      <w:sz w:val="22"/>
                      <w:szCs w:val="22"/>
                      <w:lang w:eastAsia="en-US"/>
                    </w:rPr>
                  </w:pPr>
                  <w:r w:rsidRPr="00D927E4">
                    <w:rPr>
                      <w:rFonts w:eastAsia="Calibri"/>
                      <w:b/>
                      <w:sz w:val="22"/>
                      <w:szCs w:val="22"/>
                      <w:lang w:eastAsia="en-US"/>
                    </w:rPr>
                    <w:t>від 1000001 грн до 5000000 грн</w:t>
                  </w:r>
                </w:p>
              </w:tc>
              <w:tc>
                <w:tcPr>
                  <w:tcW w:w="1134" w:type="dxa"/>
                  <w:tcBorders>
                    <w:top w:val="outset" w:sz="8" w:space="0" w:color="000000"/>
                    <w:left w:val="outset" w:sz="8" w:space="0" w:color="000000"/>
                    <w:bottom w:val="outset" w:sz="8" w:space="0" w:color="000000"/>
                    <w:right w:val="outset" w:sz="8" w:space="0" w:color="000000"/>
                  </w:tcBorders>
                  <w:vAlign w:val="center"/>
                </w:tcPr>
                <w:p w14:paraId="11813569" w14:textId="77777777" w:rsidR="00894ECB" w:rsidRPr="00D927E4" w:rsidRDefault="00894ECB" w:rsidP="00894ECB">
                  <w:pPr>
                    <w:tabs>
                      <w:tab w:val="left" w:pos="342"/>
                    </w:tabs>
                    <w:spacing w:after="120"/>
                    <w:ind w:firstLine="340"/>
                    <w:jc w:val="both"/>
                    <w:rPr>
                      <w:rFonts w:eastAsia="Calibri"/>
                      <w:b/>
                      <w:sz w:val="22"/>
                      <w:szCs w:val="22"/>
                      <w:lang w:eastAsia="en-US"/>
                    </w:rPr>
                  </w:pPr>
                  <w:r w:rsidRPr="00D927E4">
                    <w:rPr>
                      <w:rFonts w:eastAsia="Calibri"/>
                      <w:b/>
                      <w:sz w:val="22"/>
                      <w:szCs w:val="22"/>
                      <w:lang w:eastAsia="en-US"/>
                    </w:rPr>
                    <w:t>1.03</w:t>
                  </w:r>
                </w:p>
              </w:tc>
            </w:tr>
            <w:tr w:rsidR="00894ECB" w:rsidRPr="00D927E4" w14:paraId="0DEFB7C7" w14:textId="77777777" w:rsidTr="003508AC">
              <w:trPr>
                <w:trHeight w:val="45"/>
                <w:tblCellSpacing w:w="0" w:type="auto"/>
              </w:trPr>
              <w:tc>
                <w:tcPr>
                  <w:tcW w:w="4195" w:type="dxa"/>
                  <w:tcBorders>
                    <w:top w:val="outset" w:sz="8" w:space="0" w:color="000000"/>
                    <w:left w:val="outset" w:sz="8" w:space="0" w:color="000000"/>
                    <w:bottom w:val="outset" w:sz="8" w:space="0" w:color="000000"/>
                    <w:right w:val="outset" w:sz="8" w:space="0" w:color="000000"/>
                  </w:tcBorders>
                  <w:vAlign w:val="center"/>
                </w:tcPr>
                <w:p w14:paraId="5D3E3623" w14:textId="77777777" w:rsidR="00894ECB" w:rsidRPr="00D927E4" w:rsidRDefault="00894ECB" w:rsidP="00894ECB">
                  <w:pPr>
                    <w:tabs>
                      <w:tab w:val="left" w:pos="342"/>
                    </w:tabs>
                    <w:spacing w:after="120"/>
                    <w:ind w:firstLine="340"/>
                    <w:jc w:val="both"/>
                    <w:rPr>
                      <w:rFonts w:eastAsia="Calibri"/>
                      <w:b/>
                      <w:sz w:val="22"/>
                      <w:szCs w:val="22"/>
                      <w:lang w:eastAsia="en-US"/>
                    </w:rPr>
                  </w:pPr>
                  <w:r w:rsidRPr="00D927E4">
                    <w:rPr>
                      <w:rFonts w:eastAsia="Calibri"/>
                      <w:b/>
                      <w:sz w:val="22"/>
                      <w:szCs w:val="22"/>
                      <w:lang w:eastAsia="en-US"/>
                    </w:rPr>
                    <w:t>від 5000001 грн до 10000000 грн</w:t>
                  </w:r>
                </w:p>
              </w:tc>
              <w:tc>
                <w:tcPr>
                  <w:tcW w:w="1134" w:type="dxa"/>
                  <w:tcBorders>
                    <w:top w:val="outset" w:sz="8" w:space="0" w:color="000000"/>
                    <w:left w:val="outset" w:sz="8" w:space="0" w:color="000000"/>
                    <w:bottom w:val="outset" w:sz="8" w:space="0" w:color="000000"/>
                    <w:right w:val="outset" w:sz="8" w:space="0" w:color="000000"/>
                  </w:tcBorders>
                  <w:vAlign w:val="center"/>
                </w:tcPr>
                <w:p w14:paraId="36AFB641" w14:textId="77777777" w:rsidR="00894ECB" w:rsidRPr="00D927E4" w:rsidRDefault="00894ECB" w:rsidP="00894ECB">
                  <w:pPr>
                    <w:tabs>
                      <w:tab w:val="left" w:pos="342"/>
                    </w:tabs>
                    <w:spacing w:after="120"/>
                    <w:ind w:firstLine="340"/>
                    <w:jc w:val="both"/>
                    <w:rPr>
                      <w:rFonts w:eastAsia="Calibri"/>
                      <w:b/>
                      <w:sz w:val="22"/>
                      <w:szCs w:val="22"/>
                      <w:lang w:eastAsia="en-US"/>
                    </w:rPr>
                  </w:pPr>
                  <w:r w:rsidRPr="00D927E4">
                    <w:rPr>
                      <w:rFonts w:eastAsia="Calibri"/>
                      <w:b/>
                      <w:sz w:val="22"/>
                      <w:szCs w:val="22"/>
                      <w:lang w:eastAsia="en-US"/>
                    </w:rPr>
                    <w:t>1.04</w:t>
                  </w:r>
                </w:p>
              </w:tc>
            </w:tr>
            <w:tr w:rsidR="00894ECB" w:rsidRPr="00D927E4" w14:paraId="46781D27" w14:textId="77777777" w:rsidTr="003508AC">
              <w:trPr>
                <w:trHeight w:val="45"/>
                <w:tblCellSpacing w:w="0" w:type="auto"/>
              </w:trPr>
              <w:tc>
                <w:tcPr>
                  <w:tcW w:w="4195" w:type="dxa"/>
                  <w:tcBorders>
                    <w:top w:val="outset" w:sz="8" w:space="0" w:color="000000"/>
                    <w:left w:val="outset" w:sz="8" w:space="0" w:color="000000"/>
                    <w:bottom w:val="outset" w:sz="8" w:space="0" w:color="000000"/>
                    <w:right w:val="outset" w:sz="8" w:space="0" w:color="000000"/>
                  </w:tcBorders>
                  <w:vAlign w:val="center"/>
                </w:tcPr>
                <w:p w14:paraId="406A10CE" w14:textId="77777777" w:rsidR="00894ECB" w:rsidRPr="00D927E4" w:rsidRDefault="00894ECB" w:rsidP="00894ECB">
                  <w:pPr>
                    <w:tabs>
                      <w:tab w:val="left" w:pos="342"/>
                    </w:tabs>
                    <w:spacing w:after="120"/>
                    <w:ind w:firstLine="340"/>
                    <w:jc w:val="both"/>
                    <w:rPr>
                      <w:rFonts w:eastAsia="Calibri"/>
                      <w:b/>
                      <w:sz w:val="22"/>
                      <w:szCs w:val="22"/>
                      <w:lang w:eastAsia="en-US"/>
                    </w:rPr>
                  </w:pPr>
                  <w:r w:rsidRPr="00D927E4">
                    <w:rPr>
                      <w:rFonts w:eastAsia="Calibri"/>
                      <w:b/>
                      <w:sz w:val="22"/>
                      <w:szCs w:val="22"/>
                      <w:lang w:eastAsia="en-US"/>
                    </w:rPr>
                    <w:t>від 10000001 грн до 50000000 грн</w:t>
                  </w:r>
                </w:p>
              </w:tc>
              <w:tc>
                <w:tcPr>
                  <w:tcW w:w="1134" w:type="dxa"/>
                  <w:tcBorders>
                    <w:top w:val="outset" w:sz="8" w:space="0" w:color="000000"/>
                    <w:left w:val="outset" w:sz="8" w:space="0" w:color="000000"/>
                    <w:bottom w:val="outset" w:sz="8" w:space="0" w:color="000000"/>
                    <w:right w:val="outset" w:sz="8" w:space="0" w:color="000000"/>
                  </w:tcBorders>
                  <w:vAlign w:val="center"/>
                </w:tcPr>
                <w:p w14:paraId="40137B90" w14:textId="77777777" w:rsidR="00894ECB" w:rsidRPr="00D927E4" w:rsidRDefault="00894ECB" w:rsidP="00894ECB">
                  <w:pPr>
                    <w:tabs>
                      <w:tab w:val="left" w:pos="342"/>
                    </w:tabs>
                    <w:spacing w:after="120"/>
                    <w:ind w:firstLine="340"/>
                    <w:jc w:val="both"/>
                    <w:rPr>
                      <w:rFonts w:eastAsia="Calibri"/>
                      <w:b/>
                      <w:sz w:val="22"/>
                      <w:szCs w:val="22"/>
                      <w:lang w:eastAsia="en-US"/>
                    </w:rPr>
                  </w:pPr>
                  <w:r w:rsidRPr="00D927E4">
                    <w:rPr>
                      <w:rFonts w:eastAsia="Calibri"/>
                      <w:b/>
                      <w:sz w:val="22"/>
                      <w:szCs w:val="22"/>
                      <w:lang w:eastAsia="en-US"/>
                    </w:rPr>
                    <w:t>1.06</w:t>
                  </w:r>
                </w:p>
              </w:tc>
            </w:tr>
            <w:tr w:rsidR="00894ECB" w:rsidRPr="00D927E4" w14:paraId="6871455C" w14:textId="77777777" w:rsidTr="003508AC">
              <w:trPr>
                <w:trHeight w:val="45"/>
                <w:tblCellSpacing w:w="0" w:type="auto"/>
              </w:trPr>
              <w:tc>
                <w:tcPr>
                  <w:tcW w:w="4195" w:type="dxa"/>
                  <w:tcBorders>
                    <w:top w:val="outset" w:sz="8" w:space="0" w:color="000000"/>
                    <w:left w:val="outset" w:sz="8" w:space="0" w:color="000000"/>
                    <w:bottom w:val="outset" w:sz="8" w:space="0" w:color="000000"/>
                    <w:right w:val="outset" w:sz="8" w:space="0" w:color="000000"/>
                  </w:tcBorders>
                  <w:vAlign w:val="center"/>
                </w:tcPr>
                <w:p w14:paraId="090332D8" w14:textId="77777777" w:rsidR="00894ECB" w:rsidRPr="00D927E4" w:rsidRDefault="00894ECB" w:rsidP="00894ECB">
                  <w:pPr>
                    <w:tabs>
                      <w:tab w:val="left" w:pos="342"/>
                    </w:tabs>
                    <w:spacing w:after="120"/>
                    <w:ind w:firstLine="340"/>
                    <w:jc w:val="both"/>
                    <w:rPr>
                      <w:rFonts w:eastAsia="Calibri"/>
                      <w:b/>
                      <w:sz w:val="22"/>
                      <w:szCs w:val="22"/>
                      <w:lang w:eastAsia="en-US"/>
                    </w:rPr>
                  </w:pPr>
                  <w:r w:rsidRPr="00D927E4">
                    <w:rPr>
                      <w:rFonts w:eastAsia="Calibri"/>
                      <w:b/>
                      <w:sz w:val="22"/>
                      <w:szCs w:val="22"/>
                      <w:lang w:eastAsia="en-US"/>
                    </w:rPr>
                    <w:t>від 50000001 грн до 100000000 грн</w:t>
                  </w:r>
                </w:p>
              </w:tc>
              <w:tc>
                <w:tcPr>
                  <w:tcW w:w="1134" w:type="dxa"/>
                  <w:tcBorders>
                    <w:top w:val="outset" w:sz="8" w:space="0" w:color="000000"/>
                    <w:left w:val="outset" w:sz="8" w:space="0" w:color="000000"/>
                    <w:bottom w:val="outset" w:sz="8" w:space="0" w:color="000000"/>
                    <w:right w:val="outset" w:sz="8" w:space="0" w:color="000000"/>
                  </w:tcBorders>
                  <w:vAlign w:val="center"/>
                </w:tcPr>
                <w:p w14:paraId="5AC23B7E" w14:textId="77777777" w:rsidR="00894ECB" w:rsidRPr="00D927E4" w:rsidRDefault="00894ECB" w:rsidP="00894ECB">
                  <w:pPr>
                    <w:tabs>
                      <w:tab w:val="left" w:pos="342"/>
                    </w:tabs>
                    <w:spacing w:after="120"/>
                    <w:ind w:firstLine="340"/>
                    <w:jc w:val="both"/>
                    <w:rPr>
                      <w:rFonts w:eastAsia="Calibri"/>
                      <w:b/>
                      <w:sz w:val="22"/>
                      <w:szCs w:val="22"/>
                      <w:lang w:eastAsia="en-US"/>
                    </w:rPr>
                  </w:pPr>
                  <w:r w:rsidRPr="00D927E4">
                    <w:rPr>
                      <w:rFonts w:eastAsia="Calibri"/>
                      <w:b/>
                      <w:sz w:val="22"/>
                      <w:szCs w:val="22"/>
                      <w:lang w:eastAsia="en-US"/>
                    </w:rPr>
                    <w:t>1.08</w:t>
                  </w:r>
                </w:p>
              </w:tc>
            </w:tr>
            <w:tr w:rsidR="00894ECB" w:rsidRPr="00D927E4" w14:paraId="5E80910D" w14:textId="77777777" w:rsidTr="003508AC">
              <w:trPr>
                <w:trHeight w:val="45"/>
                <w:tblCellSpacing w:w="0" w:type="auto"/>
              </w:trPr>
              <w:tc>
                <w:tcPr>
                  <w:tcW w:w="4195" w:type="dxa"/>
                  <w:tcBorders>
                    <w:top w:val="outset" w:sz="8" w:space="0" w:color="000000"/>
                    <w:left w:val="outset" w:sz="8" w:space="0" w:color="000000"/>
                    <w:bottom w:val="outset" w:sz="8" w:space="0" w:color="000000"/>
                    <w:right w:val="outset" w:sz="8" w:space="0" w:color="000000"/>
                  </w:tcBorders>
                  <w:vAlign w:val="center"/>
                </w:tcPr>
                <w:p w14:paraId="5C7ECC89" w14:textId="77777777" w:rsidR="00894ECB" w:rsidRPr="00D927E4" w:rsidRDefault="00894ECB" w:rsidP="00894ECB">
                  <w:pPr>
                    <w:tabs>
                      <w:tab w:val="left" w:pos="342"/>
                    </w:tabs>
                    <w:spacing w:after="120"/>
                    <w:ind w:firstLine="340"/>
                    <w:jc w:val="both"/>
                    <w:rPr>
                      <w:rFonts w:eastAsia="Calibri"/>
                      <w:b/>
                      <w:sz w:val="22"/>
                      <w:szCs w:val="22"/>
                      <w:lang w:eastAsia="en-US"/>
                    </w:rPr>
                  </w:pPr>
                  <w:r w:rsidRPr="00D927E4">
                    <w:rPr>
                      <w:rFonts w:eastAsia="Calibri"/>
                      <w:b/>
                      <w:sz w:val="22"/>
                      <w:szCs w:val="22"/>
                      <w:lang w:eastAsia="en-US"/>
                    </w:rPr>
                    <w:t>від 100000001 грн до 200000000 грн</w:t>
                  </w:r>
                </w:p>
              </w:tc>
              <w:tc>
                <w:tcPr>
                  <w:tcW w:w="1134" w:type="dxa"/>
                  <w:tcBorders>
                    <w:top w:val="outset" w:sz="8" w:space="0" w:color="000000"/>
                    <w:left w:val="outset" w:sz="8" w:space="0" w:color="000000"/>
                    <w:bottom w:val="outset" w:sz="8" w:space="0" w:color="000000"/>
                    <w:right w:val="outset" w:sz="8" w:space="0" w:color="000000"/>
                  </w:tcBorders>
                  <w:vAlign w:val="center"/>
                </w:tcPr>
                <w:p w14:paraId="0779961D" w14:textId="77777777" w:rsidR="00894ECB" w:rsidRPr="00D927E4" w:rsidRDefault="00894ECB" w:rsidP="00894ECB">
                  <w:pPr>
                    <w:tabs>
                      <w:tab w:val="left" w:pos="342"/>
                    </w:tabs>
                    <w:spacing w:after="120"/>
                    <w:ind w:firstLine="340"/>
                    <w:jc w:val="both"/>
                    <w:rPr>
                      <w:rFonts w:eastAsia="Calibri"/>
                      <w:b/>
                      <w:sz w:val="22"/>
                      <w:szCs w:val="22"/>
                      <w:lang w:eastAsia="en-US"/>
                    </w:rPr>
                  </w:pPr>
                  <w:r w:rsidRPr="00D927E4">
                    <w:rPr>
                      <w:rFonts w:eastAsia="Calibri"/>
                      <w:b/>
                      <w:sz w:val="22"/>
                      <w:szCs w:val="22"/>
                      <w:lang w:eastAsia="en-US"/>
                    </w:rPr>
                    <w:t>1.1</w:t>
                  </w:r>
                </w:p>
              </w:tc>
            </w:tr>
            <w:tr w:rsidR="00894ECB" w:rsidRPr="00D927E4" w14:paraId="3500B8B8" w14:textId="77777777" w:rsidTr="003508AC">
              <w:trPr>
                <w:trHeight w:val="45"/>
                <w:tblCellSpacing w:w="0" w:type="auto"/>
              </w:trPr>
              <w:tc>
                <w:tcPr>
                  <w:tcW w:w="4195" w:type="dxa"/>
                  <w:tcBorders>
                    <w:top w:val="outset" w:sz="8" w:space="0" w:color="000000"/>
                    <w:left w:val="outset" w:sz="8" w:space="0" w:color="000000"/>
                    <w:bottom w:val="outset" w:sz="8" w:space="0" w:color="000000"/>
                    <w:right w:val="outset" w:sz="8" w:space="0" w:color="000000"/>
                  </w:tcBorders>
                  <w:vAlign w:val="center"/>
                </w:tcPr>
                <w:p w14:paraId="05499A9C" w14:textId="77777777" w:rsidR="00894ECB" w:rsidRPr="00D927E4" w:rsidRDefault="00894ECB" w:rsidP="00894ECB">
                  <w:pPr>
                    <w:tabs>
                      <w:tab w:val="left" w:pos="342"/>
                    </w:tabs>
                    <w:spacing w:after="120"/>
                    <w:ind w:firstLine="340"/>
                    <w:jc w:val="both"/>
                    <w:rPr>
                      <w:rFonts w:eastAsia="Calibri"/>
                      <w:b/>
                      <w:sz w:val="22"/>
                      <w:szCs w:val="22"/>
                      <w:lang w:eastAsia="en-US"/>
                    </w:rPr>
                  </w:pPr>
                  <w:r w:rsidRPr="00D927E4">
                    <w:rPr>
                      <w:rFonts w:eastAsia="Calibri"/>
                      <w:b/>
                      <w:sz w:val="22"/>
                      <w:szCs w:val="22"/>
                      <w:lang w:eastAsia="en-US"/>
                    </w:rPr>
                    <w:t>від 200000001 грн до 400000000 грн</w:t>
                  </w:r>
                </w:p>
              </w:tc>
              <w:tc>
                <w:tcPr>
                  <w:tcW w:w="1134" w:type="dxa"/>
                  <w:tcBorders>
                    <w:top w:val="outset" w:sz="8" w:space="0" w:color="000000"/>
                    <w:left w:val="outset" w:sz="8" w:space="0" w:color="000000"/>
                    <w:bottom w:val="outset" w:sz="8" w:space="0" w:color="000000"/>
                    <w:right w:val="outset" w:sz="8" w:space="0" w:color="000000"/>
                  </w:tcBorders>
                  <w:vAlign w:val="center"/>
                </w:tcPr>
                <w:p w14:paraId="73BD01F3" w14:textId="77777777" w:rsidR="00894ECB" w:rsidRPr="00D927E4" w:rsidRDefault="00894ECB" w:rsidP="00894ECB">
                  <w:pPr>
                    <w:tabs>
                      <w:tab w:val="left" w:pos="342"/>
                    </w:tabs>
                    <w:spacing w:after="120"/>
                    <w:ind w:firstLine="340"/>
                    <w:jc w:val="both"/>
                    <w:rPr>
                      <w:rFonts w:eastAsia="Calibri"/>
                      <w:b/>
                      <w:sz w:val="22"/>
                      <w:szCs w:val="22"/>
                      <w:lang w:eastAsia="en-US"/>
                    </w:rPr>
                  </w:pPr>
                  <w:r w:rsidRPr="00D927E4">
                    <w:rPr>
                      <w:rFonts w:eastAsia="Calibri"/>
                      <w:b/>
                      <w:sz w:val="22"/>
                      <w:szCs w:val="22"/>
                      <w:lang w:eastAsia="en-US"/>
                    </w:rPr>
                    <w:t>1.15</w:t>
                  </w:r>
                </w:p>
              </w:tc>
            </w:tr>
            <w:tr w:rsidR="00894ECB" w:rsidRPr="00D927E4" w14:paraId="7C3D54FC" w14:textId="77777777" w:rsidTr="003508AC">
              <w:trPr>
                <w:trHeight w:val="45"/>
                <w:tblCellSpacing w:w="0" w:type="auto"/>
              </w:trPr>
              <w:tc>
                <w:tcPr>
                  <w:tcW w:w="4195" w:type="dxa"/>
                  <w:tcBorders>
                    <w:top w:val="outset" w:sz="8" w:space="0" w:color="000000"/>
                    <w:left w:val="outset" w:sz="8" w:space="0" w:color="000000"/>
                    <w:bottom w:val="outset" w:sz="8" w:space="0" w:color="000000"/>
                    <w:right w:val="outset" w:sz="8" w:space="0" w:color="000000"/>
                  </w:tcBorders>
                  <w:vAlign w:val="center"/>
                </w:tcPr>
                <w:p w14:paraId="77BB44FB" w14:textId="77777777" w:rsidR="00894ECB" w:rsidRPr="00D927E4" w:rsidRDefault="00894ECB" w:rsidP="00894ECB">
                  <w:pPr>
                    <w:tabs>
                      <w:tab w:val="left" w:pos="342"/>
                    </w:tabs>
                    <w:spacing w:after="120"/>
                    <w:ind w:firstLine="340"/>
                    <w:jc w:val="both"/>
                    <w:rPr>
                      <w:rFonts w:eastAsia="Calibri"/>
                      <w:b/>
                      <w:sz w:val="22"/>
                      <w:szCs w:val="22"/>
                      <w:lang w:eastAsia="en-US"/>
                    </w:rPr>
                  </w:pPr>
                  <w:r w:rsidRPr="00D927E4">
                    <w:rPr>
                      <w:rFonts w:eastAsia="Calibri"/>
                      <w:b/>
                      <w:sz w:val="22"/>
                      <w:szCs w:val="22"/>
                      <w:lang w:eastAsia="en-US"/>
                    </w:rPr>
                    <w:t>від 400000001 грн до 600000000 грн</w:t>
                  </w:r>
                </w:p>
              </w:tc>
              <w:tc>
                <w:tcPr>
                  <w:tcW w:w="1134" w:type="dxa"/>
                  <w:tcBorders>
                    <w:top w:val="outset" w:sz="8" w:space="0" w:color="000000"/>
                    <w:left w:val="outset" w:sz="8" w:space="0" w:color="000000"/>
                    <w:bottom w:val="outset" w:sz="8" w:space="0" w:color="000000"/>
                    <w:right w:val="outset" w:sz="8" w:space="0" w:color="000000"/>
                  </w:tcBorders>
                  <w:vAlign w:val="center"/>
                </w:tcPr>
                <w:p w14:paraId="66523EBA" w14:textId="77777777" w:rsidR="00894ECB" w:rsidRPr="00D927E4" w:rsidRDefault="00894ECB" w:rsidP="00894ECB">
                  <w:pPr>
                    <w:tabs>
                      <w:tab w:val="left" w:pos="342"/>
                    </w:tabs>
                    <w:spacing w:after="120"/>
                    <w:ind w:firstLine="340"/>
                    <w:jc w:val="both"/>
                    <w:rPr>
                      <w:rFonts w:eastAsia="Calibri"/>
                      <w:b/>
                      <w:sz w:val="22"/>
                      <w:szCs w:val="22"/>
                      <w:lang w:eastAsia="en-US"/>
                    </w:rPr>
                  </w:pPr>
                  <w:r w:rsidRPr="00D927E4">
                    <w:rPr>
                      <w:rFonts w:eastAsia="Calibri"/>
                      <w:b/>
                      <w:sz w:val="22"/>
                      <w:szCs w:val="22"/>
                      <w:lang w:eastAsia="en-US"/>
                    </w:rPr>
                    <w:t>1.20</w:t>
                  </w:r>
                </w:p>
              </w:tc>
            </w:tr>
            <w:tr w:rsidR="00894ECB" w:rsidRPr="00D927E4" w14:paraId="02547ACB" w14:textId="77777777" w:rsidTr="003508AC">
              <w:trPr>
                <w:trHeight w:val="45"/>
                <w:tblCellSpacing w:w="0" w:type="auto"/>
              </w:trPr>
              <w:tc>
                <w:tcPr>
                  <w:tcW w:w="4195" w:type="dxa"/>
                  <w:tcBorders>
                    <w:top w:val="outset" w:sz="8" w:space="0" w:color="000000"/>
                    <w:left w:val="outset" w:sz="8" w:space="0" w:color="000000"/>
                    <w:bottom w:val="outset" w:sz="8" w:space="0" w:color="000000"/>
                    <w:right w:val="outset" w:sz="8" w:space="0" w:color="000000"/>
                  </w:tcBorders>
                  <w:vAlign w:val="center"/>
                </w:tcPr>
                <w:p w14:paraId="57F24B92" w14:textId="77777777" w:rsidR="00894ECB" w:rsidRPr="00D927E4" w:rsidRDefault="00894ECB" w:rsidP="00894ECB">
                  <w:pPr>
                    <w:tabs>
                      <w:tab w:val="left" w:pos="342"/>
                    </w:tabs>
                    <w:spacing w:after="120"/>
                    <w:ind w:firstLine="340"/>
                    <w:jc w:val="both"/>
                    <w:rPr>
                      <w:rFonts w:eastAsia="Calibri"/>
                      <w:b/>
                      <w:sz w:val="22"/>
                      <w:szCs w:val="22"/>
                      <w:lang w:eastAsia="en-US"/>
                    </w:rPr>
                  </w:pPr>
                  <w:r w:rsidRPr="00D927E4">
                    <w:rPr>
                      <w:rFonts w:eastAsia="Calibri"/>
                      <w:b/>
                      <w:sz w:val="22"/>
                      <w:szCs w:val="22"/>
                      <w:lang w:eastAsia="en-US"/>
                    </w:rPr>
                    <w:t>від 600000001 грн до 1000000000 грн</w:t>
                  </w:r>
                </w:p>
              </w:tc>
              <w:tc>
                <w:tcPr>
                  <w:tcW w:w="1134" w:type="dxa"/>
                  <w:tcBorders>
                    <w:top w:val="outset" w:sz="8" w:space="0" w:color="000000"/>
                    <w:left w:val="outset" w:sz="8" w:space="0" w:color="000000"/>
                    <w:bottom w:val="outset" w:sz="8" w:space="0" w:color="000000"/>
                    <w:right w:val="outset" w:sz="8" w:space="0" w:color="000000"/>
                  </w:tcBorders>
                  <w:vAlign w:val="center"/>
                </w:tcPr>
                <w:p w14:paraId="0549FBFB" w14:textId="77777777" w:rsidR="00894ECB" w:rsidRPr="00D927E4" w:rsidRDefault="00894ECB" w:rsidP="00894ECB">
                  <w:pPr>
                    <w:tabs>
                      <w:tab w:val="left" w:pos="342"/>
                    </w:tabs>
                    <w:spacing w:after="120"/>
                    <w:ind w:firstLine="340"/>
                    <w:jc w:val="both"/>
                    <w:rPr>
                      <w:rFonts w:eastAsia="Calibri"/>
                      <w:b/>
                      <w:sz w:val="22"/>
                      <w:szCs w:val="22"/>
                      <w:lang w:eastAsia="en-US"/>
                    </w:rPr>
                  </w:pPr>
                  <w:r w:rsidRPr="00D927E4">
                    <w:rPr>
                      <w:rFonts w:eastAsia="Calibri"/>
                      <w:b/>
                      <w:sz w:val="22"/>
                      <w:szCs w:val="22"/>
                      <w:lang w:eastAsia="en-US"/>
                    </w:rPr>
                    <w:t>1.30</w:t>
                  </w:r>
                </w:p>
              </w:tc>
            </w:tr>
            <w:tr w:rsidR="00894ECB" w:rsidRPr="00D927E4" w14:paraId="337A7BCD" w14:textId="77777777" w:rsidTr="003508AC">
              <w:trPr>
                <w:trHeight w:val="45"/>
                <w:tblCellSpacing w:w="0" w:type="auto"/>
              </w:trPr>
              <w:tc>
                <w:tcPr>
                  <w:tcW w:w="4195" w:type="dxa"/>
                  <w:tcBorders>
                    <w:top w:val="outset" w:sz="8" w:space="0" w:color="000000"/>
                    <w:left w:val="outset" w:sz="8" w:space="0" w:color="000000"/>
                    <w:bottom w:val="outset" w:sz="8" w:space="0" w:color="000000"/>
                    <w:right w:val="outset" w:sz="8" w:space="0" w:color="000000"/>
                  </w:tcBorders>
                  <w:vAlign w:val="center"/>
                </w:tcPr>
                <w:p w14:paraId="7DF77078" w14:textId="77777777" w:rsidR="00894ECB" w:rsidRPr="00D927E4" w:rsidRDefault="00894ECB" w:rsidP="00894ECB">
                  <w:pPr>
                    <w:tabs>
                      <w:tab w:val="left" w:pos="342"/>
                    </w:tabs>
                    <w:spacing w:after="120"/>
                    <w:ind w:firstLine="340"/>
                    <w:jc w:val="both"/>
                    <w:rPr>
                      <w:rFonts w:eastAsia="Calibri"/>
                      <w:b/>
                      <w:sz w:val="22"/>
                      <w:szCs w:val="22"/>
                      <w:lang w:eastAsia="en-US"/>
                    </w:rPr>
                  </w:pPr>
                  <w:r w:rsidRPr="00D927E4">
                    <w:rPr>
                      <w:rFonts w:eastAsia="Calibri"/>
                      <w:b/>
                      <w:sz w:val="22"/>
                      <w:szCs w:val="22"/>
                      <w:lang w:eastAsia="en-US"/>
                    </w:rPr>
                    <w:t>від 1000000001 грн до 5000000000 грн</w:t>
                  </w:r>
                </w:p>
              </w:tc>
              <w:tc>
                <w:tcPr>
                  <w:tcW w:w="1134" w:type="dxa"/>
                  <w:tcBorders>
                    <w:top w:val="outset" w:sz="8" w:space="0" w:color="000000"/>
                    <w:left w:val="outset" w:sz="8" w:space="0" w:color="000000"/>
                    <w:bottom w:val="outset" w:sz="8" w:space="0" w:color="000000"/>
                    <w:right w:val="outset" w:sz="8" w:space="0" w:color="000000"/>
                  </w:tcBorders>
                  <w:vAlign w:val="center"/>
                </w:tcPr>
                <w:p w14:paraId="18A2AAAD" w14:textId="77777777" w:rsidR="00894ECB" w:rsidRPr="00D927E4" w:rsidRDefault="00894ECB" w:rsidP="00894ECB">
                  <w:pPr>
                    <w:tabs>
                      <w:tab w:val="left" w:pos="342"/>
                    </w:tabs>
                    <w:spacing w:after="120"/>
                    <w:ind w:firstLine="340"/>
                    <w:jc w:val="both"/>
                    <w:rPr>
                      <w:rFonts w:eastAsia="Calibri"/>
                      <w:b/>
                      <w:sz w:val="22"/>
                      <w:szCs w:val="22"/>
                      <w:lang w:eastAsia="en-US"/>
                    </w:rPr>
                  </w:pPr>
                  <w:r w:rsidRPr="00D927E4">
                    <w:rPr>
                      <w:rFonts w:eastAsia="Calibri"/>
                      <w:b/>
                      <w:sz w:val="22"/>
                      <w:szCs w:val="22"/>
                      <w:lang w:eastAsia="en-US"/>
                    </w:rPr>
                    <w:t>1.50</w:t>
                  </w:r>
                </w:p>
              </w:tc>
            </w:tr>
            <w:tr w:rsidR="00894ECB" w:rsidRPr="00D927E4" w14:paraId="4425843D" w14:textId="77777777" w:rsidTr="003508AC">
              <w:trPr>
                <w:trHeight w:val="45"/>
                <w:tblCellSpacing w:w="0" w:type="auto"/>
              </w:trPr>
              <w:tc>
                <w:tcPr>
                  <w:tcW w:w="4195" w:type="dxa"/>
                  <w:tcBorders>
                    <w:top w:val="outset" w:sz="8" w:space="0" w:color="000000"/>
                    <w:left w:val="outset" w:sz="8" w:space="0" w:color="000000"/>
                    <w:bottom w:val="outset" w:sz="8" w:space="0" w:color="000000"/>
                    <w:right w:val="outset" w:sz="8" w:space="0" w:color="000000"/>
                  </w:tcBorders>
                  <w:vAlign w:val="center"/>
                </w:tcPr>
                <w:p w14:paraId="7CEC2FDA" w14:textId="77777777" w:rsidR="00894ECB" w:rsidRPr="00D927E4" w:rsidRDefault="00894ECB" w:rsidP="00894ECB">
                  <w:pPr>
                    <w:tabs>
                      <w:tab w:val="left" w:pos="342"/>
                    </w:tabs>
                    <w:spacing w:after="120"/>
                    <w:ind w:firstLine="340"/>
                    <w:jc w:val="both"/>
                    <w:rPr>
                      <w:rFonts w:eastAsia="Calibri"/>
                      <w:b/>
                      <w:sz w:val="22"/>
                      <w:szCs w:val="22"/>
                      <w:lang w:eastAsia="en-US"/>
                    </w:rPr>
                  </w:pPr>
                  <w:r w:rsidRPr="00D927E4">
                    <w:rPr>
                      <w:rFonts w:eastAsia="Calibri"/>
                      <w:b/>
                      <w:sz w:val="22"/>
                      <w:szCs w:val="22"/>
                      <w:lang w:eastAsia="en-US"/>
                    </w:rPr>
                    <w:t>від 5000000001 грн до 9000000000 грн</w:t>
                  </w:r>
                </w:p>
              </w:tc>
              <w:tc>
                <w:tcPr>
                  <w:tcW w:w="1134" w:type="dxa"/>
                  <w:tcBorders>
                    <w:top w:val="outset" w:sz="8" w:space="0" w:color="000000"/>
                    <w:left w:val="outset" w:sz="8" w:space="0" w:color="000000"/>
                    <w:bottom w:val="outset" w:sz="8" w:space="0" w:color="000000"/>
                    <w:right w:val="outset" w:sz="8" w:space="0" w:color="000000"/>
                  </w:tcBorders>
                  <w:vAlign w:val="center"/>
                </w:tcPr>
                <w:p w14:paraId="0BF4A9DF" w14:textId="77777777" w:rsidR="00894ECB" w:rsidRPr="00D927E4" w:rsidRDefault="00894ECB" w:rsidP="00894ECB">
                  <w:pPr>
                    <w:tabs>
                      <w:tab w:val="left" w:pos="342"/>
                    </w:tabs>
                    <w:spacing w:after="120"/>
                    <w:ind w:firstLine="340"/>
                    <w:jc w:val="both"/>
                    <w:rPr>
                      <w:rFonts w:eastAsia="Calibri"/>
                      <w:b/>
                      <w:sz w:val="22"/>
                      <w:szCs w:val="22"/>
                      <w:lang w:eastAsia="en-US"/>
                    </w:rPr>
                  </w:pPr>
                  <w:r w:rsidRPr="00D927E4">
                    <w:rPr>
                      <w:rFonts w:eastAsia="Calibri"/>
                      <w:b/>
                      <w:sz w:val="22"/>
                      <w:szCs w:val="22"/>
                      <w:lang w:eastAsia="en-US"/>
                    </w:rPr>
                    <w:t>1.70</w:t>
                  </w:r>
                </w:p>
              </w:tc>
            </w:tr>
            <w:tr w:rsidR="00894ECB" w:rsidRPr="00D927E4" w14:paraId="56A49725" w14:textId="77777777" w:rsidTr="003508AC">
              <w:trPr>
                <w:trHeight w:val="45"/>
                <w:tblCellSpacing w:w="0" w:type="auto"/>
              </w:trPr>
              <w:tc>
                <w:tcPr>
                  <w:tcW w:w="4195" w:type="dxa"/>
                  <w:tcBorders>
                    <w:top w:val="outset" w:sz="8" w:space="0" w:color="000000"/>
                    <w:left w:val="outset" w:sz="8" w:space="0" w:color="000000"/>
                    <w:bottom w:val="outset" w:sz="8" w:space="0" w:color="000000"/>
                    <w:right w:val="outset" w:sz="8" w:space="0" w:color="000000"/>
                  </w:tcBorders>
                  <w:vAlign w:val="center"/>
                </w:tcPr>
                <w:p w14:paraId="6E4EE2C9" w14:textId="77777777" w:rsidR="00894ECB" w:rsidRPr="00D927E4" w:rsidRDefault="00894ECB" w:rsidP="00894ECB">
                  <w:pPr>
                    <w:tabs>
                      <w:tab w:val="left" w:pos="342"/>
                    </w:tabs>
                    <w:ind w:firstLine="340"/>
                    <w:jc w:val="both"/>
                    <w:rPr>
                      <w:rFonts w:eastAsia="Calibri"/>
                      <w:b/>
                      <w:sz w:val="22"/>
                      <w:szCs w:val="22"/>
                      <w:lang w:eastAsia="en-US"/>
                    </w:rPr>
                  </w:pPr>
                  <w:r w:rsidRPr="00D927E4">
                    <w:rPr>
                      <w:rFonts w:eastAsia="Calibri"/>
                      <w:b/>
                      <w:sz w:val="22"/>
                      <w:szCs w:val="22"/>
                      <w:lang w:eastAsia="en-US"/>
                    </w:rPr>
                    <w:t>понад 9000000000 грн</w:t>
                  </w:r>
                </w:p>
              </w:tc>
              <w:tc>
                <w:tcPr>
                  <w:tcW w:w="1134" w:type="dxa"/>
                  <w:tcBorders>
                    <w:top w:val="outset" w:sz="8" w:space="0" w:color="000000"/>
                    <w:left w:val="outset" w:sz="8" w:space="0" w:color="000000"/>
                    <w:bottom w:val="outset" w:sz="8" w:space="0" w:color="000000"/>
                    <w:right w:val="outset" w:sz="8" w:space="0" w:color="000000"/>
                  </w:tcBorders>
                  <w:vAlign w:val="center"/>
                </w:tcPr>
                <w:p w14:paraId="635F35EC" w14:textId="77777777" w:rsidR="00894ECB" w:rsidRPr="00D927E4" w:rsidRDefault="00894ECB" w:rsidP="00894ECB">
                  <w:pPr>
                    <w:tabs>
                      <w:tab w:val="left" w:pos="342"/>
                    </w:tabs>
                    <w:ind w:firstLine="340"/>
                    <w:jc w:val="both"/>
                    <w:rPr>
                      <w:rFonts w:eastAsia="Calibri"/>
                      <w:b/>
                      <w:sz w:val="22"/>
                      <w:szCs w:val="22"/>
                      <w:lang w:eastAsia="en-US"/>
                    </w:rPr>
                  </w:pPr>
                  <w:r w:rsidRPr="00D927E4">
                    <w:rPr>
                      <w:rFonts w:eastAsia="Calibri"/>
                      <w:b/>
                      <w:sz w:val="22"/>
                      <w:szCs w:val="22"/>
                      <w:lang w:eastAsia="en-US"/>
                    </w:rPr>
                    <w:t>2</w:t>
                  </w:r>
                </w:p>
              </w:tc>
            </w:tr>
          </w:tbl>
          <w:p w14:paraId="03473C50" w14:textId="77777777" w:rsidR="00894ECB" w:rsidRPr="00D927E4" w:rsidRDefault="00894ECB" w:rsidP="00894ECB">
            <w:pPr>
              <w:spacing w:after="120"/>
              <w:jc w:val="both"/>
              <w:rPr>
                <w:sz w:val="22"/>
                <w:szCs w:val="22"/>
              </w:rPr>
            </w:pPr>
          </w:p>
          <w:p w14:paraId="5EE182AE" w14:textId="77777777" w:rsidR="00894ECB" w:rsidRPr="00D927E4" w:rsidRDefault="00894ECB" w:rsidP="00894ECB">
            <w:pPr>
              <w:spacing w:after="120"/>
              <w:jc w:val="both"/>
              <w:rPr>
                <w:i/>
                <w:sz w:val="22"/>
                <w:szCs w:val="22"/>
              </w:rPr>
            </w:pPr>
            <w:r w:rsidRPr="00D927E4">
              <w:rPr>
                <w:i/>
                <w:sz w:val="22"/>
                <w:szCs w:val="22"/>
              </w:rPr>
              <w:t>ОБГРУНТУВАННЯ:</w:t>
            </w:r>
          </w:p>
          <w:p w14:paraId="0C5F4135" w14:textId="77777777" w:rsidR="00894ECB" w:rsidRPr="00D927E4" w:rsidRDefault="00894ECB" w:rsidP="00894ECB">
            <w:pPr>
              <w:ind w:firstLine="283"/>
              <w:jc w:val="both"/>
              <w:rPr>
                <w:sz w:val="22"/>
                <w:szCs w:val="22"/>
              </w:rPr>
            </w:pPr>
            <w:r w:rsidRPr="00D927E4">
              <w:rPr>
                <w:sz w:val="22"/>
                <w:szCs w:val="22"/>
              </w:rPr>
              <w:t xml:space="preserve">Пропонуємо залишити положення пунктів у діючі редакції. </w:t>
            </w:r>
          </w:p>
          <w:p w14:paraId="3D553943" w14:textId="77777777" w:rsidR="00894ECB" w:rsidRPr="00D927E4" w:rsidRDefault="00894ECB" w:rsidP="00894ECB">
            <w:pPr>
              <w:ind w:firstLine="283"/>
              <w:jc w:val="both"/>
              <w:rPr>
                <w:sz w:val="22"/>
                <w:szCs w:val="22"/>
              </w:rPr>
            </w:pPr>
            <w:r w:rsidRPr="00D927E4">
              <w:rPr>
                <w:sz w:val="22"/>
                <w:szCs w:val="22"/>
              </w:rPr>
              <w:t>ЗУ «ПРЕЕ» визначено, що рішення (заходи) суб’єктів владних повноважень, прийняті на виконання норм цього Закону, мають прийматися на підставі, у межах повноважень та у спосіб, що передбачено законодавством, відповідати меті, з якою повноваження надані, бути обґрунтованими, відповідати принципам неупередженості, добросовісності, розсудливості, пропорційності, прозорості, недискримінації та своєчасності.</w:t>
            </w:r>
          </w:p>
          <w:p w14:paraId="0982A339" w14:textId="77777777" w:rsidR="00894ECB" w:rsidRPr="00D927E4" w:rsidRDefault="00894ECB" w:rsidP="00894ECB">
            <w:pPr>
              <w:ind w:firstLine="283"/>
              <w:jc w:val="both"/>
              <w:rPr>
                <w:sz w:val="22"/>
                <w:szCs w:val="22"/>
              </w:rPr>
            </w:pPr>
            <w:r w:rsidRPr="00D927E4">
              <w:rPr>
                <w:bCs/>
                <w:sz w:val="22"/>
                <w:szCs w:val="22"/>
              </w:rPr>
              <w:t>Згідно із ЗУ «Про засади державної регуляторної політики у сфері господарської діяльності» забезпечення здійснення державної регуляторної політики включає, зокрема,  недопущення прийняття регуляторних актів, які є непослідовними. </w:t>
            </w:r>
          </w:p>
          <w:p w14:paraId="73BC7A0D" w14:textId="77777777" w:rsidR="00894ECB" w:rsidRPr="00D927E4" w:rsidRDefault="00894ECB" w:rsidP="00894ECB">
            <w:pPr>
              <w:ind w:firstLine="284"/>
              <w:jc w:val="both"/>
              <w:rPr>
                <w:sz w:val="22"/>
                <w:szCs w:val="22"/>
              </w:rPr>
            </w:pPr>
            <w:r w:rsidRPr="00D927E4">
              <w:rPr>
                <w:sz w:val="22"/>
                <w:szCs w:val="22"/>
              </w:rPr>
              <w:t xml:space="preserve">Постановою НКРЕКП від 20.02.2024  </w:t>
            </w:r>
            <w:r w:rsidRPr="00D927E4">
              <w:rPr>
                <w:sz w:val="22"/>
                <w:szCs w:val="22"/>
              </w:rPr>
              <w:br/>
              <w:t xml:space="preserve">№ 365 було </w:t>
            </w:r>
            <w:proofErr w:type="spellStart"/>
            <w:r w:rsidRPr="00D927E4">
              <w:rPr>
                <w:sz w:val="22"/>
                <w:szCs w:val="22"/>
              </w:rPr>
              <w:t>внесено</w:t>
            </w:r>
            <w:proofErr w:type="spellEnd"/>
            <w:r w:rsidRPr="00D927E4">
              <w:rPr>
                <w:sz w:val="22"/>
                <w:szCs w:val="22"/>
              </w:rPr>
              <w:t xml:space="preserve"> зміни до Порядку в частині зменшення: суми оцінки серйозності та характеру; відсотку серйозності </w:t>
            </w:r>
            <w:r w:rsidRPr="00D927E4">
              <w:rPr>
                <w:sz w:val="22"/>
                <w:szCs w:val="22"/>
              </w:rPr>
              <w:lastRenderedPageBreak/>
              <w:t>та характеру порушення; коефіцієнту відповідно до розміру завданої шкоди/отриманої додаткової вигоди.</w:t>
            </w:r>
          </w:p>
          <w:p w14:paraId="20A33558" w14:textId="77777777" w:rsidR="00894ECB" w:rsidRPr="00D927E4" w:rsidRDefault="00894ECB" w:rsidP="00894ECB">
            <w:pPr>
              <w:ind w:firstLine="283"/>
              <w:jc w:val="both"/>
              <w:rPr>
                <w:sz w:val="22"/>
                <w:szCs w:val="22"/>
              </w:rPr>
            </w:pPr>
            <w:r w:rsidRPr="00D927E4">
              <w:rPr>
                <w:sz w:val="22"/>
                <w:szCs w:val="22"/>
              </w:rPr>
              <w:t xml:space="preserve">Відповідним </w:t>
            </w:r>
            <w:proofErr w:type="spellStart"/>
            <w:r w:rsidRPr="00D927E4">
              <w:rPr>
                <w:sz w:val="22"/>
                <w:szCs w:val="22"/>
              </w:rPr>
              <w:t>проєктом</w:t>
            </w:r>
            <w:proofErr w:type="spellEnd"/>
            <w:r w:rsidRPr="00D927E4">
              <w:rPr>
                <w:sz w:val="22"/>
                <w:szCs w:val="22"/>
              </w:rPr>
              <w:t xml:space="preserve"> змін пропонується збільшити вищевказані показники.</w:t>
            </w:r>
          </w:p>
          <w:p w14:paraId="304224BF" w14:textId="77777777" w:rsidR="00894ECB" w:rsidRPr="00D927E4" w:rsidRDefault="00894ECB" w:rsidP="00894ECB">
            <w:pPr>
              <w:ind w:firstLine="283"/>
              <w:jc w:val="both"/>
              <w:rPr>
                <w:sz w:val="22"/>
                <w:szCs w:val="22"/>
              </w:rPr>
            </w:pPr>
            <w:r w:rsidRPr="00D927E4">
              <w:rPr>
                <w:sz w:val="22"/>
                <w:szCs w:val="22"/>
              </w:rPr>
              <w:t>Таким чином, зміни запропоновані без достатнього обґрунтування та спрямовані на значне погіршення для ліцензіата умов розрахунку розміру штрафу, що в свою чергу фактично суперечать попередньо прийнятому Регулятором рішенню та свідчить про непослідовність у прийнятті рішень, а також порушення принципів енергетичного законодавства.</w:t>
            </w:r>
          </w:p>
          <w:p w14:paraId="74887A91" w14:textId="77777777" w:rsidR="00894ECB" w:rsidRPr="00D927E4" w:rsidRDefault="00894ECB" w:rsidP="00894ECB">
            <w:pPr>
              <w:ind w:firstLine="283"/>
              <w:jc w:val="both"/>
              <w:rPr>
                <w:sz w:val="22"/>
                <w:szCs w:val="22"/>
              </w:rPr>
            </w:pPr>
          </w:p>
          <w:p w14:paraId="32D2FBF2" w14:textId="77777777" w:rsidR="00894ECB" w:rsidRPr="00D927E4" w:rsidRDefault="00894ECB" w:rsidP="00894ECB">
            <w:pPr>
              <w:spacing w:after="120"/>
              <w:jc w:val="both"/>
              <w:rPr>
                <w:sz w:val="22"/>
                <w:szCs w:val="22"/>
              </w:rPr>
            </w:pPr>
          </w:p>
        </w:tc>
        <w:tc>
          <w:tcPr>
            <w:tcW w:w="3549" w:type="dxa"/>
          </w:tcPr>
          <w:p w14:paraId="631842B6" w14:textId="77777777" w:rsidR="00894ECB" w:rsidRDefault="00894ECB" w:rsidP="00894ECB">
            <w:pPr>
              <w:rPr>
                <w:b/>
                <w:sz w:val="22"/>
                <w:szCs w:val="22"/>
                <w:shd w:val="clear" w:color="auto" w:fill="FFFFFF"/>
              </w:rPr>
            </w:pPr>
          </w:p>
          <w:p w14:paraId="34C42B1E" w14:textId="77777777" w:rsidR="00757B8B" w:rsidRDefault="00757B8B" w:rsidP="00894ECB">
            <w:pPr>
              <w:rPr>
                <w:b/>
                <w:sz w:val="22"/>
                <w:szCs w:val="22"/>
                <w:shd w:val="clear" w:color="auto" w:fill="FFFFFF"/>
              </w:rPr>
            </w:pPr>
            <w:r>
              <w:rPr>
                <w:b/>
                <w:sz w:val="22"/>
                <w:szCs w:val="22"/>
                <w:shd w:val="clear" w:color="auto" w:fill="FFFFFF"/>
              </w:rPr>
              <w:t>Не враховано</w:t>
            </w:r>
            <w:r w:rsidR="004D5708">
              <w:rPr>
                <w:b/>
                <w:sz w:val="22"/>
                <w:szCs w:val="22"/>
                <w:shd w:val="clear" w:color="auto" w:fill="FFFFFF"/>
              </w:rPr>
              <w:t xml:space="preserve"> (загальна позиція щодо усіх зауважень до цього пункту)</w:t>
            </w:r>
          </w:p>
          <w:p w14:paraId="64B6E00F" w14:textId="77777777" w:rsidR="00757B8B" w:rsidRDefault="00757B8B" w:rsidP="00894ECB">
            <w:pPr>
              <w:rPr>
                <w:b/>
                <w:sz w:val="22"/>
                <w:szCs w:val="22"/>
                <w:shd w:val="clear" w:color="auto" w:fill="FFFFFF"/>
              </w:rPr>
            </w:pPr>
          </w:p>
          <w:p w14:paraId="56BE8833" w14:textId="77777777" w:rsidR="00757B8B" w:rsidRPr="00757B8B" w:rsidRDefault="00757B8B" w:rsidP="00894ECB">
            <w:pPr>
              <w:rPr>
                <w:sz w:val="22"/>
                <w:szCs w:val="22"/>
                <w:shd w:val="clear" w:color="auto" w:fill="FFFFFF"/>
              </w:rPr>
            </w:pPr>
            <w:r>
              <w:rPr>
                <w:sz w:val="22"/>
                <w:szCs w:val="22"/>
                <w:shd w:val="clear" w:color="auto" w:fill="FFFFFF"/>
              </w:rPr>
              <w:t>Оскільки</w:t>
            </w:r>
            <w:r w:rsidR="004D5708">
              <w:rPr>
                <w:sz w:val="22"/>
                <w:szCs w:val="22"/>
                <w:shd w:val="clear" w:color="auto" w:fill="FFFFFF"/>
              </w:rPr>
              <w:t>, на практиці,</w:t>
            </w:r>
            <w:r>
              <w:rPr>
                <w:sz w:val="22"/>
                <w:szCs w:val="22"/>
                <w:shd w:val="clear" w:color="auto" w:fill="FFFFFF"/>
              </w:rPr>
              <w:t xml:space="preserve"> чинні коефіцієнти </w:t>
            </w:r>
            <w:r w:rsidR="004D5708">
              <w:rPr>
                <w:sz w:val="22"/>
                <w:szCs w:val="22"/>
                <w:shd w:val="clear" w:color="auto" w:fill="FFFFFF"/>
              </w:rPr>
              <w:t>недостатньо суттєво впливали на кінцевий розмір штрафу</w:t>
            </w:r>
          </w:p>
        </w:tc>
      </w:tr>
      <w:tr w:rsidR="00894ECB" w:rsidRPr="00D927E4" w14:paraId="6630D7A5" w14:textId="77777777" w:rsidTr="00894ECB">
        <w:trPr>
          <w:trHeight w:val="595"/>
        </w:trPr>
        <w:tc>
          <w:tcPr>
            <w:tcW w:w="5839" w:type="dxa"/>
          </w:tcPr>
          <w:p w14:paraId="39DFBA38" w14:textId="77777777" w:rsidR="00894ECB" w:rsidRPr="00D927E4" w:rsidRDefault="00894ECB" w:rsidP="00894ECB">
            <w:pPr>
              <w:spacing w:after="160" w:line="259" w:lineRule="auto"/>
              <w:ind w:firstLine="240"/>
              <w:rPr>
                <w:rFonts w:eastAsia="Calibri"/>
                <w:color w:val="000000"/>
                <w:sz w:val="22"/>
                <w:szCs w:val="22"/>
                <w:lang w:eastAsia="en-US"/>
              </w:rPr>
            </w:pPr>
          </w:p>
          <w:p w14:paraId="56F7C265" w14:textId="77777777" w:rsidR="00894ECB" w:rsidRPr="00D927E4" w:rsidRDefault="00894ECB" w:rsidP="00894ECB">
            <w:pPr>
              <w:spacing w:after="160" w:line="259" w:lineRule="auto"/>
              <w:ind w:firstLine="240"/>
              <w:rPr>
                <w:rFonts w:eastAsia="Calibri"/>
                <w:sz w:val="22"/>
                <w:szCs w:val="22"/>
                <w:lang w:eastAsia="en-US"/>
              </w:rPr>
            </w:pPr>
            <w:r w:rsidRPr="00D927E4">
              <w:rPr>
                <w:rFonts w:eastAsia="Calibri"/>
                <w:color w:val="000000"/>
                <w:sz w:val="22"/>
                <w:szCs w:val="22"/>
                <w:lang w:eastAsia="en-US"/>
              </w:rPr>
              <w:t>2.3.1. У разі якщо під час здійснення заходів державного контролю за дотриманням ліцензіатами законодавства та/або ліцензійних умов НКРЕКП виявить порушення, що тривало/триває протягом певного періоду (строку), НКРЕКП застосовує коригування початкового розміру штрафу, розрахованого відповідно до пункту 2.2.4 глави 2.2 цього розділу, з урахуванням тривалості порушення. Коригування здійснюється за формулою</w:t>
            </w:r>
          </w:p>
          <w:tbl>
            <w:tblPr>
              <w:tblW w:w="5612" w:type="dxa"/>
              <w:tblCellSpacing w:w="0" w:type="auto"/>
              <w:tblLayout w:type="fixed"/>
              <w:tblLook w:val="04A0" w:firstRow="1" w:lastRow="0" w:firstColumn="1" w:lastColumn="0" w:noHBand="0" w:noVBand="1"/>
            </w:tblPr>
            <w:tblGrid>
              <w:gridCol w:w="5102"/>
              <w:gridCol w:w="510"/>
            </w:tblGrid>
            <w:tr w:rsidR="00894ECB" w:rsidRPr="00D927E4" w14:paraId="0F8C5F4A" w14:textId="77777777" w:rsidTr="00E97870">
              <w:trPr>
                <w:trHeight w:val="30"/>
                <w:tblCellSpacing w:w="0" w:type="auto"/>
              </w:trPr>
              <w:tc>
                <w:tcPr>
                  <w:tcW w:w="5102" w:type="dxa"/>
                  <w:vAlign w:val="center"/>
                </w:tcPr>
                <w:p w14:paraId="79E9848A" w14:textId="77777777" w:rsidR="00894ECB" w:rsidRPr="00D927E4" w:rsidRDefault="00894ECB" w:rsidP="00894ECB">
                  <w:pPr>
                    <w:spacing w:line="259" w:lineRule="auto"/>
                    <w:rPr>
                      <w:rFonts w:eastAsia="Calibri"/>
                      <w:sz w:val="22"/>
                      <w:szCs w:val="22"/>
                      <w:lang w:eastAsia="en-US"/>
                    </w:rPr>
                  </w:pPr>
                  <w:r w:rsidRPr="00D927E4">
                    <w:rPr>
                      <w:rFonts w:eastAsia="Calibri"/>
                      <w:color w:val="000000"/>
                      <w:sz w:val="22"/>
                      <w:szCs w:val="22"/>
                      <w:lang w:eastAsia="en-US"/>
                    </w:rPr>
                    <w:t xml:space="preserve"> </w:t>
                  </w:r>
                  <w:r w:rsidRPr="00D927E4">
                    <w:rPr>
                      <w:rFonts w:eastAsia="Calibri"/>
                      <w:noProof/>
                      <w:sz w:val="22"/>
                      <w:szCs w:val="22"/>
                      <w:lang w:eastAsia="en-US"/>
                    </w:rPr>
                    <w:drawing>
                      <wp:inline distT="0" distB="0" distL="0" distR="0" wp14:anchorId="63A8057F" wp14:editId="3FE7CE8D">
                        <wp:extent cx="3067050" cy="21907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167641" cy="226260"/>
                                </a:xfrm>
                                <a:prstGeom prst="rect">
                                  <a:avLst/>
                                </a:prstGeom>
                              </pic:spPr>
                            </pic:pic>
                          </a:graphicData>
                        </a:graphic>
                      </wp:inline>
                    </w:drawing>
                  </w:r>
                  <w:r w:rsidRPr="00D927E4">
                    <w:rPr>
                      <w:rFonts w:eastAsia="Calibri"/>
                      <w:color w:val="000000"/>
                      <w:sz w:val="22"/>
                      <w:szCs w:val="22"/>
                      <w:lang w:eastAsia="en-US"/>
                    </w:rPr>
                    <w:t xml:space="preserve"> </w:t>
                  </w:r>
                </w:p>
              </w:tc>
              <w:tc>
                <w:tcPr>
                  <w:tcW w:w="510" w:type="dxa"/>
                  <w:vAlign w:val="center"/>
                </w:tcPr>
                <w:p w14:paraId="0E8E98E6" w14:textId="77777777" w:rsidR="00894ECB" w:rsidRPr="00D927E4" w:rsidRDefault="00894ECB" w:rsidP="00894ECB">
                  <w:pPr>
                    <w:spacing w:line="259" w:lineRule="auto"/>
                    <w:rPr>
                      <w:rFonts w:eastAsia="Calibri"/>
                      <w:sz w:val="22"/>
                      <w:szCs w:val="22"/>
                      <w:lang w:eastAsia="en-US"/>
                    </w:rPr>
                  </w:pPr>
                  <w:r w:rsidRPr="00D927E4">
                    <w:rPr>
                      <w:rFonts w:eastAsia="Calibri"/>
                      <w:color w:val="000000"/>
                      <w:sz w:val="22"/>
                      <w:szCs w:val="22"/>
                      <w:lang w:eastAsia="en-US"/>
                    </w:rPr>
                    <w:t>(2)</w:t>
                  </w:r>
                </w:p>
              </w:tc>
            </w:tr>
          </w:tbl>
          <w:p w14:paraId="1730420C" w14:textId="77777777" w:rsidR="00894ECB" w:rsidRPr="00D927E4" w:rsidRDefault="00894ECB" w:rsidP="00894ECB">
            <w:pPr>
              <w:spacing w:after="160" w:line="259" w:lineRule="auto"/>
              <w:rPr>
                <w:rFonts w:eastAsia="Calibri"/>
                <w:sz w:val="22"/>
                <w:szCs w:val="22"/>
                <w:lang w:eastAsia="en-US"/>
              </w:rPr>
            </w:pPr>
          </w:p>
          <w:tbl>
            <w:tblPr>
              <w:tblW w:w="5565" w:type="dxa"/>
              <w:tblCellSpacing w:w="0" w:type="auto"/>
              <w:tblLayout w:type="fixed"/>
              <w:tblLook w:val="04A0" w:firstRow="1" w:lastRow="0" w:firstColumn="1" w:lastColumn="0" w:noHBand="0" w:noVBand="1"/>
            </w:tblPr>
            <w:tblGrid>
              <w:gridCol w:w="516"/>
              <w:gridCol w:w="967"/>
              <w:gridCol w:w="4082"/>
            </w:tblGrid>
            <w:tr w:rsidR="00894ECB" w:rsidRPr="00D927E4" w14:paraId="0E847218" w14:textId="77777777" w:rsidTr="00065995">
              <w:trPr>
                <w:trHeight w:val="120"/>
                <w:tblCellSpacing w:w="0" w:type="auto"/>
              </w:trPr>
              <w:tc>
                <w:tcPr>
                  <w:tcW w:w="516" w:type="dxa"/>
                  <w:vAlign w:val="center"/>
                </w:tcPr>
                <w:p w14:paraId="316287A0" w14:textId="77777777" w:rsidR="00894ECB" w:rsidRPr="00D927E4" w:rsidRDefault="00894ECB" w:rsidP="00894ECB">
                  <w:pPr>
                    <w:spacing w:line="259" w:lineRule="auto"/>
                    <w:rPr>
                      <w:rFonts w:eastAsia="Calibri"/>
                      <w:sz w:val="22"/>
                      <w:szCs w:val="22"/>
                      <w:lang w:eastAsia="en-US"/>
                    </w:rPr>
                  </w:pPr>
                  <w:r w:rsidRPr="00D927E4">
                    <w:rPr>
                      <w:rFonts w:eastAsia="Calibri"/>
                      <w:color w:val="000000"/>
                      <w:sz w:val="22"/>
                      <w:szCs w:val="22"/>
                      <w:lang w:eastAsia="en-US"/>
                    </w:rPr>
                    <w:t>де:</w:t>
                  </w:r>
                </w:p>
              </w:tc>
              <w:tc>
                <w:tcPr>
                  <w:tcW w:w="967" w:type="dxa"/>
                  <w:vAlign w:val="center"/>
                </w:tcPr>
                <w:p w14:paraId="2BF9C09F" w14:textId="77777777" w:rsidR="00894ECB" w:rsidRPr="00D927E4" w:rsidRDefault="00894ECB" w:rsidP="00894ECB">
                  <w:pPr>
                    <w:spacing w:line="259" w:lineRule="auto"/>
                    <w:rPr>
                      <w:rFonts w:eastAsia="Calibri"/>
                      <w:sz w:val="22"/>
                      <w:szCs w:val="22"/>
                      <w:lang w:eastAsia="en-US"/>
                    </w:rPr>
                  </w:pPr>
                  <w:proofErr w:type="spellStart"/>
                  <w:r w:rsidRPr="00D927E4">
                    <w:rPr>
                      <w:rFonts w:eastAsia="Calibri"/>
                      <w:i/>
                      <w:color w:val="000000"/>
                      <w:sz w:val="22"/>
                      <w:szCs w:val="22"/>
                      <w:lang w:eastAsia="en-US"/>
                    </w:rPr>
                    <w:t>P</w:t>
                  </w:r>
                  <w:r w:rsidRPr="00D927E4">
                    <w:rPr>
                      <w:rFonts w:eastAsia="Calibri"/>
                      <w:color w:val="000000"/>
                      <w:sz w:val="22"/>
                      <w:szCs w:val="22"/>
                      <w:vertAlign w:val="subscript"/>
                      <w:lang w:eastAsia="en-US"/>
                    </w:rPr>
                    <w:t>time</w:t>
                  </w:r>
                  <w:proofErr w:type="spellEnd"/>
                  <w:r w:rsidRPr="00D927E4">
                    <w:rPr>
                      <w:rFonts w:eastAsia="Calibri"/>
                      <w:color w:val="000000"/>
                      <w:sz w:val="22"/>
                      <w:szCs w:val="22"/>
                      <w:vertAlign w:val="subscript"/>
                      <w:lang w:eastAsia="en-US"/>
                    </w:rPr>
                    <w:t xml:space="preserve"> </w:t>
                  </w:r>
                  <w:proofErr w:type="spellStart"/>
                  <w:r w:rsidRPr="00D927E4">
                    <w:rPr>
                      <w:rFonts w:eastAsia="Calibri"/>
                      <w:color w:val="000000"/>
                      <w:sz w:val="22"/>
                      <w:szCs w:val="22"/>
                      <w:vertAlign w:val="subscript"/>
                      <w:lang w:eastAsia="en-US"/>
                    </w:rPr>
                    <w:t>adj</w:t>
                  </w:r>
                  <w:proofErr w:type="spellEnd"/>
                </w:p>
              </w:tc>
              <w:tc>
                <w:tcPr>
                  <w:tcW w:w="4082" w:type="dxa"/>
                  <w:vAlign w:val="center"/>
                </w:tcPr>
                <w:p w14:paraId="275F4FC8" w14:textId="77777777" w:rsidR="00894ECB" w:rsidRPr="00D927E4" w:rsidRDefault="00894ECB" w:rsidP="00894ECB">
                  <w:pPr>
                    <w:spacing w:line="259" w:lineRule="auto"/>
                    <w:rPr>
                      <w:rFonts w:eastAsia="Calibri"/>
                      <w:sz w:val="22"/>
                      <w:szCs w:val="22"/>
                      <w:lang w:eastAsia="en-US"/>
                    </w:rPr>
                  </w:pPr>
                  <w:r w:rsidRPr="00D927E4">
                    <w:rPr>
                      <w:rFonts w:eastAsia="Calibri"/>
                      <w:color w:val="000000"/>
                      <w:sz w:val="22"/>
                      <w:szCs w:val="22"/>
                      <w:lang w:eastAsia="en-US"/>
                    </w:rPr>
                    <w:t>- розмір штрафу, скоригований з урахуванням тривалості порушення;</w:t>
                  </w:r>
                </w:p>
              </w:tc>
            </w:tr>
            <w:tr w:rsidR="00894ECB" w:rsidRPr="00D927E4" w14:paraId="6EE17FCF" w14:textId="77777777" w:rsidTr="00065995">
              <w:trPr>
                <w:trHeight w:val="120"/>
                <w:tblCellSpacing w:w="0" w:type="auto"/>
              </w:trPr>
              <w:tc>
                <w:tcPr>
                  <w:tcW w:w="516" w:type="dxa"/>
                  <w:vAlign w:val="center"/>
                </w:tcPr>
                <w:p w14:paraId="0A19AC4F" w14:textId="77777777" w:rsidR="00894ECB" w:rsidRPr="00D927E4" w:rsidRDefault="00894ECB" w:rsidP="00894ECB">
                  <w:pPr>
                    <w:spacing w:line="259" w:lineRule="auto"/>
                    <w:rPr>
                      <w:rFonts w:eastAsia="Calibri"/>
                      <w:sz w:val="22"/>
                      <w:szCs w:val="22"/>
                      <w:lang w:eastAsia="en-US"/>
                    </w:rPr>
                  </w:pPr>
                  <w:r w:rsidRPr="00D927E4">
                    <w:rPr>
                      <w:rFonts w:eastAsia="Calibri"/>
                      <w:color w:val="000000"/>
                      <w:sz w:val="22"/>
                      <w:szCs w:val="22"/>
                      <w:lang w:eastAsia="en-US"/>
                    </w:rPr>
                    <w:t xml:space="preserve"> </w:t>
                  </w:r>
                </w:p>
              </w:tc>
              <w:tc>
                <w:tcPr>
                  <w:tcW w:w="967" w:type="dxa"/>
                  <w:vAlign w:val="center"/>
                </w:tcPr>
                <w:p w14:paraId="15F3FEE9" w14:textId="77777777" w:rsidR="00894ECB" w:rsidRPr="00D927E4" w:rsidRDefault="00894ECB" w:rsidP="00894ECB">
                  <w:pPr>
                    <w:spacing w:line="259" w:lineRule="auto"/>
                    <w:rPr>
                      <w:rFonts w:eastAsia="Calibri"/>
                      <w:sz w:val="22"/>
                      <w:szCs w:val="22"/>
                      <w:lang w:eastAsia="en-US"/>
                    </w:rPr>
                  </w:pPr>
                  <w:proofErr w:type="spellStart"/>
                  <w:r w:rsidRPr="00D927E4">
                    <w:rPr>
                      <w:rFonts w:eastAsia="Calibri"/>
                      <w:i/>
                      <w:color w:val="000000"/>
                      <w:sz w:val="22"/>
                      <w:szCs w:val="22"/>
                      <w:lang w:eastAsia="en-US"/>
                    </w:rPr>
                    <w:t>P</w:t>
                  </w:r>
                  <w:r w:rsidRPr="00D927E4">
                    <w:rPr>
                      <w:rFonts w:eastAsia="Calibri"/>
                      <w:color w:val="000000"/>
                      <w:sz w:val="22"/>
                      <w:szCs w:val="22"/>
                      <w:vertAlign w:val="subscript"/>
                      <w:lang w:eastAsia="en-US"/>
                    </w:rPr>
                    <w:t>basic</w:t>
                  </w:r>
                  <w:proofErr w:type="spellEnd"/>
                </w:p>
              </w:tc>
              <w:tc>
                <w:tcPr>
                  <w:tcW w:w="4082" w:type="dxa"/>
                  <w:vAlign w:val="center"/>
                </w:tcPr>
                <w:p w14:paraId="4C86EA90" w14:textId="77777777" w:rsidR="00894ECB" w:rsidRPr="00D927E4" w:rsidRDefault="00894ECB" w:rsidP="00894ECB">
                  <w:pPr>
                    <w:spacing w:line="259" w:lineRule="auto"/>
                    <w:rPr>
                      <w:rFonts w:eastAsia="Calibri"/>
                      <w:sz w:val="22"/>
                      <w:szCs w:val="22"/>
                      <w:lang w:eastAsia="en-US"/>
                    </w:rPr>
                  </w:pPr>
                  <w:r w:rsidRPr="00D927E4">
                    <w:rPr>
                      <w:rFonts w:eastAsia="Calibri"/>
                      <w:color w:val="000000"/>
                      <w:sz w:val="22"/>
                      <w:szCs w:val="22"/>
                      <w:lang w:eastAsia="en-US"/>
                    </w:rPr>
                    <w:t>- початковий розмір штрафу, розрахований відповідно до пункту 2.2.4 глави 2.2 цього розділу;</w:t>
                  </w:r>
                </w:p>
              </w:tc>
            </w:tr>
            <w:tr w:rsidR="00894ECB" w:rsidRPr="00D927E4" w14:paraId="7276CD8C" w14:textId="77777777" w:rsidTr="00065995">
              <w:trPr>
                <w:trHeight w:val="120"/>
                <w:tblCellSpacing w:w="0" w:type="auto"/>
              </w:trPr>
              <w:tc>
                <w:tcPr>
                  <w:tcW w:w="516" w:type="dxa"/>
                  <w:vAlign w:val="center"/>
                </w:tcPr>
                <w:p w14:paraId="5BF11ECF" w14:textId="77777777" w:rsidR="00894ECB" w:rsidRPr="00D927E4" w:rsidRDefault="00894ECB" w:rsidP="00894ECB">
                  <w:pPr>
                    <w:spacing w:line="259" w:lineRule="auto"/>
                    <w:rPr>
                      <w:rFonts w:eastAsia="Calibri"/>
                      <w:sz w:val="22"/>
                      <w:szCs w:val="22"/>
                      <w:lang w:eastAsia="en-US"/>
                    </w:rPr>
                  </w:pPr>
                  <w:r w:rsidRPr="00D927E4">
                    <w:rPr>
                      <w:rFonts w:eastAsia="Calibri"/>
                      <w:color w:val="000000"/>
                      <w:sz w:val="22"/>
                      <w:szCs w:val="22"/>
                      <w:lang w:eastAsia="en-US"/>
                    </w:rPr>
                    <w:t xml:space="preserve"> </w:t>
                  </w:r>
                </w:p>
              </w:tc>
              <w:tc>
                <w:tcPr>
                  <w:tcW w:w="967" w:type="dxa"/>
                  <w:vAlign w:val="center"/>
                </w:tcPr>
                <w:p w14:paraId="4C37D9B8" w14:textId="77777777" w:rsidR="00894ECB" w:rsidRPr="00D927E4" w:rsidRDefault="00894ECB" w:rsidP="00894ECB">
                  <w:pPr>
                    <w:spacing w:line="259" w:lineRule="auto"/>
                    <w:rPr>
                      <w:rFonts w:eastAsia="Calibri"/>
                      <w:sz w:val="22"/>
                      <w:szCs w:val="22"/>
                      <w:lang w:eastAsia="en-US"/>
                    </w:rPr>
                  </w:pPr>
                  <w:proofErr w:type="spellStart"/>
                  <w:r w:rsidRPr="00D927E4">
                    <w:rPr>
                      <w:rFonts w:eastAsia="Calibri"/>
                      <w:i/>
                      <w:color w:val="000000"/>
                      <w:sz w:val="22"/>
                      <w:szCs w:val="22"/>
                      <w:lang w:eastAsia="en-US"/>
                    </w:rPr>
                    <w:t>t</w:t>
                  </w:r>
                  <w:r w:rsidRPr="00D927E4">
                    <w:rPr>
                      <w:rFonts w:eastAsia="Calibri"/>
                      <w:i/>
                      <w:color w:val="000000"/>
                      <w:sz w:val="22"/>
                      <w:szCs w:val="22"/>
                      <w:vertAlign w:val="subscript"/>
                      <w:lang w:eastAsia="en-US"/>
                    </w:rPr>
                    <w:t>c</w:t>
                  </w:r>
                  <w:proofErr w:type="spellEnd"/>
                </w:p>
              </w:tc>
              <w:tc>
                <w:tcPr>
                  <w:tcW w:w="4082" w:type="dxa"/>
                  <w:vAlign w:val="center"/>
                </w:tcPr>
                <w:p w14:paraId="15A83E9D" w14:textId="77777777" w:rsidR="00894ECB" w:rsidRPr="00D927E4" w:rsidRDefault="00894ECB" w:rsidP="00894ECB">
                  <w:pPr>
                    <w:spacing w:line="259" w:lineRule="auto"/>
                    <w:rPr>
                      <w:rFonts w:eastAsia="Calibri"/>
                      <w:sz w:val="22"/>
                      <w:szCs w:val="22"/>
                      <w:lang w:eastAsia="en-US"/>
                    </w:rPr>
                  </w:pPr>
                  <w:r w:rsidRPr="00D927E4">
                    <w:rPr>
                      <w:rFonts w:eastAsia="Calibri"/>
                      <w:color w:val="000000"/>
                      <w:sz w:val="22"/>
                      <w:szCs w:val="22"/>
                      <w:lang w:eastAsia="en-US"/>
                    </w:rPr>
                    <w:t xml:space="preserve">- коефіцієнт у розмірі </w:t>
                  </w:r>
                  <w:r w:rsidRPr="00D927E4">
                    <w:rPr>
                      <w:rFonts w:eastAsia="Calibri"/>
                      <w:b/>
                      <w:color w:val="000000"/>
                      <w:sz w:val="22"/>
                      <w:szCs w:val="22"/>
                      <w:lang w:eastAsia="en-US"/>
                    </w:rPr>
                    <w:t>0,0055</w:t>
                  </w:r>
                  <w:r w:rsidRPr="00D927E4">
                    <w:rPr>
                      <w:rFonts w:eastAsia="Calibri"/>
                      <w:color w:val="000000"/>
                      <w:sz w:val="22"/>
                      <w:szCs w:val="22"/>
                      <w:lang w:eastAsia="en-US"/>
                    </w:rPr>
                    <w:t>;</w:t>
                  </w:r>
                </w:p>
              </w:tc>
            </w:tr>
            <w:tr w:rsidR="00894ECB" w:rsidRPr="00D927E4" w14:paraId="75EE90D9" w14:textId="77777777" w:rsidTr="00065995">
              <w:trPr>
                <w:trHeight w:val="120"/>
                <w:tblCellSpacing w:w="0" w:type="auto"/>
              </w:trPr>
              <w:tc>
                <w:tcPr>
                  <w:tcW w:w="516" w:type="dxa"/>
                  <w:vAlign w:val="center"/>
                </w:tcPr>
                <w:p w14:paraId="52B85CC2" w14:textId="77777777" w:rsidR="00894ECB" w:rsidRPr="00D927E4" w:rsidRDefault="00894ECB" w:rsidP="00894ECB">
                  <w:pPr>
                    <w:spacing w:line="259" w:lineRule="auto"/>
                    <w:rPr>
                      <w:rFonts w:eastAsia="Calibri"/>
                      <w:sz w:val="22"/>
                      <w:szCs w:val="22"/>
                      <w:lang w:eastAsia="en-US"/>
                    </w:rPr>
                  </w:pPr>
                  <w:r w:rsidRPr="00D927E4">
                    <w:rPr>
                      <w:rFonts w:eastAsia="Calibri"/>
                      <w:color w:val="000000"/>
                      <w:sz w:val="22"/>
                      <w:szCs w:val="22"/>
                      <w:lang w:eastAsia="en-US"/>
                    </w:rPr>
                    <w:t xml:space="preserve"> </w:t>
                  </w:r>
                </w:p>
              </w:tc>
              <w:tc>
                <w:tcPr>
                  <w:tcW w:w="967" w:type="dxa"/>
                  <w:vAlign w:val="center"/>
                </w:tcPr>
                <w:p w14:paraId="05CB63B5" w14:textId="77777777" w:rsidR="00894ECB" w:rsidRPr="00D927E4" w:rsidRDefault="00894ECB" w:rsidP="00894ECB">
                  <w:pPr>
                    <w:spacing w:line="259" w:lineRule="auto"/>
                    <w:rPr>
                      <w:rFonts w:eastAsia="Calibri"/>
                      <w:sz w:val="22"/>
                      <w:szCs w:val="22"/>
                      <w:lang w:eastAsia="en-US"/>
                    </w:rPr>
                  </w:pPr>
                  <w:r w:rsidRPr="00D927E4">
                    <w:rPr>
                      <w:rFonts w:eastAsia="Calibri"/>
                      <w:i/>
                      <w:color w:val="000000"/>
                      <w:sz w:val="22"/>
                      <w:szCs w:val="22"/>
                      <w:lang w:eastAsia="en-US"/>
                    </w:rPr>
                    <w:t>n</w:t>
                  </w:r>
                </w:p>
              </w:tc>
              <w:tc>
                <w:tcPr>
                  <w:tcW w:w="4082" w:type="dxa"/>
                  <w:vAlign w:val="center"/>
                </w:tcPr>
                <w:p w14:paraId="66BCD970" w14:textId="77777777" w:rsidR="00894ECB" w:rsidRPr="00D927E4" w:rsidRDefault="00894ECB" w:rsidP="00894ECB">
                  <w:pPr>
                    <w:spacing w:line="259" w:lineRule="auto"/>
                    <w:rPr>
                      <w:rFonts w:eastAsia="Calibri"/>
                      <w:sz w:val="22"/>
                      <w:szCs w:val="22"/>
                      <w:lang w:eastAsia="en-US"/>
                    </w:rPr>
                  </w:pPr>
                  <w:r w:rsidRPr="00D927E4">
                    <w:rPr>
                      <w:rFonts w:eastAsia="Calibri"/>
                      <w:color w:val="000000"/>
                      <w:sz w:val="22"/>
                      <w:szCs w:val="22"/>
                      <w:lang w:eastAsia="en-US"/>
                    </w:rPr>
                    <w:t>- кількість календарних днів, впродовж яких тривало/триває порушення.</w:t>
                  </w:r>
                </w:p>
              </w:tc>
            </w:tr>
          </w:tbl>
          <w:p w14:paraId="5C37DC00" w14:textId="77777777" w:rsidR="00894ECB" w:rsidRPr="00D927E4" w:rsidRDefault="00894ECB" w:rsidP="00894ECB">
            <w:pPr>
              <w:spacing w:after="160" w:line="259" w:lineRule="auto"/>
              <w:rPr>
                <w:rFonts w:eastAsia="Calibri"/>
                <w:sz w:val="22"/>
                <w:szCs w:val="22"/>
                <w:lang w:eastAsia="en-US"/>
              </w:rPr>
            </w:pPr>
          </w:p>
          <w:p w14:paraId="65FFDFE9" w14:textId="77777777" w:rsidR="00894ECB" w:rsidRPr="00D927E4" w:rsidRDefault="00894ECB" w:rsidP="00894ECB">
            <w:pPr>
              <w:spacing w:after="160" w:line="259" w:lineRule="auto"/>
              <w:ind w:firstLine="306"/>
              <w:rPr>
                <w:rFonts w:eastAsia="Calibri"/>
                <w:sz w:val="22"/>
                <w:szCs w:val="22"/>
                <w:lang w:val="en-US" w:eastAsia="en-US"/>
              </w:rPr>
            </w:pPr>
            <w:r w:rsidRPr="00D927E4">
              <w:rPr>
                <w:rFonts w:eastAsia="Calibri"/>
                <w:sz w:val="22"/>
                <w:szCs w:val="22"/>
                <w:lang w:val="en-US" w:eastAsia="en-US"/>
              </w:rPr>
              <w:lastRenderedPageBreak/>
              <w:t>&lt;…&gt;</w:t>
            </w:r>
          </w:p>
          <w:p w14:paraId="243DEDC6" w14:textId="77777777" w:rsidR="00894ECB" w:rsidRPr="00D927E4" w:rsidRDefault="00894ECB" w:rsidP="00894ECB">
            <w:pPr>
              <w:spacing w:after="160" w:line="259" w:lineRule="auto"/>
              <w:ind w:firstLine="240"/>
              <w:rPr>
                <w:rFonts w:eastAsia="Calibri"/>
                <w:b/>
                <w:color w:val="000000"/>
                <w:sz w:val="22"/>
                <w:szCs w:val="22"/>
                <w:lang w:eastAsia="en-US"/>
              </w:rPr>
            </w:pPr>
          </w:p>
        </w:tc>
        <w:tc>
          <w:tcPr>
            <w:tcW w:w="5809" w:type="dxa"/>
            <w:vAlign w:val="center"/>
          </w:tcPr>
          <w:p w14:paraId="76D78FA1" w14:textId="77777777" w:rsidR="00894ECB" w:rsidRPr="00D927E4" w:rsidRDefault="00894ECB" w:rsidP="00894ECB">
            <w:pPr>
              <w:spacing w:after="120"/>
              <w:jc w:val="both"/>
              <w:rPr>
                <w:bCs/>
                <w:i/>
                <w:color w:val="000000"/>
                <w:sz w:val="22"/>
                <w:szCs w:val="22"/>
                <w:lang w:eastAsia="uk-UA"/>
              </w:rPr>
            </w:pPr>
            <w:r w:rsidRPr="00D927E4">
              <w:rPr>
                <w:bCs/>
                <w:i/>
                <w:color w:val="000000"/>
                <w:sz w:val="22"/>
                <w:szCs w:val="22"/>
                <w:lang w:eastAsia="uk-UA"/>
              </w:rPr>
              <w:lastRenderedPageBreak/>
              <w:t>АТ «НАЕК «ЕНЕРГОАТОМ»</w:t>
            </w:r>
          </w:p>
          <w:p w14:paraId="46AE175D" w14:textId="77777777" w:rsidR="00894ECB" w:rsidRPr="00D927E4" w:rsidRDefault="00894ECB" w:rsidP="00894ECB">
            <w:pPr>
              <w:tabs>
                <w:tab w:val="left" w:pos="342"/>
              </w:tabs>
              <w:ind w:firstLine="340"/>
              <w:jc w:val="both"/>
              <w:rPr>
                <w:rFonts w:eastAsia="Calibri"/>
                <w:sz w:val="22"/>
                <w:szCs w:val="22"/>
                <w:lang w:eastAsia="en-US"/>
              </w:rPr>
            </w:pPr>
          </w:p>
          <w:p w14:paraId="1FC318A3" w14:textId="77777777" w:rsidR="00894ECB" w:rsidRPr="00D927E4" w:rsidRDefault="00894ECB" w:rsidP="00894ECB">
            <w:pPr>
              <w:tabs>
                <w:tab w:val="left" w:pos="342"/>
              </w:tabs>
              <w:ind w:firstLine="340"/>
              <w:jc w:val="both"/>
              <w:rPr>
                <w:rFonts w:eastAsia="Calibri"/>
                <w:sz w:val="22"/>
                <w:szCs w:val="22"/>
                <w:lang w:eastAsia="en-US"/>
              </w:rPr>
            </w:pPr>
            <w:r w:rsidRPr="00D927E4">
              <w:rPr>
                <w:rFonts w:eastAsia="Calibri"/>
                <w:sz w:val="22"/>
                <w:szCs w:val="22"/>
                <w:lang w:eastAsia="en-US"/>
              </w:rPr>
              <w:t>2.3.1. У разі якщо під час здійснення заходів державного контролю за дотриманням ліцензіатами законодавства та/або ліцензійних умов НКРЕКП виявить порушення, що тривало/триває протягом певного періоду (строку), НКРЕКП застосовує коригування початкового розміру штрафу, розрахованого відповідно до пункту 2.2.4 глави 2.2 цього розділу, з урахуванням тривалості порушення. Коригування здійснюється за формулою</w:t>
            </w:r>
          </w:p>
          <w:p w14:paraId="1A94F47E" w14:textId="77777777" w:rsidR="00894ECB" w:rsidRPr="00D927E4" w:rsidRDefault="00894ECB" w:rsidP="00894ECB">
            <w:pPr>
              <w:tabs>
                <w:tab w:val="left" w:pos="342"/>
              </w:tabs>
              <w:ind w:firstLine="340"/>
              <w:jc w:val="both"/>
              <w:rPr>
                <w:rFonts w:eastAsia="Calibri"/>
                <w:sz w:val="22"/>
                <w:szCs w:val="22"/>
                <w:lang w:eastAsia="en-US"/>
              </w:rPr>
            </w:pPr>
          </w:p>
          <w:tbl>
            <w:tblPr>
              <w:tblW w:w="5613" w:type="dxa"/>
              <w:tblCellSpacing w:w="0" w:type="auto"/>
              <w:tblLayout w:type="fixed"/>
              <w:tblLook w:val="04A0" w:firstRow="1" w:lastRow="0" w:firstColumn="1" w:lastColumn="0" w:noHBand="0" w:noVBand="1"/>
            </w:tblPr>
            <w:tblGrid>
              <w:gridCol w:w="4706"/>
              <w:gridCol w:w="907"/>
            </w:tblGrid>
            <w:tr w:rsidR="00894ECB" w:rsidRPr="00D927E4" w14:paraId="51DAFA48" w14:textId="77777777" w:rsidTr="003508AC">
              <w:trPr>
                <w:trHeight w:val="417"/>
                <w:tblCellSpacing w:w="0" w:type="auto"/>
              </w:trPr>
              <w:tc>
                <w:tcPr>
                  <w:tcW w:w="4706" w:type="dxa"/>
                  <w:vAlign w:val="center"/>
                </w:tcPr>
                <w:p w14:paraId="5F743FFE" w14:textId="77777777" w:rsidR="00894ECB" w:rsidRPr="00D927E4" w:rsidRDefault="00894ECB" w:rsidP="00894ECB">
                  <w:pPr>
                    <w:tabs>
                      <w:tab w:val="left" w:pos="342"/>
                    </w:tabs>
                    <w:ind w:firstLine="340"/>
                    <w:jc w:val="both"/>
                    <w:rPr>
                      <w:rFonts w:eastAsia="Calibri"/>
                      <w:sz w:val="22"/>
                      <w:szCs w:val="22"/>
                      <w:lang w:eastAsia="en-US"/>
                    </w:rPr>
                  </w:pPr>
                  <w:r w:rsidRPr="00D927E4">
                    <w:rPr>
                      <w:rFonts w:eastAsia="Calibri"/>
                      <w:sz w:val="22"/>
                      <w:szCs w:val="22"/>
                      <w:lang w:eastAsia="en-US"/>
                    </w:rPr>
                    <w:t xml:space="preserve"> </w:t>
                  </w:r>
                  <w:r w:rsidRPr="00D927E4">
                    <w:rPr>
                      <w:rFonts w:eastAsia="Calibri"/>
                      <w:noProof/>
                      <w:sz w:val="22"/>
                      <w:szCs w:val="22"/>
                      <w:lang w:eastAsia="uk-UA"/>
                    </w:rPr>
                    <w:drawing>
                      <wp:inline distT="0" distB="0" distL="0" distR="0" wp14:anchorId="3AEBC2E7" wp14:editId="01A0DCEE">
                        <wp:extent cx="2667000" cy="263525"/>
                        <wp:effectExtent l="0" t="0" r="0" b="317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667000" cy="263525"/>
                                </a:xfrm>
                                <a:prstGeom prst="rect">
                                  <a:avLst/>
                                </a:prstGeom>
                              </pic:spPr>
                            </pic:pic>
                          </a:graphicData>
                        </a:graphic>
                      </wp:inline>
                    </w:drawing>
                  </w:r>
                  <w:r w:rsidRPr="00D927E4">
                    <w:rPr>
                      <w:rFonts w:eastAsia="Calibri"/>
                      <w:sz w:val="22"/>
                      <w:szCs w:val="22"/>
                      <w:lang w:eastAsia="en-US"/>
                    </w:rPr>
                    <w:t xml:space="preserve"> </w:t>
                  </w:r>
                </w:p>
              </w:tc>
              <w:tc>
                <w:tcPr>
                  <w:tcW w:w="907" w:type="dxa"/>
                  <w:vAlign w:val="center"/>
                </w:tcPr>
                <w:p w14:paraId="09C7D249" w14:textId="77777777" w:rsidR="00894ECB" w:rsidRPr="00D927E4" w:rsidRDefault="00894ECB" w:rsidP="00894ECB">
                  <w:pPr>
                    <w:tabs>
                      <w:tab w:val="left" w:pos="342"/>
                    </w:tabs>
                    <w:ind w:firstLine="340"/>
                    <w:jc w:val="both"/>
                    <w:rPr>
                      <w:rFonts w:eastAsia="Calibri"/>
                      <w:sz w:val="22"/>
                      <w:szCs w:val="22"/>
                      <w:lang w:eastAsia="en-US"/>
                    </w:rPr>
                  </w:pPr>
                  <w:r w:rsidRPr="00D927E4">
                    <w:rPr>
                      <w:rFonts w:eastAsia="Calibri"/>
                      <w:sz w:val="22"/>
                      <w:szCs w:val="22"/>
                      <w:lang w:eastAsia="en-US"/>
                    </w:rPr>
                    <w:t>(2)</w:t>
                  </w:r>
                </w:p>
              </w:tc>
            </w:tr>
          </w:tbl>
          <w:p w14:paraId="58C08C19" w14:textId="77777777" w:rsidR="00894ECB" w:rsidRPr="00D927E4" w:rsidRDefault="00894ECB" w:rsidP="00894ECB">
            <w:pPr>
              <w:tabs>
                <w:tab w:val="left" w:pos="342"/>
              </w:tabs>
              <w:jc w:val="both"/>
              <w:rPr>
                <w:rFonts w:eastAsia="Calibri"/>
                <w:sz w:val="22"/>
                <w:szCs w:val="22"/>
                <w:lang w:eastAsia="en-US"/>
              </w:rPr>
            </w:pPr>
          </w:p>
          <w:tbl>
            <w:tblPr>
              <w:tblW w:w="5591" w:type="dxa"/>
              <w:tblCellSpacing w:w="0" w:type="auto"/>
              <w:tblLayout w:type="fixed"/>
              <w:tblLook w:val="04A0" w:firstRow="1" w:lastRow="0" w:firstColumn="1" w:lastColumn="0" w:noHBand="0" w:noVBand="1"/>
            </w:tblPr>
            <w:tblGrid>
              <w:gridCol w:w="659"/>
              <w:gridCol w:w="1134"/>
              <w:gridCol w:w="3798"/>
            </w:tblGrid>
            <w:tr w:rsidR="00894ECB" w:rsidRPr="00D927E4" w14:paraId="4FA66ABC" w14:textId="77777777" w:rsidTr="003508AC">
              <w:trPr>
                <w:trHeight w:val="120"/>
                <w:tblCellSpacing w:w="0" w:type="auto"/>
              </w:trPr>
              <w:tc>
                <w:tcPr>
                  <w:tcW w:w="659" w:type="dxa"/>
                  <w:vAlign w:val="center"/>
                </w:tcPr>
                <w:p w14:paraId="6DCB8328" w14:textId="77777777" w:rsidR="00894ECB" w:rsidRPr="00D927E4" w:rsidRDefault="00894ECB" w:rsidP="00894ECB">
                  <w:pPr>
                    <w:tabs>
                      <w:tab w:val="left" w:pos="342"/>
                    </w:tabs>
                    <w:jc w:val="both"/>
                    <w:rPr>
                      <w:rFonts w:eastAsia="Calibri"/>
                      <w:sz w:val="22"/>
                      <w:szCs w:val="22"/>
                      <w:lang w:eastAsia="en-US"/>
                    </w:rPr>
                  </w:pPr>
                  <w:r w:rsidRPr="00D927E4">
                    <w:rPr>
                      <w:rFonts w:eastAsia="Calibri"/>
                      <w:sz w:val="22"/>
                      <w:szCs w:val="22"/>
                      <w:lang w:eastAsia="en-US"/>
                    </w:rPr>
                    <w:t>де:</w:t>
                  </w:r>
                </w:p>
              </w:tc>
              <w:tc>
                <w:tcPr>
                  <w:tcW w:w="1134" w:type="dxa"/>
                  <w:vAlign w:val="center"/>
                </w:tcPr>
                <w:p w14:paraId="33737AD6" w14:textId="77777777" w:rsidR="00894ECB" w:rsidRPr="00D927E4" w:rsidRDefault="00894ECB" w:rsidP="00894ECB">
                  <w:pPr>
                    <w:tabs>
                      <w:tab w:val="left" w:pos="342"/>
                    </w:tabs>
                    <w:jc w:val="both"/>
                    <w:rPr>
                      <w:rFonts w:eastAsia="Calibri"/>
                      <w:sz w:val="22"/>
                      <w:szCs w:val="22"/>
                      <w:lang w:eastAsia="en-US"/>
                    </w:rPr>
                  </w:pPr>
                  <w:proofErr w:type="spellStart"/>
                  <w:r w:rsidRPr="00D927E4">
                    <w:rPr>
                      <w:rFonts w:eastAsia="Calibri"/>
                      <w:i/>
                      <w:sz w:val="22"/>
                      <w:szCs w:val="22"/>
                      <w:lang w:eastAsia="en-US"/>
                    </w:rPr>
                    <w:t>P</w:t>
                  </w:r>
                  <w:r w:rsidRPr="00D927E4">
                    <w:rPr>
                      <w:rFonts w:eastAsia="Calibri"/>
                      <w:sz w:val="22"/>
                      <w:szCs w:val="22"/>
                      <w:vertAlign w:val="subscript"/>
                      <w:lang w:eastAsia="en-US"/>
                    </w:rPr>
                    <w:t>time</w:t>
                  </w:r>
                  <w:proofErr w:type="spellEnd"/>
                  <w:r w:rsidRPr="00D927E4">
                    <w:rPr>
                      <w:rFonts w:eastAsia="Calibri"/>
                      <w:sz w:val="22"/>
                      <w:szCs w:val="22"/>
                      <w:vertAlign w:val="subscript"/>
                      <w:lang w:eastAsia="en-US"/>
                    </w:rPr>
                    <w:t xml:space="preserve"> </w:t>
                  </w:r>
                  <w:proofErr w:type="spellStart"/>
                  <w:r w:rsidRPr="00D927E4">
                    <w:rPr>
                      <w:rFonts w:eastAsia="Calibri"/>
                      <w:sz w:val="22"/>
                      <w:szCs w:val="22"/>
                      <w:vertAlign w:val="subscript"/>
                      <w:lang w:eastAsia="en-US"/>
                    </w:rPr>
                    <w:t>adj</w:t>
                  </w:r>
                  <w:proofErr w:type="spellEnd"/>
                </w:p>
              </w:tc>
              <w:tc>
                <w:tcPr>
                  <w:tcW w:w="3798" w:type="dxa"/>
                  <w:vAlign w:val="center"/>
                </w:tcPr>
                <w:p w14:paraId="703C2D65" w14:textId="77777777" w:rsidR="00894ECB" w:rsidRPr="00D927E4" w:rsidRDefault="00894ECB" w:rsidP="00894ECB">
                  <w:pPr>
                    <w:tabs>
                      <w:tab w:val="left" w:pos="342"/>
                    </w:tabs>
                    <w:ind w:firstLine="340"/>
                    <w:jc w:val="both"/>
                    <w:rPr>
                      <w:rFonts w:eastAsia="Calibri"/>
                      <w:sz w:val="22"/>
                      <w:szCs w:val="22"/>
                      <w:lang w:eastAsia="en-US"/>
                    </w:rPr>
                  </w:pPr>
                  <w:r w:rsidRPr="00D927E4">
                    <w:rPr>
                      <w:rFonts w:eastAsia="Calibri"/>
                      <w:sz w:val="22"/>
                      <w:szCs w:val="22"/>
                      <w:lang w:eastAsia="en-US"/>
                    </w:rPr>
                    <w:t>- розмір штрафу, скоригований з урахуванням тривалості порушення;</w:t>
                  </w:r>
                </w:p>
              </w:tc>
            </w:tr>
            <w:tr w:rsidR="00894ECB" w:rsidRPr="00D927E4" w14:paraId="22F09090" w14:textId="77777777" w:rsidTr="003508AC">
              <w:trPr>
                <w:trHeight w:val="120"/>
                <w:tblCellSpacing w:w="0" w:type="auto"/>
              </w:trPr>
              <w:tc>
                <w:tcPr>
                  <w:tcW w:w="659" w:type="dxa"/>
                  <w:vAlign w:val="center"/>
                </w:tcPr>
                <w:p w14:paraId="3E598FA1" w14:textId="77777777" w:rsidR="00894ECB" w:rsidRPr="00D927E4" w:rsidRDefault="00894ECB" w:rsidP="00894ECB">
                  <w:pPr>
                    <w:tabs>
                      <w:tab w:val="left" w:pos="342"/>
                    </w:tabs>
                    <w:ind w:firstLine="340"/>
                    <w:jc w:val="both"/>
                    <w:rPr>
                      <w:rFonts w:eastAsia="Calibri"/>
                      <w:sz w:val="22"/>
                      <w:szCs w:val="22"/>
                      <w:lang w:eastAsia="en-US"/>
                    </w:rPr>
                  </w:pPr>
                  <w:r w:rsidRPr="00D927E4">
                    <w:rPr>
                      <w:rFonts w:eastAsia="Calibri"/>
                      <w:sz w:val="22"/>
                      <w:szCs w:val="22"/>
                      <w:lang w:eastAsia="en-US"/>
                    </w:rPr>
                    <w:t xml:space="preserve"> </w:t>
                  </w:r>
                </w:p>
              </w:tc>
              <w:tc>
                <w:tcPr>
                  <w:tcW w:w="1134" w:type="dxa"/>
                  <w:vAlign w:val="center"/>
                </w:tcPr>
                <w:p w14:paraId="0CE7EB75" w14:textId="77777777" w:rsidR="00894ECB" w:rsidRPr="00D927E4" w:rsidRDefault="00894ECB" w:rsidP="00894ECB">
                  <w:pPr>
                    <w:tabs>
                      <w:tab w:val="left" w:pos="342"/>
                    </w:tabs>
                    <w:ind w:firstLine="340"/>
                    <w:jc w:val="both"/>
                    <w:rPr>
                      <w:rFonts w:eastAsia="Calibri"/>
                      <w:sz w:val="22"/>
                      <w:szCs w:val="22"/>
                      <w:lang w:eastAsia="en-US"/>
                    </w:rPr>
                  </w:pPr>
                  <w:proofErr w:type="spellStart"/>
                  <w:r w:rsidRPr="00D927E4">
                    <w:rPr>
                      <w:rFonts w:eastAsia="Calibri"/>
                      <w:i/>
                      <w:sz w:val="22"/>
                      <w:szCs w:val="22"/>
                      <w:lang w:eastAsia="en-US"/>
                    </w:rPr>
                    <w:t>P</w:t>
                  </w:r>
                  <w:r w:rsidRPr="00D927E4">
                    <w:rPr>
                      <w:rFonts w:eastAsia="Calibri"/>
                      <w:sz w:val="22"/>
                      <w:szCs w:val="22"/>
                      <w:vertAlign w:val="subscript"/>
                      <w:lang w:eastAsia="en-US"/>
                    </w:rPr>
                    <w:t>basic</w:t>
                  </w:r>
                  <w:proofErr w:type="spellEnd"/>
                </w:p>
              </w:tc>
              <w:tc>
                <w:tcPr>
                  <w:tcW w:w="3798" w:type="dxa"/>
                  <w:vAlign w:val="center"/>
                </w:tcPr>
                <w:p w14:paraId="3840A46C" w14:textId="77777777" w:rsidR="00894ECB" w:rsidRPr="00D927E4" w:rsidRDefault="00894ECB" w:rsidP="00894ECB">
                  <w:pPr>
                    <w:tabs>
                      <w:tab w:val="left" w:pos="342"/>
                    </w:tabs>
                    <w:ind w:firstLine="340"/>
                    <w:jc w:val="both"/>
                    <w:rPr>
                      <w:rFonts w:eastAsia="Calibri"/>
                      <w:sz w:val="22"/>
                      <w:szCs w:val="22"/>
                      <w:lang w:eastAsia="en-US"/>
                    </w:rPr>
                  </w:pPr>
                  <w:r w:rsidRPr="00D927E4">
                    <w:rPr>
                      <w:rFonts w:eastAsia="Calibri"/>
                      <w:sz w:val="22"/>
                      <w:szCs w:val="22"/>
                      <w:lang w:eastAsia="en-US"/>
                    </w:rPr>
                    <w:t>- початковий розмір штрафу, розрахований відповідно до пункту 2.2.4 глави 2.2 цього розділу;</w:t>
                  </w:r>
                </w:p>
              </w:tc>
            </w:tr>
            <w:tr w:rsidR="00894ECB" w:rsidRPr="00D927E4" w14:paraId="16EAC895" w14:textId="77777777" w:rsidTr="003508AC">
              <w:trPr>
                <w:trHeight w:val="120"/>
                <w:tblCellSpacing w:w="0" w:type="auto"/>
              </w:trPr>
              <w:tc>
                <w:tcPr>
                  <w:tcW w:w="659" w:type="dxa"/>
                  <w:vAlign w:val="center"/>
                </w:tcPr>
                <w:p w14:paraId="01E6A92D" w14:textId="77777777" w:rsidR="00894ECB" w:rsidRPr="00D927E4" w:rsidRDefault="00894ECB" w:rsidP="00894ECB">
                  <w:pPr>
                    <w:tabs>
                      <w:tab w:val="left" w:pos="342"/>
                    </w:tabs>
                    <w:ind w:firstLine="340"/>
                    <w:jc w:val="both"/>
                    <w:rPr>
                      <w:rFonts w:eastAsia="Calibri"/>
                      <w:sz w:val="22"/>
                      <w:szCs w:val="22"/>
                      <w:lang w:eastAsia="en-US"/>
                    </w:rPr>
                  </w:pPr>
                  <w:r w:rsidRPr="00D927E4">
                    <w:rPr>
                      <w:rFonts w:eastAsia="Calibri"/>
                      <w:sz w:val="22"/>
                      <w:szCs w:val="22"/>
                      <w:lang w:eastAsia="en-US"/>
                    </w:rPr>
                    <w:t xml:space="preserve"> </w:t>
                  </w:r>
                </w:p>
              </w:tc>
              <w:tc>
                <w:tcPr>
                  <w:tcW w:w="1134" w:type="dxa"/>
                  <w:vAlign w:val="center"/>
                </w:tcPr>
                <w:p w14:paraId="08F4D40E" w14:textId="77777777" w:rsidR="00894ECB" w:rsidRPr="00D927E4" w:rsidRDefault="00894ECB" w:rsidP="00894ECB">
                  <w:pPr>
                    <w:tabs>
                      <w:tab w:val="left" w:pos="342"/>
                    </w:tabs>
                    <w:ind w:firstLine="340"/>
                    <w:jc w:val="both"/>
                    <w:rPr>
                      <w:rFonts w:eastAsia="Calibri"/>
                      <w:sz w:val="22"/>
                      <w:szCs w:val="22"/>
                      <w:lang w:eastAsia="en-US"/>
                    </w:rPr>
                  </w:pPr>
                  <w:proofErr w:type="spellStart"/>
                  <w:r w:rsidRPr="00D927E4">
                    <w:rPr>
                      <w:rFonts w:eastAsia="Calibri"/>
                      <w:i/>
                      <w:sz w:val="22"/>
                      <w:szCs w:val="22"/>
                      <w:lang w:eastAsia="en-US"/>
                    </w:rPr>
                    <w:t>t</w:t>
                  </w:r>
                  <w:r w:rsidRPr="00D927E4">
                    <w:rPr>
                      <w:rFonts w:eastAsia="Calibri"/>
                      <w:i/>
                      <w:sz w:val="22"/>
                      <w:szCs w:val="22"/>
                      <w:vertAlign w:val="subscript"/>
                      <w:lang w:eastAsia="en-US"/>
                    </w:rPr>
                    <w:t>c</w:t>
                  </w:r>
                  <w:proofErr w:type="spellEnd"/>
                </w:p>
              </w:tc>
              <w:tc>
                <w:tcPr>
                  <w:tcW w:w="3798" w:type="dxa"/>
                  <w:vAlign w:val="center"/>
                </w:tcPr>
                <w:p w14:paraId="3377D31D" w14:textId="77777777" w:rsidR="00894ECB" w:rsidRPr="00D927E4" w:rsidRDefault="00894ECB" w:rsidP="00894ECB">
                  <w:pPr>
                    <w:tabs>
                      <w:tab w:val="left" w:pos="342"/>
                    </w:tabs>
                    <w:ind w:firstLine="340"/>
                    <w:jc w:val="both"/>
                    <w:rPr>
                      <w:rFonts w:eastAsia="Calibri"/>
                      <w:sz w:val="22"/>
                      <w:szCs w:val="22"/>
                      <w:lang w:eastAsia="en-US"/>
                    </w:rPr>
                  </w:pPr>
                  <w:r w:rsidRPr="00D927E4">
                    <w:rPr>
                      <w:rFonts w:eastAsia="Calibri"/>
                      <w:sz w:val="22"/>
                      <w:szCs w:val="22"/>
                      <w:lang w:eastAsia="en-US"/>
                    </w:rPr>
                    <w:t xml:space="preserve">- коефіцієнт у розмірі </w:t>
                  </w:r>
                  <w:r w:rsidRPr="00D927E4">
                    <w:rPr>
                      <w:rFonts w:eastAsia="Calibri"/>
                      <w:b/>
                      <w:sz w:val="22"/>
                      <w:szCs w:val="22"/>
                      <w:lang w:eastAsia="en-US"/>
                    </w:rPr>
                    <w:t>0,001</w:t>
                  </w:r>
                  <w:r w:rsidRPr="00D927E4">
                    <w:rPr>
                      <w:rFonts w:eastAsia="Calibri"/>
                      <w:sz w:val="22"/>
                      <w:szCs w:val="22"/>
                      <w:lang w:eastAsia="en-US"/>
                    </w:rPr>
                    <w:t>;</w:t>
                  </w:r>
                </w:p>
              </w:tc>
            </w:tr>
            <w:tr w:rsidR="00894ECB" w:rsidRPr="00D927E4" w14:paraId="525CF296" w14:textId="77777777" w:rsidTr="003508AC">
              <w:trPr>
                <w:trHeight w:val="120"/>
                <w:tblCellSpacing w:w="0" w:type="auto"/>
              </w:trPr>
              <w:tc>
                <w:tcPr>
                  <w:tcW w:w="659" w:type="dxa"/>
                  <w:vAlign w:val="center"/>
                </w:tcPr>
                <w:p w14:paraId="481DCA8B" w14:textId="77777777" w:rsidR="00894ECB" w:rsidRPr="00D927E4" w:rsidRDefault="00894ECB" w:rsidP="00894ECB">
                  <w:pPr>
                    <w:tabs>
                      <w:tab w:val="left" w:pos="342"/>
                    </w:tabs>
                    <w:ind w:firstLine="340"/>
                    <w:jc w:val="both"/>
                    <w:rPr>
                      <w:rFonts w:eastAsia="Calibri"/>
                      <w:sz w:val="22"/>
                      <w:szCs w:val="22"/>
                      <w:lang w:eastAsia="en-US"/>
                    </w:rPr>
                  </w:pPr>
                  <w:r w:rsidRPr="00D927E4">
                    <w:rPr>
                      <w:rFonts w:eastAsia="Calibri"/>
                      <w:sz w:val="22"/>
                      <w:szCs w:val="22"/>
                      <w:lang w:eastAsia="en-US"/>
                    </w:rPr>
                    <w:t xml:space="preserve"> </w:t>
                  </w:r>
                </w:p>
              </w:tc>
              <w:tc>
                <w:tcPr>
                  <w:tcW w:w="1134" w:type="dxa"/>
                  <w:vAlign w:val="center"/>
                </w:tcPr>
                <w:p w14:paraId="39F0007D" w14:textId="77777777" w:rsidR="00894ECB" w:rsidRPr="00D927E4" w:rsidRDefault="00894ECB" w:rsidP="00894ECB">
                  <w:pPr>
                    <w:tabs>
                      <w:tab w:val="left" w:pos="342"/>
                    </w:tabs>
                    <w:ind w:firstLine="340"/>
                    <w:jc w:val="both"/>
                    <w:rPr>
                      <w:rFonts w:eastAsia="Calibri"/>
                      <w:sz w:val="22"/>
                      <w:szCs w:val="22"/>
                      <w:lang w:eastAsia="en-US"/>
                    </w:rPr>
                  </w:pPr>
                  <w:r w:rsidRPr="00D927E4">
                    <w:rPr>
                      <w:rFonts w:eastAsia="Calibri"/>
                      <w:i/>
                      <w:sz w:val="22"/>
                      <w:szCs w:val="22"/>
                      <w:lang w:eastAsia="en-US"/>
                    </w:rPr>
                    <w:t>n</w:t>
                  </w:r>
                </w:p>
              </w:tc>
              <w:tc>
                <w:tcPr>
                  <w:tcW w:w="3798" w:type="dxa"/>
                  <w:vAlign w:val="center"/>
                </w:tcPr>
                <w:p w14:paraId="474F903B" w14:textId="77777777" w:rsidR="00894ECB" w:rsidRPr="00D927E4" w:rsidRDefault="00894ECB" w:rsidP="00894ECB">
                  <w:pPr>
                    <w:tabs>
                      <w:tab w:val="left" w:pos="342"/>
                    </w:tabs>
                    <w:ind w:firstLine="340"/>
                    <w:jc w:val="both"/>
                    <w:rPr>
                      <w:rFonts w:eastAsia="Calibri"/>
                      <w:sz w:val="22"/>
                      <w:szCs w:val="22"/>
                      <w:lang w:eastAsia="en-US"/>
                    </w:rPr>
                  </w:pPr>
                  <w:r w:rsidRPr="00D927E4">
                    <w:rPr>
                      <w:rFonts w:eastAsia="Calibri"/>
                      <w:sz w:val="22"/>
                      <w:szCs w:val="22"/>
                      <w:lang w:eastAsia="en-US"/>
                    </w:rPr>
                    <w:t>- кількість календарних днів, впродовж яких тривало/триває порушення.</w:t>
                  </w:r>
                </w:p>
              </w:tc>
            </w:tr>
          </w:tbl>
          <w:p w14:paraId="52D34573" w14:textId="77777777" w:rsidR="00894ECB" w:rsidRPr="00D927E4" w:rsidRDefault="00894ECB" w:rsidP="00894ECB">
            <w:pPr>
              <w:spacing w:after="120"/>
              <w:jc w:val="both"/>
              <w:rPr>
                <w:sz w:val="22"/>
                <w:szCs w:val="22"/>
                <w:lang w:val="ru-RU"/>
              </w:rPr>
            </w:pPr>
          </w:p>
          <w:p w14:paraId="0E1C2845" w14:textId="77777777" w:rsidR="00894ECB" w:rsidRPr="00D927E4" w:rsidRDefault="00894ECB" w:rsidP="00894ECB">
            <w:pPr>
              <w:spacing w:after="120"/>
              <w:jc w:val="both"/>
              <w:rPr>
                <w:sz w:val="22"/>
                <w:szCs w:val="22"/>
                <w:lang w:val="ru-RU"/>
              </w:rPr>
            </w:pPr>
            <w:r w:rsidRPr="00D927E4">
              <w:rPr>
                <w:sz w:val="22"/>
                <w:szCs w:val="22"/>
                <w:lang w:val="ru-RU"/>
              </w:rPr>
              <w:lastRenderedPageBreak/>
              <w:t>ОБГРУНТУВАННЯ:</w:t>
            </w:r>
          </w:p>
          <w:p w14:paraId="69418A39" w14:textId="77777777" w:rsidR="00894ECB" w:rsidRPr="00D927E4" w:rsidRDefault="00894ECB" w:rsidP="00894ECB">
            <w:pPr>
              <w:ind w:firstLine="283"/>
              <w:jc w:val="both"/>
              <w:rPr>
                <w:sz w:val="22"/>
                <w:szCs w:val="22"/>
              </w:rPr>
            </w:pPr>
            <w:r w:rsidRPr="00D927E4">
              <w:rPr>
                <w:sz w:val="22"/>
                <w:szCs w:val="22"/>
              </w:rPr>
              <w:t xml:space="preserve">Пропонуємо залишити положення пунктів у діючі редакції. </w:t>
            </w:r>
          </w:p>
          <w:p w14:paraId="12609E87" w14:textId="77777777" w:rsidR="00894ECB" w:rsidRPr="00D927E4" w:rsidRDefault="00894ECB" w:rsidP="00894ECB">
            <w:pPr>
              <w:ind w:firstLine="283"/>
              <w:jc w:val="both"/>
              <w:rPr>
                <w:sz w:val="22"/>
                <w:szCs w:val="22"/>
              </w:rPr>
            </w:pPr>
            <w:r w:rsidRPr="00D927E4">
              <w:rPr>
                <w:sz w:val="22"/>
                <w:szCs w:val="22"/>
              </w:rPr>
              <w:t>ЗУ «ПРЕЕ» визначено, що рішення (заходи) суб’єктів владних повноважень, прийняті на виконання норм цього Закону, мають прийматися на підставі, у межах повноважень та у спосіб, що передбачено законодавством, відповідати меті, з якою повноваження надані, бути обґрунтованими, відповідати принципам неупередженості, добросовісності, розсудливості, пропорційності, прозорості, недискримінації та своєчасності.</w:t>
            </w:r>
          </w:p>
          <w:p w14:paraId="1FAE5126" w14:textId="77777777" w:rsidR="00894ECB" w:rsidRPr="00D927E4" w:rsidRDefault="00894ECB" w:rsidP="00894ECB">
            <w:pPr>
              <w:ind w:firstLine="283"/>
              <w:jc w:val="both"/>
              <w:rPr>
                <w:sz w:val="22"/>
                <w:szCs w:val="22"/>
              </w:rPr>
            </w:pPr>
            <w:r w:rsidRPr="00D927E4">
              <w:rPr>
                <w:bCs/>
                <w:sz w:val="22"/>
                <w:szCs w:val="22"/>
              </w:rPr>
              <w:t>Згідно із ЗУ «Про засади державної регуляторної політики у сфері господарської діяльності» забезпечення здійснення державної регуляторної політики включає, зокрема,  недопущення прийняття регуляторних актів, які є непослідовними. </w:t>
            </w:r>
          </w:p>
          <w:p w14:paraId="7D6BE9CE" w14:textId="77777777" w:rsidR="00894ECB" w:rsidRPr="00D927E4" w:rsidRDefault="00894ECB" w:rsidP="00894ECB">
            <w:pPr>
              <w:ind w:firstLine="284"/>
              <w:jc w:val="both"/>
              <w:rPr>
                <w:sz w:val="22"/>
                <w:szCs w:val="22"/>
              </w:rPr>
            </w:pPr>
            <w:r w:rsidRPr="00D927E4">
              <w:rPr>
                <w:sz w:val="22"/>
                <w:szCs w:val="22"/>
              </w:rPr>
              <w:t xml:space="preserve">Постановою НКРЕКП від 20.02.2024  </w:t>
            </w:r>
            <w:r w:rsidRPr="00D927E4">
              <w:rPr>
                <w:sz w:val="22"/>
                <w:szCs w:val="22"/>
              </w:rPr>
              <w:br/>
              <w:t xml:space="preserve">№ 365 було </w:t>
            </w:r>
            <w:proofErr w:type="spellStart"/>
            <w:r w:rsidRPr="00D927E4">
              <w:rPr>
                <w:sz w:val="22"/>
                <w:szCs w:val="22"/>
              </w:rPr>
              <w:t>внесено</w:t>
            </w:r>
            <w:proofErr w:type="spellEnd"/>
            <w:r w:rsidRPr="00D927E4">
              <w:rPr>
                <w:sz w:val="22"/>
                <w:szCs w:val="22"/>
              </w:rPr>
              <w:t xml:space="preserve"> зміни до Порядку в частині зменшення: суми оцінки серйозності та характеру; відсотку серйозності та характеру порушення; коефіцієнту відповідно до розміру завданої шкоди/отриманої додаткової вигоди.</w:t>
            </w:r>
          </w:p>
          <w:p w14:paraId="2FF57D39" w14:textId="77777777" w:rsidR="00894ECB" w:rsidRPr="00D927E4" w:rsidRDefault="00894ECB" w:rsidP="00894ECB">
            <w:pPr>
              <w:ind w:firstLine="283"/>
              <w:jc w:val="both"/>
              <w:rPr>
                <w:sz w:val="22"/>
                <w:szCs w:val="22"/>
              </w:rPr>
            </w:pPr>
            <w:r w:rsidRPr="00D927E4">
              <w:rPr>
                <w:sz w:val="22"/>
                <w:szCs w:val="22"/>
              </w:rPr>
              <w:t xml:space="preserve">Відповідним </w:t>
            </w:r>
            <w:proofErr w:type="spellStart"/>
            <w:r w:rsidRPr="00D927E4">
              <w:rPr>
                <w:sz w:val="22"/>
                <w:szCs w:val="22"/>
              </w:rPr>
              <w:t>проєктом</w:t>
            </w:r>
            <w:proofErr w:type="spellEnd"/>
            <w:r w:rsidRPr="00D927E4">
              <w:rPr>
                <w:sz w:val="22"/>
                <w:szCs w:val="22"/>
              </w:rPr>
              <w:t xml:space="preserve"> змін пропонується збільшити вищевказані показники.</w:t>
            </w:r>
          </w:p>
          <w:p w14:paraId="77D1B112" w14:textId="77777777" w:rsidR="00894ECB" w:rsidRPr="00D927E4" w:rsidRDefault="00894ECB" w:rsidP="00894ECB">
            <w:pPr>
              <w:ind w:firstLine="283"/>
              <w:jc w:val="both"/>
              <w:rPr>
                <w:sz w:val="22"/>
                <w:szCs w:val="22"/>
              </w:rPr>
            </w:pPr>
            <w:r w:rsidRPr="00D927E4">
              <w:rPr>
                <w:sz w:val="22"/>
                <w:szCs w:val="22"/>
              </w:rPr>
              <w:t>Таким чином, зміни запропоновані без достатнього обґрунтування та спрямовані на значне погіршення для ліцензіата умов розрахунку розміру штрафу, що в свою чергу фактично суперечать попередньо прийнятому Регулятором рішенню та свідчить про непослідовність у прийнятті рішень, а також порушення принципів енергетичного законодавства.</w:t>
            </w:r>
          </w:p>
          <w:p w14:paraId="4282F6AD" w14:textId="77777777" w:rsidR="00894ECB" w:rsidRPr="00D927E4" w:rsidRDefault="00894ECB" w:rsidP="00894ECB">
            <w:pPr>
              <w:spacing w:after="120"/>
              <w:jc w:val="both"/>
              <w:rPr>
                <w:sz w:val="22"/>
                <w:szCs w:val="22"/>
                <w:lang w:val="ru-RU"/>
              </w:rPr>
            </w:pPr>
          </w:p>
          <w:p w14:paraId="353E1D7F" w14:textId="77777777" w:rsidR="00894ECB" w:rsidRPr="00D927E4" w:rsidRDefault="00894ECB" w:rsidP="00894ECB">
            <w:pPr>
              <w:spacing w:after="120"/>
              <w:jc w:val="both"/>
              <w:rPr>
                <w:i/>
                <w:sz w:val="22"/>
                <w:szCs w:val="22"/>
              </w:rPr>
            </w:pPr>
          </w:p>
          <w:p w14:paraId="2AFE5207" w14:textId="77777777" w:rsidR="00894ECB" w:rsidRPr="00D927E4" w:rsidRDefault="00894ECB" w:rsidP="00894ECB">
            <w:pPr>
              <w:spacing w:after="120"/>
              <w:jc w:val="both"/>
              <w:rPr>
                <w:i/>
                <w:sz w:val="22"/>
                <w:szCs w:val="22"/>
              </w:rPr>
            </w:pPr>
            <w:r w:rsidRPr="00D927E4">
              <w:rPr>
                <w:i/>
                <w:sz w:val="22"/>
                <w:szCs w:val="22"/>
              </w:rPr>
              <w:t>АТ «ДТЕК ДНІПРОВСЬКІ ЕЛЕКТРОМЕРЕЖІ»</w:t>
            </w:r>
          </w:p>
          <w:p w14:paraId="799D958E" w14:textId="77777777" w:rsidR="00894ECB" w:rsidRPr="00D927E4" w:rsidRDefault="00894ECB" w:rsidP="00894ECB">
            <w:pPr>
              <w:spacing w:after="160" w:line="259" w:lineRule="auto"/>
              <w:ind w:firstLine="240"/>
              <w:jc w:val="both"/>
              <w:rPr>
                <w:rFonts w:eastAsia="Calibri"/>
                <w:color w:val="000000"/>
                <w:kern w:val="2"/>
                <w:sz w:val="22"/>
                <w:szCs w:val="22"/>
                <w:lang w:eastAsia="en-US"/>
                <w14:ligatures w14:val="standardContextual"/>
              </w:rPr>
            </w:pPr>
            <w:r w:rsidRPr="00D927E4">
              <w:rPr>
                <w:rFonts w:eastAsia="Calibri"/>
                <w:color w:val="000000"/>
                <w:kern w:val="2"/>
                <w:sz w:val="22"/>
                <w:szCs w:val="22"/>
                <w:lang w:eastAsia="en-US"/>
                <w14:ligatures w14:val="standardContextual"/>
              </w:rPr>
              <w:t xml:space="preserve">2.3.1. У разі якщо під час здійснення заходів державного контролю за дотриманням ліцензіатами законодавства та/або ліцензійних умов НКРЕКП виявить порушення, що тривало/триває протягом певного періоду (строку), </w:t>
            </w:r>
            <w:r w:rsidRPr="00D927E4">
              <w:rPr>
                <w:rFonts w:eastAsia="Calibri"/>
                <w:color w:val="000000"/>
                <w:kern w:val="2"/>
                <w:sz w:val="22"/>
                <w:szCs w:val="22"/>
                <w:lang w:eastAsia="en-US"/>
                <w14:ligatures w14:val="standardContextual"/>
              </w:rPr>
              <w:lastRenderedPageBreak/>
              <w:t>НКРЕКП застосовує коригування початкового розміру штрафу, розрахованого відповідно до пункту 2.2.4 глави 2.2 цього розділу, з урахуванням тривалості порушення. Коригування здійснюється за формулою</w:t>
            </w:r>
          </w:p>
          <w:tbl>
            <w:tblPr>
              <w:tblW w:w="0" w:type="auto"/>
              <w:tblCellSpacing w:w="0" w:type="auto"/>
              <w:tblLayout w:type="fixed"/>
              <w:tblLook w:val="04A0" w:firstRow="1" w:lastRow="0" w:firstColumn="1" w:lastColumn="0" w:noHBand="0" w:noVBand="1"/>
            </w:tblPr>
            <w:tblGrid>
              <w:gridCol w:w="4989"/>
              <w:gridCol w:w="510"/>
            </w:tblGrid>
            <w:tr w:rsidR="00D927E4" w:rsidRPr="00D927E4" w14:paraId="686210F9" w14:textId="77777777" w:rsidTr="00D927E4">
              <w:trPr>
                <w:trHeight w:val="30"/>
                <w:tblCellSpacing w:w="0" w:type="auto"/>
              </w:trPr>
              <w:tc>
                <w:tcPr>
                  <w:tcW w:w="4989" w:type="dxa"/>
                  <w:vAlign w:val="center"/>
                </w:tcPr>
                <w:p w14:paraId="2D7F5F93" w14:textId="77777777" w:rsidR="00894ECB" w:rsidRPr="00D927E4" w:rsidRDefault="00894ECB" w:rsidP="00894ECB">
                  <w:pPr>
                    <w:spacing w:line="259" w:lineRule="auto"/>
                    <w:jc w:val="both"/>
                    <w:rPr>
                      <w:rFonts w:eastAsia="Calibri"/>
                      <w:color w:val="000000"/>
                      <w:kern w:val="2"/>
                      <w:sz w:val="22"/>
                      <w:szCs w:val="22"/>
                      <w:lang w:eastAsia="en-US"/>
                      <w14:ligatures w14:val="standardContextual"/>
                    </w:rPr>
                  </w:pPr>
                  <w:r w:rsidRPr="00D927E4">
                    <w:rPr>
                      <w:rFonts w:eastAsia="Calibri"/>
                      <w:color w:val="000000"/>
                      <w:kern w:val="2"/>
                      <w:sz w:val="22"/>
                      <w:szCs w:val="22"/>
                      <w:lang w:eastAsia="en-US"/>
                      <w14:ligatures w14:val="standardContextual"/>
                    </w:rPr>
                    <w:t xml:space="preserve"> </w:t>
                  </w:r>
                  <w:r w:rsidRPr="00D927E4">
                    <w:rPr>
                      <w:rFonts w:eastAsia="Calibri"/>
                      <w:noProof/>
                      <w:kern w:val="2"/>
                      <w:sz w:val="22"/>
                      <w:szCs w:val="22"/>
                      <w:lang w:eastAsia="en-US"/>
                      <w14:ligatures w14:val="standardContextual"/>
                    </w:rPr>
                    <w:drawing>
                      <wp:inline distT="0" distB="0" distL="0" distR="0" wp14:anchorId="1348551B" wp14:editId="58F59A97">
                        <wp:extent cx="2238375" cy="159884"/>
                        <wp:effectExtent l="0" t="0" r="0" b="0"/>
                        <wp:docPr id="1801632840" name="Рисунок 1801632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364713" cy="168908"/>
                                </a:xfrm>
                                <a:prstGeom prst="rect">
                                  <a:avLst/>
                                </a:prstGeom>
                              </pic:spPr>
                            </pic:pic>
                          </a:graphicData>
                        </a:graphic>
                      </wp:inline>
                    </w:drawing>
                  </w:r>
                </w:p>
                <w:p w14:paraId="0A824EF7" w14:textId="77777777" w:rsidR="00894ECB" w:rsidRPr="00D927E4" w:rsidRDefault="00894ECB" w:rsidP="00894ECB">
                  <w:pPr>
                    <w:spacing w:after="160" w:line="259" w:lineRule="auto"/>
                    <w:jc w:val="both"/>
                    <w:rPr>
                      <w:rFonts w:eastAsia="Calibri"/>
                      <w:color w:val="000000"/>
                      <w:kern w:val="2"/>
                      <w:sz w:val="22"/>
                      <w:szCs w:val="22"/>
                      <w:lang w:eastAsia="en-US"/>
                      <w14:ligatures w14:val="standardContextual"/>
                    </w:rPr>
                  </w:pPr>
                  <w:r w:rsidRPr="00D927E4">
                    <w:rPr>
                      <w:rFonts w:eastAsia="Calibri"/>
                      <w:color w:val="000000"/>
                      <w:kern w:val="2"/>
                      <w:sz w:val="22"/>
                      <w:szCs w:val="22"/>
                      <w:lang w:eastAsia="en-US"/>
                      <w14:ligatures w14:val="standardContextual"/>
                    </w:rPr>
                    <w:t>де:</w:t>
                  </w:r>
                  <w:r w:rsidRPr="00D927E4">
                    <w:rPr>
                      <w:rFonts w:eastAsia="Calibri"/>
                      <w:i/>
                      <w:color w:val="000000"/>
                      <w:kern w:val="2"/>
                      <w:sz w:val="22"/>
                      <w:szCs w:val="22"/>
                      <w:lang w:eastAsia="en-US"/>
                      <w14:ligatures w14:val="standardContextual"/>
                    </w:rPr>
                    <w:t xml:space="preserve"> </w:t>
                  </w:r>
                  <w:proofErr w:type="spellStart"/>
                  <w:r w:rsidRPr="00D927E4">
                    <w:rPr>
                      <w:rFonts w:eastAsia="Calibri"/>
                      <w:i/>
                      <w:color w:val="000000"/>
                      <w:kern w:val="2"/>
                      <w:sz w:val="22"/>
                      <w:szCs w:val="22"/>
                      <w:lang w:eastAsia="en-US"/>
                      <w14:ligatures w14:val="standardContextual"/>
                    </w:rPr>
                    <w:t>P</w:t>
                  </w:r>
                  <w:r w:rsidRPr="00D927E4">
                    <w:rPr>
                      <w:rFonts w:eastAsia="Calibri"/>
                      <w:color w:val="000000"/>
                      <w:kern w:val="2"/>
                      <w:sz w:val="22"/>
                      <w:szCs w:val="22"/>
                      <w:vertAlign w:val="subscript"/>
                      <w:lang w:eastAsia="en-US"/>
                      <w14:ligatures w14:val="standardContextual"/>
                    </w:rPr>
                    <w:t>time</w:t>
                  </w:r>
                  <w:proofErr w:type="spellEnd"/>
                  <w:r w:rsidRPr="00D927E4">
                    <w:rPr>
                      <w:rFonts w:eastAsia="Calibri"/>
                      <w:color w:val="000000"/>
                      <w:kern w:val="2"/>
                      <w:sz w:val="22"/>
                      <w:szCs w:val="22"/>
                      <w:vertAlign w:val="subscript"/>
                      <w:lang w:eastAsia="en-US"/>
                      <w14:ligatures w14:val="standardContextual"/>
                    </w:rPr>
                    <w:t xml:space="preserve"> </w:t>
                  </w:r>
                  <w:proofErr w:type="spellStart"/>
                  <w:r w:rsidRPr="00D927E4">
                    <w:rPr>
                      <w:rFonts w:eastAsia="Calibri"/>
                      <w:color w:val="000000"/>
                      <w:kern w:val="2"/>
                      <w:sz w:val="22"/>
                      <w:szCs w:val="22"/>
                      <w:vertAlign w:val="subscript"/>
                      <w:lang w:eastAsia="en-US"/>
                      <w14:ligatures w14:val="standardContextual"/>
                    </w:rPr>
                    <w:t>adj</w:t>
                  </w:r>
                  <w:proofErr w:type="spellEnd"/>
                  <w:r w:rsidRPr="00D927E4">
                    <w:rPr>
                      <w:rFonts w:eastAsia="Calibri"/>
                      <w:color w:val="000000"/>
                      <w:kern w:val="2"/>
                      <w:sz w:val="22"/>
                      <w:szCs w:val="22"/>
                      <w:vertAlign w:val="subscript"/>
                      <w:lang w:eastAsia="en-US"/>
                      <w14:ligatures w14:val="standardContextual"/>
                    </w:rPr>
                    <w:t xml:space="preserve"> </w:t>
                  </w:r>
                  <w:r w:rsidRPr="00D927E4">
                    <w:rPr>
                      <w:rFonts w:eastAsia="Calibri"/>
                      <w:color w:val="000000"/>
                      <w:kern w:val="2"/>
                      <w:sz w:val="22"/>
                      <w:szCs w:val="22"/>
                      <w:lang w:eastAsia="en-US"/>
                      <w14:ligatures w14:val="standardContextual"/>
                    </w:rPr>
                    <w:t>- розмір штрафу, скоригований з урахуванням тривалості порушення;</w:t>
                  </w:r>
                </w:p>
                <w:p w14:paraId="441C14ED" w14:textId="77777777" w:rsidR="00894ECB" w:rsidRPr="00D927E4" w:rsidRDefault="00894ECB" w:rsidP="00894ECB">
                  <w:pPr>
                    <w:spacing w:after="160" w:line="259" w:lineRule="auto"/>
                    <w:jc w:val="both"/>
                    <w:rPr>
                      <w:rFonts w:eastAsia="Calibri"/>
                      <w:color w:val="000000"/>
                      <w:kern w:val="2"/>
                      <w:sz w:val="22"/>
                      <w:szCs w:val="22"/>
                      <w:lang w:eastAsia="en-US"/>
                      <w14:ligatures w14:val="standardContextual"/>
                    </w:rPr>
                  </w:pPr>
                  <w:proofErr w:type="spellStart"/>
                  <w:r w:rsidRPr="00D927E4">
                    <w:rPr>
                      <w:rFonts w:eastAsia="Calibri"/>
                      <w:i/>
                      <w:color w:val="000000"/>
                      <w:kern w:val="2"/>
                      <w:sz w:val="22"/>
                      <w:szCs w:val="22"/>
                      <w:lang w:eastAsia="en-US"/>
                      <w14:ligatures w14:val="standardContextual"/>
                    </w:rPr>
                    <w:t>P</w:t>
                  </w:r>
                  <w:r w:rsidRPr="00D927E4">
                    <w:rPr>
                      <w:rFonts w:eastAsia="Calibri"/>
                      <w:color w:val="000000"/>
                      <w:kern w:val="2"/>
                      <w:sz w:val="22"/>
                      <w:szCs w:val="22"/>
                      <w:vertAlign w:val="subscript"/>
                      <w:lang w:eastAsia="en-US"/>
                      <w14:ligatures w14:val="standardContextual"/>
                    </w:rPr>
                    <w:t>basic</w:t>
                  </w:r>
                  <w:proofErr w:type="spellEnd"/>
                  <w:r w:rsidRPr="00D927E4">
                    <w:rPr>
                      <w:rFonts w:eastAsia="Calibri"/>
                      <w:color w:val="000000"/>
                      <w:kern w:val="2"/>
                      <w:sz w:val="22"/>
                      <w:szCs w:val="22"/>
                      <w:vertAlign w:val="subscript"/>
                      <w:lang w:eastAsia="en-US"/>
                      <w14:ligatures w14:val="standardContextual"/>
                    </w:rPr>
                    <w:t xml:space="preserve"> </w:t>
                  </w:r>
                  <w:r w:rsidRPr="00D927E4">
                    <w:rPr>
                      <w:rFonts w:eastAsia="Calibri"/>
                      <w:color w:val="000000"/>
                      <w:kern w:val="2"/>
                      <w:sz w:val="22"/>
                      <w:szCs w:val="22"/>
                      <w:lang w:eastAsia="en-US"/>
                      <w14:ligatures w14:val="standardContextual"/>
                    </w:rPr>
                    <w:t>- початковий розмір штрафу, розрахований відповідно до пункту 2.2.4 глави 2.2 цього розділу;</w:t>
                  </w:r>
                </w:p>
                <w:p w14:paraId="045B8E9C" w14:textId="77777777" w:rsidR="00894ECB" w:rsidRPr="00D927E4" w:rsidRDefault="00894ECB" w:rsidP="00894ECB">
                  <w:pPr>
                    <w:spacing w:after="160" w:line="259" w:lineRule="auto"/>
                    <w:jc w:val="both"/>
                    <w:rPr>
                      <w:rFonts w:eastAsia="Calibri"/>
                      <w:color w:val="000000"/>
                      <w:kern w:val="2"/>
                      <w:sz w:val="22"/>
                      <w:szCs w:val="22"/>
                      <w:lang w:eastAsia="en-US"/>
                      <w14:ligatures w14:val="standardContextual"/>
                    </w:rPr>
                  </w:pPr>
                  <w:proofErr w:type="spellStart"/>
                  <w:r w:rsidRPr="00D927E4">
                    <w:rPr>
                      <w:rFonts w:eastAsia="Calibri"/>
                      <w:i/>
                      <w:color w:val="000000"/>
                      <w:kern w:val="2"/>
                      <w:sz w:val="22"/>
                      <w:szCs w:val="22"/>
                      <w:lang w:eastAsia="en-US"/>
                      <w14:ligatures w14:val="standardContextual"/>
                    </w:rPr>
                    <w:t>t</w:t>
                  </w:r>
                  <w:r w:rsidRPr="00D927E4">
                    <w:rPr>
                      <w:rFonts w:eastAsia="Calibri"/>
                      <w:i/>
                      <w:color w:val="000000"/>
                      <w:kern w:val="2"/>
                      <w:sz w:val="22"/>
                      <w:szCs w:val="22"/>
                      <w:vertAlign w:val="subscript"/>
                      <w:lang w:eastAsia="en-US"/>
                      <w14:ligatures w14:val="standardContextual"/>
                    </w:rPr>
                    <w:t>c</w:t>
                  </w:r>
                  <w:proofErr w:type="spellEnd"/>
                  <w:r w:rsidRPr="00D927E4">
                    <w:rPr>
                      <w:rFonts w:eastAsia="Calibri"/>
                      <w:i/>
                      <w:color w:val="000000"/>
                      <w:kern w:val="2"/>
                      <w:sz w:val="22"/>
                      <w:szCs w:val="22"/>
                      <w:vertAlign w:val="subscript"/>
                      <w:lang w:eastAsia="en-US"/>
                      <w14:ligatures w14:val="standardContextual"/>
                    </w:rPr>
                    <w:t xml:space="preserve"> </w:t>
                  </w:r>
                  <w:r w:rsidRPr="00D927E4">
                    <w:rPr>
                      <w:rFonts w:eastAsia="Calibri"/>
                      <w:color w:val="000000"/>
                      <w:kern w:val="2"/>
                      <w:sz w:val="22"/>
                      <w:szCs w:val="22"/>
                      <w:lang w:eastAsia="en-US"/>
                      <w14:ligatures w14:val="standardContextual"/>
                    </w:rPr>
                    <w:t>- коефіцієнт у розмірі 0,001;</w:t>
                  </w:r>
                </w:p>
                <w:p w14:paraId="477AA73A" w14:textId="77777777" w:rsidR="00894ECB" w:rsidRPr="00D927E4" w:rsidRDefault="00894ECB" w:rsidP="00894ECB">
                  <w:pPr>
                    <w:spacing w:line="259" w:lineRule="auto"/>
                    <w:jc w:val="both"/>
                    <w:rPr>
                      <w:rFonts w:eastAsia="Calibri"/>
                      <w:kern w:val="2"/>
                      <w:sz w:val="22"/>
                      <w:szCs w:val="22"/>
                      <w:lang w:eastAsia="en-US"/>
                      <w14:ligatures w14:val="standardContextual"/>
                    </w:rPr>
                  </w:pPr>
                  <w:r w:rsidRPr="00D927E4">
                    <w:rPr>
                      <w:rFonts w:eastAsia="Calibri"/>
                      <w:i/>
                      <w:color w:val="000000"/>
                      <w:kern w:val="2"/>
                      <w:sz w:val="22"/>
                      <w:szCs w:val="22"/>
                      <w:lang w:eastAsia="en-US"/>
                      <w14:ligatures w14:val="standardContextual"/>
                    </w:rPr>
                    <w:t>n -</w:t>
                  </w:r>
                  <w:r w:rsidRPr="00D927E4">
                    <w:rPr>
                      <w:rFonts w:eastAsia="Calibri"/>
                      <w:color w:val="000000"/>
                      <w:kern w:val="2"/>
                      <w:sz w:val="22"/>
                      <w:szCs w:val="22"/>
                      <w:lang w:eastAsia="en-US"/>
                      <w14:ligatures w14:val="standardContextual"/>
                    </w:rPr>
                    <w:t xml:space="preserve"> кількість календарних днів, впродовж яких тривало/триває порушення.</w:t>
                  </w:r>
                </w:p>
              </w:tc>
              <w:tc>
                <w:tcPr>
                  <w:tcW w:w="510" w:type="dxa"/>
                  <w:vAlign w:val="center"/>
                </w:tcPr>
                <w:p w14:paraId="476E2A85" w14:textId="77777777" w:rsidR="00894ECB" w:rsidRPr="00D927E4" w:rsidRDefault="00894ECB" w:rsidP="00894ECB">
                  <w:pPr>
                    <w:spacing w:line="259" w:lineRule="auto"/>
                    <w:jc w:val="both"/>
                    <w:rPr>
                      <w:rFonts w:eastAsia="Calibri"/>
                      <w:kern w:val="2"/>
                      <w:sz w:val="22"/>
                      <w:szCs w:val="22"/>
                      <w:lang w:eastAsia="en-US"/>
                      <w14:ligatures w14:val="standardContextual"/>
                    </w:rPr>
                  </w:pPr>
                </w:p>
              </w:tc>
            </w:tr>
          </w:tbl>
          <w:p w14:paraId="15320670" w14:textId="77777777" w:rsidR="00894ECB" w:rsidRPr="00D927E4" w:rsidRDefault="00894ECB" w:rsidP="00894ECB">
            <w:pPr>
              <w:spacing w:after="120"/>
              <w:jc w:val="both"/>
              <w:rPr>
                <w:sz w:val="22"/>
                <w:szCs w:val="22"/>
              </w:rPr>
            </w:pPr>
          </w:p>
          <w:p w14:paraId="3B2DB255" w14:textId="77777777" w:rsidR="00894ECB" w:rsidRPr="00D927E4" w:rsidRDefault="00894ECB" w:rsidP="00894ECB">
            <w:pPr>
              <w:spacing w:after="120"/>
              <w:jc w:val="both"/>
              <w:rPr>
                <w:i/>
                <w:sz w:val="22"/>
                <w:szCs w:val="22"/>
              </w:rPr>
            </w:pPr>
            <w:r w:rsidRPr="00D927E4">
              <w:rPr>
                <w:i/>
                <w:sz w:val="22"/>
                <w:szCs w:val="22"/>
              </w:rPr>
              <w:t>ОБГРУНТУВАННЯ:</w:t>
            </w:r>
          </w:p>
          <w:p w14:paraId="631F30D5" w14:textId="77777777" w:rsidR="00894ECB" w:rsidRPr="00D927E4" w:rsidRDefault="00894ECB" w:rsidP="00894ECB">
            <w:pPr>
              <w:jc w:val="both"/>
              <w:rPr>
                <w:color w:val="000000"/>
                <w:sz w:val="22"/>
                <w:szCs w:val="22"/>
              </w:rPr>
            </w:pPr>
            <w:r w:rsidRPr="00D927E4">
              <w:rPr>
                <w:color w:val="000000"/>
                <w:sz w:val="22"/>
                <w:szCs w:val="22"/>
              </w:rPr>
              <w:t>Тривалість порушення може бути пов’язана з причинами на які безпосередньо не може вплинути ліцензіат, зокрема рішення інших суб’єктів самоврядування, шкода, завдана майну ліцензіата внаслідок військових дії, військові дії на певних територіях діяльності ОСР тощо.</w:t>
            </w:r>
          </w:p>
          <w:p w14:paraId="3EA13FEF" w14:textId="77777777" w:rsidR="00894ECB" w:rsidRPr="00D927E4" w:rsidRDefault="00894ECB" w:rsidP="00894ECB">
            <w:pPr>
              <w:spacing w:after="120"/>
              <w:jc w:val="both"/>
              <w:rPr>
                <w:sz w:val="22"/>
                <w:szCs w:val="22"/>
              </w:rPr>
            </w:pPr>
            <w:r w:rsidRPr="00D927E4">
              <w:rPr>
                <w:color w:val="000000"/>
                <w:sz w:val="22"/>
                <w:szCs w:val="22"/>
              </w:rPr>
              <w:t xml:space="preserve">Пропонується не змінювати вказаний коефіцієнт </w:t>
            </w:r>
            <w:proofErr w:type="spellStart"/>
            <w:r w:rsidRPr="00D927E4">
              <w:rPr>
                <w:i/>
                <w:color w:val="000000"/>
                <w:sz w:val="22"/>
                <w:szCs w:val="22"/>
              </w:rPr>
              <w:t>t</w:t>
            </w:r>
            <w:r w:rsidRPr="00D927E4">
              <w:rPr>
                <w:i/>
                <w:color w:val="000000"/>
                <w:sz w:val="22"/>
                <w:szCs w:val="22"/>
                <w:vertAlign w:val="subscript"/>
              </w:rPr>
              <w:t>c</w:t>
            </w:r>
            <w:proofErr w:type="spellEnd"/>
            <w:r w:rsidRPr="00D927E4">
              <w:rPr>
                <w:color w:val="000000"/>
                <w:sz w:val="22"/>
                <w:szCs w:val="22"/>
              </w:rPr>
              <w:t>.</w:t>
            </w:r>
          </w:p>
          <w:p w14:paraId="4B1E8486" w14:textId="77777777" w:rsidR="00894ECB" w:rsidRPr="00D927E4" w:rsidRDefault="00894ECB" w:rsidP="00894ECB">
            <w:pPr>
              <w:spacing w:after="120"/>
              <w:jc w:val="both"/>
              <w:rPr>
                <w:i/>
                <w:sz w:val="22"/>
                <w:szCs w:val="22"/>
              </w:rPr>
            </w:pPr>
          </w:p>
          <w:p w14:paraId="6CCED434" w14:textId="77777777" w:rsidR="00894ECB" w:rsidRPr="00D927E4" w:rsidRDefault="00894ECB" w:rsidP="00894ECB">
            <w:pPr>
              <w:spacing w:after="120"/>
              <w:jc w:val="both"/>
              <w:rPr>
                <w:i/>
                <w:sz w:val="22"/>
                <w:szCs w:val="22"/>
              </w:rPr>
            </w:pPr>
            <w:r w:rsidRPr="00D927E4">
              <w:rPr>
                <w:i/>
                <w:sz w:val="22"/>
                <w:szCs w:val="22"/>
              </w:rPr>
              <w:t>АТ «ДТЕК КИЇВСЬКІ ЕЛЕКТРОМЕРЕЖІ»</w:t>
            </w:r>
          </w:p>
          <w:p w14:paraId="55AFD2B0" w14:textId="77777777" w:rsidR="00894ECB" w:rsidRPr="00D927E4" w:rsidRDefault="00894ECB" w:rsidP="00894ECB">
            <w:pPr>
              <w:spacing w:after="160" w:line="259" w:lineRule="auto"/>
              <w:ind w:firstLine="240"/>
              <w:jc w:val="both"/>
              <w:rPr>
                <w:rFonts w:eastAsia="Calibri"/>
                <w:color w:val="000000"/>
                <w:kern w:val="2"/>
                <w:sz w:val="22"/>
                <w:szCs w:val="22"/>
                <w:lang w:eastAsia="en-US"/>
                <w14:ligatures w14:val="standardContextual"/>
              </w:rPr>
            </w:pPr>
            <w:r w:rsidRPr="00D927E4">
              <w:rPr>
                <w:rFonts w:eastAsia="Calibri"/>
                <w:color w:val="000000"/>
                <w:kern w:val="2"/>
                <w:sz w:val="22"/>
                <w:szCs w:val="22"/>
                <w:lang w:eastAsia="en-US"/>
                <w14:ligatures w14:val="standardContextual"/>
              </w:rPr>
              <w:t>2.3.1. У разі якщо під час здійснення заходів державного контролю за дотриманням ліцензіатами законодавства та/або ліцензійних умов НКРЕКП виявить порушення, що тривало/триває протягом певного періоду (строку), НКРЕКП застосовує коригування початкового розміру штрафу, розрахованого відповідно до пункту 2.2.4 глави 2.2 цього розділу, з урахуванням тривалості порушення. Коригування здійснюється за формулою</w:t>
            </w:r>
          </w:p>
          <w:tbl>
            <w:tblPr>
              <w:tblW w:w="0" w:type="auto"/>
              <w:tblCellSpacing w:w="0" w:type="auto"/>
              <w:tblLayout w:type="fixed"/>
              <w:tblLook w:val="04A0" w:firstRow="1" w:lastRow="0" w:firstColumn="1" w:lastColumn="0" w:noHBand="0" w:noVBand="1"/>
            </w:tblPr>
            <w:tblGrid>
              <w:gridCol w:w="5159"/>
              <w:gridCol w:w="340"/>
            </w:tblGrid>
            <w:tr w:rsidR="00894ECB" w:rsidRPr="00D927E4" w14:paraId="1449BED7" w14:textId="77777777" w:rsidTr="00730861">
              <w:trPr>
                <w:trHeight w:val="30"/>
                <w:tblCellSpacing w:w="0" w:type="auto"/>
              </w:trPr>
              <w:tc>
                <w:tcPr>
                  <w:tcW w:w="5159" w:type="dxa"/>
                  <w:vAlign w:val="center"/>
                </w:tcPr>
                <w:p w14:paraId="55329742" w14:textId="77777777" w:rsidR="00894ECB" w:rsidRPr="00D927E4" w:rsidRDefault="00894ECB" w:rsidP="00894ECB">
                  <w:pPr>
                    <w:spacing w:line="259" w:lineRule="auto"/>
                    <w:jc w:val="both"/>
                    <w:rPr>
                      <w:rFonts w:eastAsia="Calibri"/>
                      <w:color w:val="000000"/>
                      <w:kern w:val="2"/>
                      <w:sz w:val="22"/>
                      <w:szCs w:val="22"/>
                      <w:lang w:eastAsia="en-US"/>
                      <w14:ligatures w14:val="standardContextual"/>
                    </w:rPr>
                  </w:pPr>
                  <w:r w:rsidRPr="00D927E4">
                    <w:rPr>
                      <w:rFonts w:eastAsia="Calibri"/>
                      <w:color w:val="000000"/>
                      <w:kern w:val="2"/>
                      <w:sz w:val="22"/>
                      <w:szCs w:val="22"/>
                      <w:lang w:eastAsia="en-US"/>
                      <w14:ligatures w14:val="standardContextual"/>
                    </w:rPr>
                    <w:t xml:space="preserve"> </w:t>
                  </w:r>
                  <w:r w:rsidRPr="00D927E4">
                    <w:rPr>
                      <w:rFonts w:eastAsia="Calibri"/>
                      <w:noProof/>
                      <w:kern w:val="2"/>
                      <w:sz w:val="22"/>
                      <w:szCs w:val="22"/>
                      <w:lang w:eastAsia="en-US"/>
                      <w14:ligatures w14:val="standardContextual"/>
                    </w:rPr>
                    <w:drawing>
                      <wp:inline distT="0" distB="0" distL="0" distR="0" wp14:anchorId="61387785" wp14:editId="4E4E179C">
                        <wp:extent cx="2238375" cy="159884"/>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364713" cy="168908"/>
                                </a:xfrm>
                                <a:prstGeom prst="rect">
                                  <a:avLst/>
                                </a:prstGeom>
                              </pic:spPr>
                            </pic:pic>
                          </a:graphicData>
                        </a:graphic>
                      </wp:inline>
                    </w:drawing>
                  </w:r>
                </w:p>
                <w:p w14:paraId="10E19958" w14:textId="77777777" w:rsidR="00894ECB" w:rsidRPr="00D927E4" w:rsidRDefault="00894ECB" w:rsidP="00894ECB">
                  <w:pPr>
                    <w:spacing w:after="160" w:line="259" w:lineRule="auto"/>
                    <w:jc w:val="both"/>
                    <w:rPr>
                      <w:rFonts w:eastAsia="Calibri"/>
                      <w:color w:val="000000"/>
                      <w:kern w:val="2"/>
                      <w:sz w:val="22"/>
                      <w:szCs w:val="22"/>
                      <w:lang w:eastAsia="en-US"/>
                      <w14:ligatures w14:val="standardContextual"/>
                    </w:rPr>
                  </w:pPr>
                  <w:r w:rsidRPr="00D927E4">
                    <w:rPr>
                      <w:rFonts w:eastAsia="Calibri"/>
                      <w:color w:val="000000"/>
                      <w:kern w:val="2"/>
                      <w:sz w:val="22"/>
                      <w:szCs w:val="22"/>
                      <w:lang w:eastAsia="en-US"/>
                      <w14:ligatures w14:val="standardContextual"/>
                    </w:rPr>
                    <w:lastRenderedPageBreak/>
                    <w:t>де:</w:t>
                  </w:r>
                  <w:r w:rsidRPr="00D927E4">
                    <w:rPr>
                      <w:rFonts w:eastAsia="Calibri"/>
                      <w:i/>
                      <w:color w:val="000000"/>
                      <w:kern w:val="2"/>
                      <w:sz w:val="22"/>
                      <w:szCs w:val="22"/>
                      <w:lang w:eastAsia="en-US"/>
                      <w14:ligatures w14:val="standardContextual"/>
                    </w:rPr>
                    <w:t xml:space="preserve"> </w:t>
                  </w:r>
                  <w:proofErr w:type="spellStart"/>
                  <w:r w:rsidRPr="00D927E4">
                    <w:rPr>
                      <w:rFonts w:eastAsia="Calibri"/>
                      <w:i/>
                      <w:color w:val="000000"/>
                      <w:kern w:val="2"/>
                      <w:sz w:val="22"/>
                      <w:szCs w:val="22"/>
                      <w:lang w:eastAsia="en-US"/>
                      <w14:ligatures w14:val="standardContextual"/>
                    </w:rPr>
                    <w:t>P</w:t>
                  </w:r>
                  <w:r w:rsidRPr="00D927E4">
                    <w:rPr>
                      <w:rFonts w:eastAsia="Calibri"/>
                      <w:color w:val="000000"/>
                      <w:kern w:val="2"/>
                      <w:sz w:val="22"/>
                      <w:szCs w:val="22"/>
                      <w:vertAlign w:val="subscript"/>
                      <w:lang w:eastAsia="en-US"/>
                      <w14:ligatures w14:val="standardContextual"/>
                    </w:rPr>
                    <w:t>time</w:t>
                  </w:r>
                  <w:proofErr w:type="spellEnd"/>
                  <w:r w:rsidRPr="00D927E4">
                    <w:rPr>
                      <w:rFonts w:eastAsia="Calibri"/>
                      <w:color w:val="000000"/>
                      <w:kern w:val="2"/>
                      <w:sz w:val="22"/>
                      <w:szCs w:val="22"/>
                      <w:vertAlign w:val="subscript"/>
                      <w:lang w:eastAsia="en-US"/>
                      <w14:ligatures w14:val="standardContextual"/>
                    </w:rPr>
                    <w:t xml:space="preserve"> </w:t>
                  </w:r>
                  <w:proofErr w:type="spellStart"/>
                  <w:r w:rsidRPr="00D927E4">
                    <w:rPr>
                      <w:rFonts w:eastAsia="Calibri"/>
                      <w:color w:val="000000"/>
                      <w:kern w:val="2"/>
                      <w:sz w:val="22"/>
                      <w:szCs w:val="22"/>
                      <w:vertAlign w:val="subscript"/>
                      <w:lang w:eastAsia="en-US"/>
                      <w14:ligatures w14:val="standardContextual"/>
                    </w:rPr>
                    <w:t>adj</w:t>
                  </w:r>
                  <w:proofErr w:type="spellEnd"/>
                  <w:r w:rsidRPr="00D927E4">
                    <w:rPr>
                      <w:rFonts w:eastAsia="Calibri"/>
                      <w:color w:val="000000"/>
                      <w:kern w:val="2"/>
                      <w:sz w:val="22"/>
                      <w:szCs w:val="22"/>
                      <w:vertAlign w:val="subscript"/>
                      <w:lang w:eastAsia="en-US"/>
                      <w14:ligatures w14:val="standardContextual"/>
                    </w:rPr>
                    <w:t xml:space="preserve"> </w:t>
                  </w:r>
                  <w:r w:rsidRPr="00D927E4">
                    <w:rPr>
                      <w:rFonts w:eastAsia="Calibri"/>
                      <w:color w:val="000000"/>
                      <w:kern w:val="2"/>
                      <w:sz w:val="22"/>
                      <w:szCs w:val="22"/>
                      <w:lang w:eastAsia="en-US"/>
                      <w14:ligatures w14:val="standardContextual"/>
                    </w:rPr>
                    <w:t>- розмір штрафу, скоригований з урахуванням тривалості порушення;</w:t>
                  </w:r>
                </w:p>
                <w:p w14:paraId="39C47AB1" w14:textId="77777777" w:rsidR="00894ECB" w:rsidRPr="00D927E4" w:rsidRDefault="00894ECB" w:rsidP="00894ECB">
                  <w:pPr>
                    <w:spacing w:after="160" w:line="259" w:lineRule="auto"/>
                    <w:jc w:val="both"/>
                    <w:rPr>
                      <w:rFonts w:eastAsia="Calibri"/>
                      <w:color w:val="000000"/>
                      <w:kern w:val="2"/>
                      <w:sz w:val="22"/>
                      <w:szCs w:val="22"/>
                      <w:lang w:eastAsia="en-US"/>
                      <w14:ligatures w14:val="standardContextual"/>
                    </w:rPr>
                  </w:pPr>
                  <w:proofErr w:type="spellStart"/>
                  <w:r w:rsidRPr="00D927E4">
                    <w:rPr>
                      <w:rFonts w:eastAsia="Calibri"/>
                      <w:i/>
                      <w:color w:val="000000"/>
                      <w:kern w:val="2"/>
                      <w:sz w:val="22"/>
                      <w:szCs w:val="22"/>
                      <w:lang w:eastAsia="en-US"/>
                      <w14:ligatures w14:val="standardContextual"/>
                    </w:rPr>
                    <w:t>P</w:t>
                  </w:r>
                  <w:r w:rsidRPr="00D927E4">
                    <w:rPr>
                      <w:rFonts w:eastAsia="Calibri"/>
                      <w:color w:val="000000"/>
                      <w:kern w:val="2"/>
                      <w:sz w:val="22"/>
                      <w:szCs w:val="22"/>
                      <w:vertAlign w:val="subscript"/>
                      <w:lang w:eastAsia="en-US"/>
                      <w14:ligatures w14:val="standardContextual"/>
                    </w:rPr>
                    <w:t>basic</w:t>
                  </w:r>
                  <w:proofErr w:type="spellEnd"/>
                  <w:r w:rsidRPr="00D927E4">
                    <w:rPr>
                      <w:rFonts w:eastAsia="Calibri"/>
                      <w:color w:val="000000"/>
                      <w:kern w:val="2"/>
                      <w:sz w:val="22"/>
                      <w:szCs w:val="22"/>
                      <w:vertAlign w:val="subscript"/>
                      <w:lang w:eastAsia="en-US"/>
                      <w14:ligatures w14:val="standardContextual"/>
                    </w:rPr>
                    <w:t xml:space="preserve"> </w:t>
                  </w:r>
                  <w:r w:rsidRPr="00D927E4">
                    <w:rPr>
                      <w:rFonts w:eastAsia="Calibri"/>
                      <w:color w:val="000000"/>
                      <w:kern w:val="2"/>
                      <w:sz w:val="22"/>
                      <w:szCs w:val="22"/>
                      <w:lang w:eastAsia="en-US"/>
                      <w14:ligatures w14:val="standardContextual"/>
                    </w:rPr>
                    <w:t>- початковий розмір штрафу, розрахований відповідно до пункту 2.2.4 глави 2.2 цього розділу;</w:t>
                  </w:r>
                </w:p>
                <w:p w14:paraId="41A3BB35" w14:textId="77777777" w:rsidR="00894ECB" w:rsidRPr="00D927E4" w:rsidRDefault="00894ECB" w:rsidP="00894ECB">
                  <w:pPr>
                    <w:spacing w:after="160" w:line="259" w:lineRule="auto"/>
                    <w:jc w:val="both"/>
                    <w:rPr>
                      <w:rFonts w:eastAsia="Calibri"/>
                      <w:color w:val="000000"/>
                      <w:kern w:val="2"/>
                      <w:sz w:val="22"/>
                      <w:szCs w:val="22"/>
                      <w:lang w:eastAsia="en-US"/>
                      <w14:ligatures w14:val="standardContextual"/>
                    </w:rPr>
                  </w:pPr>
                  <w:proofErr w:type="spellStart"/>
                  <w:r w:rsidRPr="00D927E4">
                    <w:rPr>
                      <w:rFonts w:eastAsia="Calibri"/>
                      <w:i/>
                      <w:color w:val="000000"/>
                      <w:kern w:val="2"/>
                      <w:sz w:val="22"/>
                      <w:szCs w:val="22"/>
                      <w:lang w:eastAsia="en-US"/>
                      <w14:ligatures w14:val="standardContextual"/>
                    </w:rPr>
                    <w:t>t</w:t>
                  </w:r>
                  <w:r w:rsidRPr="00D927E4">
                    <w:rPr>
                      <w:rFonts w:eastAsia="Calibri"/>
                      <w:i/>
                      <w:color w:val="000000"/>
                      <w:kern w:val="2"/>
                      <w:sz w:val="22"/>
                      <w:szCs w:val="22"/>
                      <w:vertAlign w:val="subscript"/>
                      <w:lang w:eastAsia="en-US"/>
                      <w14:ligatures w14:val="standardContextual"/>
                    </w:rPr>
                    <w:t>c</w:t>
                  </w:r>
                  <w:proofErr w:type="spellEnd"/>
                  <w:r w:rsidRPr="00D927E4">
                    <w:rPr>
                      <w:rFonts w:eastAsia="Calibri"/>
                      <w:i/>
                      <w:color w:val="000000"/>
                      <w:kern w:val="2"/>
                      <w:sz w:val="22"/>
                      <w:szCs w:val="22"/>
                      <w:vertAlign w:val="subscript"/>
                      <w:lang w:eastAsia="en-US"/>
                      <w14:ligatures w14:val="standardContextual"/>
                    </w:rPr>
                    <w:t xml:space="preserve"> </w:t>
                  </w:r>
                  <w:r w:rsidRPr="00D927E4">
                    <w:rPr>
                      <w:rFonts w:eastAsia="Calibri"/>
                      <w:color w:val="000000"/>
                      <w:kern w:val="2"/>
                      <w:sz w:val="22"/>
                      <w:szCs w:val="22"/>
                      <w:lang w:eastAsia="en-US"/>
                      <w14:ligatures w14:val="standardContextual"/>
                    </w:rPr>
                    <w:t>- коефіцієнт у розмірі 0,001;</w:t>
                  </w:r>
                </w:p>
                <w:p w14:paraId="4151B11A" w14:textId="77777777" w:rsidR="00894ECB" w:rsidRPr="00D927E4" w:rsidRDefault="00894ECB" w:rsidP="00894ECB">
                  <w:pPr>
                    <w:spacing w:line="259" w:lineRule="auto"/>
                    <w:jc w:val="both"/>
                    <w:rPr>
                      <w:rFonts w:eastAsia="Calibri"/>
                      <w:kern w:val="2"/>
                      <w:sz w:val="22"/>
                      <w:szCs w:val="22"/>
                      <w:lang w:eastAsia="en-US"/>
                      <w14:ligatures w14:val="standardContextual"/>
                    </w:rPr>
                  </w:pPr>
                  <w:r w:rsidRPr="00D927E4">
                    <w:rPr>
                      <w:rFonts w:eastAsia="Calibri"/>
                      <w:i/>
                      <w:color w:val="000000"/>
                      <w:kern w:val="2"/>
                      <w:sz w:val="22"/>
                      <w:szCs w:val="22"/>
                      <w:lang w:eastAsia="en-US"/>
                      <w14:ligatures w14:val="standardContextual"/>
                    </w:rPr>
                    <w:t>n -</w:t>
                  </w:r>
                  <w:r w:rsidRPr="00D927E4">
                    <w:rPr>
                      <w:rFonts w:eastAsia="Calibri"/>
                      <w:color w:val="000000"/>
                      <w:kern w:val="2"/>
                      <w:sz w:val="22"/>
                      <w:szCs w:val="22"/>
                      <w:lang w:eastAsia="en-US"/>
                      <w14:ligatures w14:val="standardContextual"/>
                    </w:rPr>
                    <w:t xml:space="preserve"> кількість календарних днів, впродовж яких тривало/триває порушення.</w:t>
                  </w:r>
                </w:p>
              </w:tc>
              <w:tc>
                <w:tcPr>
                  <w:tcW w:w="340" w:type="dxa"/>
                  <w:vAlign w:val="center"/>
                </w:tcPr>
                <w:p w14:paraId="76040BE8" w14:textId="77777777" w:rsidR="00894ECB" w:rsidRPr="00D927E4" w:rsidRDefault="00894ECB" w:rsidP="00894ECB">
                  <w:pPr>
                    <w:spacing w:line="259" w:lineRule="auto"/>
                    <w:jc w:val="both"/>
                    <w:rPr>
                      <w:rFonts w:eastAsia="Calibri"/>
                      <w:kern w:val="2"/>
                      <w:sz w:val="22"/>
                      <w:szCs w:val="22"/>
                      <w:lang w:eastAsia="en-US"/>
                      <w14:ligatures w14:val="standardContextual"/>
                    </w:rPr>
                  </w:pPr>
                </w:p>
              </w:tc>
            </w:tr>
          </w:tbl>
          <w:p w14:paraId="6C2B05CF" w14:textId="77777777" w:rsidR="00894ECB" w:rsidRPr="00D927E4" w:rsidRDefault="00894ECB" w:rsidP="00894ECB">
            <w:pPr>
              <w:spacing w:after="120"/>
              <w:jc w:val="both"/>
              <w:rPr>
                <w:sz w:val="22"/>
                <w:szCs w:val="22"/>
              </w:rPr>
            </w:pPr>
          </w:p>
          <w:p w14:paraId="498ACFE2" w14:textId="77777777" w:rsidR="00894ECB" w:rsidRPr="00D927E4" w:rsidRDefault="00894ECB" w:rsidP="00894ECB">
            <w:pPr>
              <w:spacing w:after="120"/>
              <w:jc w:val="both"/>
              <w:rPr>
                <w:i/>
                <w:sz w:val="22"/>
                <w:szCs w:val="22"/>
              </w:rPr>
            </w:pPr>
            <w:r w:rsidRPr="00D927E4">
              <w:rPr>
                <w:i/>
                <w:sz w:val="22"/>
                <w:szCs w:val="22"/>
              </w:rPr>
              <w:t>ОБГРУНТУВАННЯ:</w:t>
            </w:r>
          </w:p>
          <w:p w14:paraId="6D55EA57" w14:textId="77777777" w:rsidR="00894ECB" w:rsidRPr="00D927E4" w:rsidRDefault="00894ECB" w:rsidP="00894ECB">
            <w:pPr>
              <w:spacing w:after="160" w:line="259" w:lineRule="auto"/>
              <w:jc w:val="both"/>
              <w:rPr>
                <w:rFonts w:eastAsia="Calibri"/>
                <w:color w:val="000000"/>
                <w:kern w:val="2"/>
                <w:sz w:val="22"/>
                <w:szCs w:val="22"/>
                <w:lang w:eastAsia="en-US"/>
                <w14:ligatures w14:val="standardContextual"/>
              </w:rPr>
            </w:pPr>
            <w:r w:rsidRPr="00D927E4">
              <w:rPr>
                <w:rFonts w:eastAsia="Calibri"/>
                <w:color w:val="000000"/>
                <w:kern w:val="2"/>
                <w:sz w:val="22"/>
                <w:szCs w:val="22"/>
                <w:lang w:eastAsia="en-US"/>
                <w14:ligatures w14:val="standardContextual"/>
              </w:rPr>
              <w:t>Тривалість порушення може бути пов’язана з причинами на які безпосередньо не може вплинути ліцензіат, зокрема рішення інших суб’єктів самоврядування, шкода, завдана майну ліцензіата внаслідок військових дії, військові дії на певних територіях діяльності ОСР тощо.</w:t>
            </w:r>
          </w:p>
          <w:p w14:paraId="140BF243" w14:textId="77777777" w:rsidR="00894ECB" w:rsidRPr="00D927E4" w:rsidRDefault="00894ECB" w:rsidP="00894ECB">
            <w:pPr>
              <w:spacing w:after="120"/>
              <w:jc w:val="both"/>
              <w:rPr>
                <w:sz w:val="22"/>
                <w:szCs w:val="22"/>
              </w:rPr>
            </w:pPr>
            <w:r w:rsidRPr="00D927E4">
              <w:rPr>
                <w:rFonts w:eastAsia="Calibri"/>
                <w:color w:val="000000"/>
                <w:kern w:val="2"/>
                <w:sz w:val="22"/>
                <w:szCs w:val="22"/>
                <w:lang w:eastAsia="en-US"/>
                <w14:ligatures w14:val="standardContextual"/>
              </w:rPr>
              <w:t xml:space="preserve">Пропонується не змінювати вказаний коефіцієнт </w:t>
            </w:r>
            <w:proofErr w:type="spellStart"/>
            <w:r w:rsidRPr="00D927E4">
              <w:rPr>
                <w:rFonts w:eastAsia="Calibri"/>
                <w:i/>
                <w:color w:val="000000"/>
                <w:kern w:val="2"/>
                <w:sz w:val="22"/>
                <w:szCs w:val="22"/>
                <w:lang w:eastAsia="en-US"/>
                <w14:ligatures w14:val="standardContextual"/>
              </w:rPr>
              <w:t>t</w:t>
            </w:r>
            <w:r w:rsidRPr="00D927E4">
              <w:rPr>
                <w:rFonts w:eastAsia="Calibri"/>
                <w:i/>
                <w:color w:val="000000"/>
                <w:kern w:val="2"/>
                <w:sz w:val="22"/>
                <w:szCs w:val="22"/>
                <w:vertAlign w:val="subscript"/>
                <w:lang w:eastAsia="en-US"/>
                <w14:ligatures w14:val="standardContextual"/>
              </w:rPr>
              <w:t>c</w:t>
            </w:r>
            <w:proofErr w:type="spellEnd"/>
          </w:p>
          <w:p w14:paraId="2959A21F" w14:textId="77777777" w:rsidR="00894ECB" w:rsidRPr="00D927E4" w:rsidRDefault="00894ECB" w:rsidP="00894ECB">
            <w:pPr>
              <w:spacing w:after="120"/>
              <w:jc w:val="both"/>
              <w:rPr>
                <w:i/>
                <w:sz w:val="22"/>
                <w:szCs w:val="22"/>
              </w:rPr>
            </w:pPr>
          </w:p>
          <w:p w14:paraId="6EAD586D" w14:textId="77777777" w:rsidR="00894ECB" w:rsidRPr="00D927E4" w:rsidRDefault="00894ECB" w:rsidP="00894ECB">
            <w:pPr>
              <w:spacing w:after="120"/>
              <w:jc w:val="both"/>
              <w:rPr>
                <w:i/>
                <w:sz w:val="22"/>
                <w:szCs w:val="22"/>
              </w:rPr>
            </w:pPr>
          </w:p>
          <w:p w14:paraId="0B262D49" w14:textId="77777777" w:rsidR="00894ECB" w:rsidRPr="00D927E4" w:rsidRDefault="00894ECB" w:rsidP="00894ECB">
            <w:pPr>
              <w:spacing w:after="120"/>
              <w:jc w:val="both"/>
              <w:rPr>
                <w:i/>
                <w:sz w:val="22"/>
                <w:szCs w:val="22"/>
              </w:rPr>
            </w:pPr>
            <w:r w:rsidRPr="00D927E4">
              <w:rPr>
                <w:i/>
                <w:sz w:val="22"/>
                <w:szCs w:val="22"/>
              </w:rPr>
              <w:t>ТОВ «ЕНЕРДЖІ 365»</w:t>
            </w:r>
          </w:p>
          <w:p w14:paraId="52A3FB59" w14:textId="77777777" w:rsidR="00894ECB" w:rsidRPr="00D927E4" w:rsidRDefault="00894ECB" w:rsidP="00894ECB">
            <w:pPr>
              <w:spacing w:after="120"/>
              <w:jc w:val="both"/>
              <w:rPr>
                <w:sz w:val="22"/>
                <w:szCs w:val="22"/>
              </w:rPr>
            </w:pPr>
            <w:r w:rsidRPr="00D927E4">
              <w:rPr>
                <w:sz w:val="22"/>
                <w:szCs w:val="22"/>
              </w:rPr>
              <w:t>Залишити без змін.</w:t>
            </w:r>
          </w:p>
          <w:p w14:paraId="77EE5727" w14:textId="77777777" w:rsidR="00894ECB" w:rsidRPr="00D927E4" w:rsidRDefault="00894ECB" w:rsidP="00894ECB">
            <w:pPr>
              <w:spacing w:after="120"/>
              <w:jc w:val="both"/>
              <w:rPr>
                <w:sz w:val="22"/>
                <w:szCs w:val="22"/>
              </w:rPr>
            </w:pPr>
            <w:r w:rsidRPr="00D927E4">
              <w:rPr>
                <w:sz w:val="22"/>
                <w:szCs w:val="22"/>
              </w:rPr>
              <w:t xml:space="preserve">Підвищення коефіцієнта </w:t>
            </w:r>
            <w:proofErr w:type="spellStart"/>
            <w:r w:rsidRPr="00D927E4">
              <w:rPr>
                <w:sz w:val="22"/>
                <w:szCs w:val="22"/>
              </w:rPr>
              <w:t>tc</w:t>
            </w:r>
            <w:proofErr w:type="spellEnd"/>
            <w:r w:rsidRPr="00D927E4">
              <w:rPr>
                <w:sz w:val="22"/>
                <w:szCs w:val="22"/>
              </w:rPr>
              <w:t xml:space="preserve"> з 0,001 до 0,0055 суттєво збільшує розмір штрафів, що може призвести до надмірного фінансового навантаження на ліцензіатів у випадках технічних або несуттєвих порушень.</w:t>
            </w:r>
          </w:p>
          <w:p w14:paraId="0D925A7F" w14:textId="77777777" w:rsidR="00894ECB" w:rsidRPr="00D927E4" w:rsidRDefault="00894ECB" w:rsidP="00894ECB">
            <w:pPr>
              <w:spacing w:after="120"/>
              <w:jc w:val="both"/>
              <w:rPr>
                <w:i/>
                <w:sz w:val="22"/>
                <w:szCs w:val="22"/>
              </w:rPr>
            </w:pPr>
            <w:r w:rsidRPr="00D927E4">
              <w:rPr>
                <w:i/>
                <w:sz w:val="22"/>
                <w:szCs w:val="22"/>
              </w:rPr>
              <w:t>ОБГРУНТУВАННЯ:</w:t>
            </w:r>
          </w:p>
          <w:p w14:paraId="42A68032" w14:textId="77777777" w:rsidR="00894ECB" w:rsidRPr="00D927E4" w:rsidRDefault="00894ECB" w:rsidP="00894ECB">
            <w:pPr>
              <w:spacing w:after="120"/>
              <w:jc w:val="both"/>
              <w:rPr>
                <w:sz w:val="22"/>
                <w:szCs w:val="22"/>
              </w:rPr>
            </w:pPr>
            <w:r w:rsidRPr="00D927E4">
              <w:rPr>
                <w:sz w:val="22"/>
                <w:szCs w:val="22"/>
              </w:rPr>
              <w:t xml:space="preserve">Підвищення коефіцієнта </w:t>
            </w:r>
            <w:proofErr w:type="spellStart"/>
            <w:r w:rsidRPr="00D927E4">
              <w:rPr>
                <w:sz w:val="22"/>
                <w:szCs w:val="22"/>
              </w:rPr>
              <w:t>tc</w:t>
            </w:r>
            <w:proofErr w:type="spellEnd"/>
            <w:r w:rsidRPr="00D927E4">
              <w:rPr>
                <w:sz w:val="22"/>
                <w:szCs w:val="22"/>
              </w:rPr>
              <w:t xml:space="preserve"> до 0,0055 призводить до суттєвого збільшення фінансового навантаження на ліцензіатів, особливо для тривалих порушень. Проведені розрахунки показують, що при тривалості порушення 1 рік, штраф збільшується більш ніж удвічі в порівнянні з попередньою редакцією формули (1,365×Штраф проти 3,0075×Штраф).</w:t>
            </w:r>
          </w:p>
          <w:p w14:paraId="0890D1A3" w14:textId="77777777" w:rsidR="00894ECB" w:rsidRPr="00D927E4" w:rsidRDefault="00894ECB" w:rsidP="00894ECB">
            <w:pPr>
              <w:spacing w:after="120"/>
              <w:jc w:val="both"/>
              <w:rPr>
                <w:sz w:val="22"/>
                <w:szCs w:val="22"/>
              </w:rPr>
            </w:pPr>
            <w:r w:rsidRPr="00D927E4">
              <w:rPr>
                <w:sz w:val="22"/>
                <w:szCs w:val="22"/>
              </w:rPr>
              <w:lastRenderedPageBreak/>
              <w:t xml:space="preserve">Збереження коефіцієнта </w:t>
            </w:r>
            <w:proofErr w:type="spellStart"/>
            <w:r w:rsidRPr="00D927E4">
              <w:rPr>
                <w:sz w:val="22"/>
                <w:szCs w:val="22"/>
              </w:rPr>
              <w:t>tc</w:t>
            </w:r>
            <w:proofErr w:type="spellEnd"/>
            <w:r w:rsidRPr="00D927E4">
              <w:rPr>
                <w:sz w:val="22"/>
                <w:szCs w:val="22"/>
              </w:rPr>
              <w:t xml:space="preserve"> на рівні 0,001 забезпечить справедливий баланс між фінансовими санкціями та можливостями ліцензіатів дотримуватися вимог законодавства.</w:t>
            </w:r>
          </w:p>
          <w:p w14:paraId="36C71B07" w14:textId="77777777" w:rsidR="00894ECB" w:rsidRPr="00D927E4" w:rsidRDefault="00894ECB" w:rsidP="00894ECB">
            <w:pPr>
              <w:spacing w:after="120"/>
              <w:jc w:val="both"/>
              <w:rPr>
                <w:sz w:val="22"/>
                <w:szCs w:val="22"/>
              </w:rPr>
            </w:pPr>
            <w:r w:rsidRPr="00D927E4">
              <w:rPr>
                <w:sz w:val="22"/>
                <w:szCs w:val="22"/>
              </w:rPr>
              <w:t>Будь-які зміни у методиці штрафів повинні базуватися на ретельному аналізі їхнього впливу на ринок, а також враховувати специфіку порушень і економічну ситуацію.</w:t>
            </w:r>
          </w:p>
          <w:p w14:paraId="0F64B9F5" w14:textId="77777777" w:rsidR="00894ECB" w:rsidRPr="00D927E4" w:rsidRDefault="00894ECB" w:rsidP="00894ECB">
            <w:pPr>
              <w:spacing w:after="120"/>
              <w:jc w:val="both"/>
              <w:rPr>
                <w:i/>
                <w:sz w:val="22"/>
                <w:szCs w:val="22"/>
              </w:rPr>
            </w:pPr>
          </w:p>
          <w:p w14:paraId="263E9A63" w14:textId="77777777" w:rsidR="00894ECB" w:rsidRPr="00D927E4" w:rsidRDefault="00894ECB" w:rsidP="00894ECB">
            <w:pPr>
              <w:spacing w:after="120"/>
              <w:jc w:val="both"/>
              <w:rPr>
                <w:i/>
                <w:sz w:val="22"/>
                <w:szCs w:val="22"/>
              </w:rPr>
            </w:pPr>
            <w:r w:rsidRPr="00D927E4">
              <w:rPr>
                <w:i/>
                <w:sz w:val="22"/>
                <w:szCs w:val="22"/>
              </w:rPr>
              <w:t>ТОВ «Д.ТРЕЙДІНГ»</w:t>
            </w:r>
          </w:p>
          <w:p w14:paraId="4AB58C26" w14:textId="77777777" w:rsidR="00894ECB" w:rsidRPr="00D927E4" w:rsidRDefault="00894ECB" w:rsidP="00894ECB">
            <w:pPr>
              <w:spacing w:after="120"/>
              <w:jc w:val="both"/>
              <w:rPr>
                <w:rFonts w:eastAsia="Calibri"/>
                <w:b/>
                <w:i/>
                <w:iCs/>
                <w:sz w:val="22"/>
                <w:szCs w:val="22"/>
                <w:lang w:eastAsia="en-US"/>
              </w:rPr>
            </w:pPr>
            <w:r w:rsidRPr="00D927E4">
              <w:rPr>
                <w:rFonts w:eastAsia="Calibri"/>
                <w:b/>
                <w:i/>
                <w:iCs/>
                <w:sz w:val="22"/>
                <w:szCs w:val="22"/>
                <w:lang w:eastAsia="en-US"/>
              </w:rPr>
              <w:t>Пропонуємо залишити пункт 2.3.1. в поточній редакції</w:t>
            </w:r>
          </w:p>
          <w:p w14:paraId="31CE72E2" w14:textId="77777777" w:rsidR="00894ECB" w:rsidRPr="00D927E4" w:rsidRDefault="00894ECB" w:rsidP="00894ECB">
            <w:pPr>
              <w:spacing w:after="120"/>
              <w:jc w:val="both"/>
              <w:rPr>
                <w:sz w:val="22"/>
                <w:szCs w:val="22"/>
              </w:rPr>
            </w:pPr>
          </w:p>
          <w:p w14:paraId="581A2337" w14:textId="77777777" w:rsidR="00894ECB" w:rsidRPr="00D927E4" w:rsidRDefault="00894ECB" w:rsidP="00894ECB">
            <w:pPr>
              <w:spacing w:after="120"/>
              <w:jc w:val="both"/>
              <w:rPr>
                <w:i/>
                <w:sz w:val="22"/>
                <w:szCs w:val="22"/>
              </w:rPr>
            </w:pPr>
            <w:r w:rsidRPr="00D927E4">
              <w:rPr>
                <w:i/>
                <w:sz w:val="22"/>
                <w:szCs w:val="22"/>
              </w:rPr>
              <w:t>ОБГРУНТУВАННЯ:</w:t>
            </w:r>
          </w:p>
          <w:p w14:paraId="7DC5CA05" w14:textId="77777777" w:rsidR="00894ECB" w:rsidRPr="00D927E4" w:rsidRDefault="00894ECB" w:rsidP="00894ECB">
            <w:pPr>
              <w:spacing w:after="160" w:line="259" w:lineRule="auto"/>
              <w:ind w:firstLine="306"/>
              <w:jc w:val="both"/>
              <w:rPr>
                <w:rFonts w:eastAsia="Calibri"/>
                <w:bCs/>
                <w:color w:val="000000"/>
                <w:sz w:val="22"/>
                <w:szCs w:val="22"/>
                <w:lang w:eastAsia="en-US"/>
              </w:rPr>
            </w:pPr>
            <w:r w:rsidRPr="00D927E4">
              <w:rPr>
                <w:rFonts w:eastAsia="Calibri"/>
                <w:bCs/>
                <w:color w:val="000000"/>
                <w:sz w:val="22"/>
                <w:szCs w:val="22"/>
                <w:lang w:eastAsia="en-US"/>
              </w:rPr>
              <w:t>Оприлюднений Аналіз впливу проекту постанови НКРЕКП «</w:t>
            </w:r>
            <w:r w:rsidRPr="00D927E4">
              <w:rPr>
                <w:rFonts w:eastAsia="Calibri"/>
                <w:bCs/>
                <w:i/>
                <w:iCs/>
                <w:color w:val="000000"/>
                <w:sz w:val="22"/>
                <w:szCs w:val="22"/>
                <w:lang w:eastAsia="en-US"/>
              </w:rPr>
              <w:t>Про затвердження Змін до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w:t>
            </w:r>
            <w:r w:rsidRPr="00D927E4">
              <w:rPr>
                <w:rFonts w:eastAsia="Calibri"/>
                <w:bCs/>
                <w:color w:val="000000"/>
                <w:sz w:val="22"/>
                <w:szCs w:val="22"/>
                <w:lang w:eastAsia="en-US"/>
              </w:rPr>
              <w:t>» не містить оцінки того, яким чином зміна коефіцієнту часу вплине на досягнення цілей регулювання. Малоймовірно, що перегляд коефіцієнту часу впливатиме на тривалість вчинених ліцензіатами порушень. Відсутність оцінки впливу запропонованих змін може порушувати принцип відкритості і прозорості, гласності процесу державного регулювання, визначений пунктом 9 частини першої статті 4 Закону України «Про НКРЕКП».</w:t>
            </w:r>
          </w:p>
          <w:p w14:paraId="27E4283D" w14:textId="77777777" w:rsidR="00894ECB" w:rsidRPr="00D927E4" w:rsidRDefault="00894ECB" w:rsidP="00894ECB">
            <w:pPr>
              <w:spacing w:after="120"/>
              <w:jc w:val="both"/>
              <w:rPr>
                <w:sz w:val="22"/>
                <w:szCs w:val="22"/>
              </w:rPr>
            </w:pPr>
            <w:r w:rsidRPr="00D927E4">
              <w:rPr>
                <w:rFonts w:eastAsia="Calibri"/>
                <w:bCs/>
                <w:color w:val="000000"/>
                <w:sz w:val="22"/>
                <w:szCs w:val="22"/>
                <w:lang w:eastAsia="en-US"/>
              </w:rPr>
              <w:t>Також порушується принцип прозорості рішення (</w:t>
            </w:r>
            <w:proofErr w:type="spellStart"/>
            <w:r w:rsidRPr="00D927E4">
              <w:rPr>
                <w:rFonts w:eastAsia="Calibri"/>
                <w:bCs/>
                <w:color w:val="000000"/>
                <w:sz w:val="22"/>
                <w:szCs w:val="22"/>
                <w:lang w:eastAsia="en-US"/>
              </w:rPr>
              <w:t>абз</w:t>
            </w:r>
            <w:proofErr w:type="spellEnd"/>
            <w:r w:rsidRPr="00D927E4">
              <w:rPr>
                <w:rFonts w:eastAsia="Calibri"/>
                <w:bCs/>
                <w:color w:val="000000"/>
                <w:sz w:val="22"/>
                <w:szCs w:val="22"/>
                <w:lang w:eastAsia="en-US"/>
              </w:rPr>
              <w:t xml:space="preserve">. 3, ч.12, ст.2 Закону «Про ринок електричної енергії» та </w:t>
            </w:r>
            <w:proofErr w:type="spellStart"/>
            <w:r w:rsidRPr="00D927E4">
              <w:rPr>
                <w:rFonts w:eastAsia="Calibri"/>
                <w:bCs/>
                <w:color w:val="000000"/>
                <w:sz w:val="22"/>
                <w:szCs w:val="22"/>
                <w:lang w:eastAsia="en-US"/>
              </w:rPr>
              <w:t>абз</w:t>
            </w:r>
            <w:proofErr w:type="spellEnd"/>
            <w:r w:rsidRPr="00D927E4">
              <w:rPr>
                <w:rFonts w:eastAsia="Calibri"/>
                <w:bCs/>
                <w:color w:val="000000"/>
                <w:sz w:val="22"/>
                <w:szCs w:val="22"/>
                <w:lang w:eastAsia="en-US"/>
              </w:rPr>
              <w:t>. 3, ч.3, ст.2 Закону «Про ринок природного газу»).</w:t>
            </w:r>
          </w:p>
          <w:p w14:paraId="76E880E7" w14:textId="77777777" w:rsidR="00894ECB" w:rsidRPr="00D927E4" w:rsidRDefault="00894ECB" w:rsidP="00894ECB">
            <w:pPr>
              <w:spacing w:after="120"/>
              <w:jc w:val="both"/>
              <w:rPr>
                <w:i/>
                <w:sz w:val="22"/>
                <w:szCs w:val="22"/>
              </w:rPr>
            </w:pPr>
          </w:p>
          <w:p w14:paraId="50A60877" w14:textId="77777777" w:rsidR="00894ECB" w:rsidRPr="00D927E4" w:rsidRDefault="00894ECB" w:rsidP="00894ECB">
            <w:pPr>
              <w:spacing w:after="120"/>
              <w:jc w:val="both"/>
              <w:rPr>
                <w:i/>
                <w:sz w:val="22"/>
                <w:szCs w:val="22"/>
              </w:rPr>
            </w:pPr>
            <w:r w:rsidRPr="00D927E4">
              <w:rPr>
                <w:i/>
                <w:sz w:val="22"/>
                <w:szCs w:val="22"/>
              </w:rPr>
              <w:t>ТОВ «ДНІПРОВСЬКІ ЕНЕРГЕТИЧНІ ПОСЛУГИ»</w:t>
            </w:r>
          </w:p>
          <w:p w14:paraId="0C9FA276" w14:textId="77777777" w:rsidR="00894ECB" w:rsidRPr="00D927E4" w:rsidRDefault="00894ECB" w:rsidP="00894ECB">
            <w:pPr>
              <w:spacing w:after="120"/>
              <w:jc w:val="both"/>
              <w:rPr>
                <w:sz w:val="22"/>
                <w:szCs w:val="22"/>
              </w:rPr>
            </w:pPr>
            <w:r w:rsidRPr="00D927E4">
              <w:rPr>
                <w:color w:val="000000"/>
                <w:sz w:val="22"/>
                <w:szCs w:val="22"/>
              </w:rPr>
              <w:t xml:space="preserve">2.3.1. У разі якщо під час здійснення заходів державного контролю за дотриманням ліцензіатами законодавства та/або ліцензійних умов НКРЕКП виявить порушення, що </w:t>
            </w:r>
            <w:r w:rsidRPr="00D927E4">
              <w:rPr>
                <w:color w:val="000000"/>
                <w:sz w:val="22"/>
                <w:szCs w:val="22"/>
              </w:rPr>
              <w:lastRenderedPageBreak/>
              <w:t>тривало/триває протягом певного періоду (строку), НКРЕКП застосовує коригування початкового розміру штрафу, розрахованого відповідно до пункту 2.2.4 глави 2.2 цього розділу, з урахуванням тривалості порушення. Коригування здійснюється за формулою</w:t>
            </w:r>
          </w:p>
          <w:tbl>
            <w:tblPr>
              <w:tblW w:w="8604" w:type="dxa"/>
              <w:tblCellSpacing w:w="0" w:type="auto"/>
              <w:tblLayout w:type="fixed"/>
              <w:tblLook w:val="04A0" w:firstRow="1" w:lastRow="0" w:firstColumn="1" w:lastColumn="0" w:noHBand="0" w:noVBand="1"/>
            </w:tblPr>
            <w:tblGrid>
              <w:gridCol w:w="321"/>
              <w:gridCol w:w="708"/>
              <w:gridCol w:w="2835"/>
              <w:gridCol w:w="4504"/>
              <w:gridCol w:w="236"/>
            </w:tblGrid>
            <w:tr w:rsidR="00894ECB" w:rsidRPr="00D927E4" w14:paraId="1476DDC6" w14:textId="77777777" w:rsidTr="00387AD6">
              <w:trPr>
                <w:trHeight w:val="30"/>
                <w:tblCellSpacing w:w="0" w:type="auto"/>
              </w:trPr>
              <w:tc>
                <w:tcPr>
                  <w:tcW w:w="8368" w:type="dxa"/>
                  <w:gridSpan w:val="4"/>
                  <w:vAlign w:val="center"/>
                </w:tcPr>
                <w:p w14:paraId="63284B8D" w14:textId="77777777" w:rsidR="00894ECB" w:rsidRPr="00D927E4" w:rsidRDefault="00894ECB" w:rsidP="00894ECB">
                  <w:pPr>
                    <w:spacing w:after="120"/>
                    <w:jc w:val="both"/>
                    <w:rPr>
                      <w:sz w:val="22"/>
                      <w:szCs w:val="22"/>
                    </w:rPr>
                  </w:pPr>
                  <w:r w:rsidRPr="00D927E4">
                    <w:rPr>
                      <w:color w:val="000000"/>
                      <w:sz w:val="22"/>
                      <w:szCs w:val="22"/>
                    </w:rPr>
                    <w:t xml:space="preserve"> </w:t>
                  </w:r>
                  <w:r w:rsidRPr="00D927E4">
                    <w:rPr>
                      <w:noProof/>
                      <w:sz w:val="22"/>
                      <w:szCs w:val="22"/>
                    </w:rPr>
                    <w:drawing>
                      <wp:inline distT="0" distB="0" distL="0" distR="0" wp14:anchorId="24ECA3E6" wp14:editId="25587B6F">
                        <wp:extent cx="2164466" cy="154605"/>
                        <wp:effectExtent l="0" t="0" r="0" b="0"/>
                        <wp:docPr id="2138677643" name="Рисунок 21386776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211247" cy="157946"/>
                                </a:xfrm>
                                <a:prstGeom prst="rect">
                                  <a:avLst/>
                                </a:prstGeom>
                              </pic:spPr>
                            </pic:pic>
                          </a:graphicData>
                        </a:graphic>
                      </wp:inline>
                    </w:drawing>
                  </w:r>
                  <w:r w:rsidRPr="00D927E4">
                    <w:rPr>
                      <w:color w:val="000000"/>
                      <w:sz w:val="22"/>
                      <w:szCs w:val="22"/>
                    </w:rPr>
                    <w:t xml:space="preserve"> </w:t>
                  </w:r>
                </w:p>
              </w:tc>
              <w:tc>
                <w:tcPr>
                  <w:tcW w:w="236" w:type="dxa"/>
                  <w:vAlign w:val="center"/>
                </w:tcPr>
                <w:p w14:paraId="1BE75364" w14:textId="77777777" w:rsidR="00894ECB" w:rsidRPr="00D927E4" w:rsidRDefault="00894ECB" w:rsidP="00894ECB">
                  <w:pPr>
                    <w:spacing w:after="120"/>
                    <w:jc w:val="both"/>
                    <w:rPr>
                      <w:sz w:val="22"/>
                      <w:szCs w:val="22"/>
                    </w:rPr>
                  </w:pPr>
                  <w:r w:rsidRPr="00D927E4">
                    <w:rPr>
                      <w:color w:val="000000"/>
                      <w:sz w:val="22"/>
                      <w:szCs w:val="22"/>
                    </w:rPr>
                    <w:t>(2)</w:t>
                  </w:r>
                </w:p>
              </w:tc>
            </w:tr>
            <w:tr w:rsidR="00894ECB" w:rsidRPr="00D927E4" w14:paraId="1EF4CC45" w14:textId="77777777" w:rsidTr="00387AD6">
              <w:trPr>
                <w:gridAfter w:val="2"/>
                <w:wAfter w:w="4740" w:type="dxa"/>
                <w:trHeight w:val="120"/>
                <w:tblCellSpacing w:w="0" w:type="auto"/>
              </w:trPr>
              <w:tc>
                <w:tcPr>
                  <w:tcW w:w="321" w:type="dxa"/>
                  <w:vAlign w:val="center"/>
                </w:tcPr>
                <w:p w14:paraId="2F26C27B" w14:textId="77777777" w:rsidR="00894ECB" w:rsidRPr="00D927E4" w:rsidRDefault="00894ECB" w:rsidP="00894ECB">
                  <w:pPr>
                    <w:ind w:left="-72" w:right="-194"/>
                    <w:jc w:val="both"/>
                    <w:rPr>
                      <w:sz w:val="22"/>
                      <w:szCs w:val="22"/>
                    </w:rPr>
                  </w:pPr>
                  <w:r w:rsidRPr="00D927E4">
                    <w:rPr>
                      <w:color w:val="000000"/>
                      <w:sz w:val="22"/>
                      <w:szCs w:val="22"/>
                    </w:rPr>
                    <w:t>де:</w:t>
                  </w:r>
                </w:p>
              </w:tc>
              <w:tc>
                <w:tcPr>
                  <w:tcW w:w="708" w:type="dxa"/>
                  <w:vAlign w:val="center"/>
                </w:tcPr>
                <w:p w14:paraId="7CFFC272" w14:textId="77777777" w:rsidR="00894ECB" w:rsidRPr="00D927E4" w:rsidRDefault="00894ECB" w:rsidP="00894ECB">
                  <w:pPr>
                    <w:ind w:right="-104"/>
                    <w:jc w:val="both"/>
                    <w:rPr>
                      <w:sz w:val="22"/>
                      <w:szCs w:val="22"/>
                    </w:rPr>
                  </w:pPr>
                  <w:proofErr w:type="spellStart"/>
                  <w:r w:rsidRPr="00D927E4">
                    <w:rPr>
                      <w:i/>
                      <w:color w:val="000000"/>
                      <w:sz w:val="22"/>
                      <w:szCs w:val="22"/>
                    </w:rPr>
                    <w:t>P</w:t>
                  </w:r>
                  <w:r w:rsidRPr="00D927E4">
                    <w:rPr>
                      <w:color w:val="000000"/>
                      <w:sz w:val="22"/>
                      <w:szCs w:val="22"/>
                      <w:vertAlign w:val="subscript"/>
                    </w:rPr>
                    <w:t>time</w:t>
                  </w:r>
                  <w:proofErr w:type="spellEnd"/>
                  <w:r w:rsidRPr="00D927E4">
                    <w:rPr>
                      <w:color w:val="000000"/>
                      <w:sz w:val="22"/>
                      <w:szCs w:val="22"/>
                      <w:vertAlign w:val="subscript"/>
                    </w:rPr>
                    <w:t xml:space="preserve"> </w:t>
                  </w:r>
                  <w:proofErr w:type="spellStart"/>
                  <w:r w:rsidRPr="00D927E4">
                    <w:rPr>
                      <w:color w:val="000000"/>
                      <w:sz w:val="22"/>
                      <w:szCs w:val="22"/>
                      <w:vertAlign w:val="subscript"/>
                    </w:rPr>
                    <w:t>adj</w:t>
                  </w:r>
                  <w:proofErr w:type="spellEnd"/>
                </w:p>
              </w:tc>
              <w:tc>
                <w:tcPr>
                  <w:tcW w:w="2835" w:type="dxa"/>
                  <w:vAlign w:val="center"/>
                </w:tcPr>
                <w:p w14:paraId="7AD3807A" w14:textId="77777777" w:rsidR="00894ECB" w:rsidRPr="00D927E4" w:rsidRDefault="00894ECB" w:rsidP="00894ECB">
                  <w:pPr>
                    <w:jc w:val="both"/>
                    <w:rPr>
                      <w:sz w:val="22"/>
                      <w:szCs w:val="22"/>
                    </w:rPr>
                  </w:pPr>
                  <w:r w:rsidRPr="00D927E4">
                    <w:rPr>
                      <w:color w:val="000000"/>
                      <w:sz w:val="22"/>
                      <w:szCs w:val="22"/>
                    </w:rPr>
                    <w:t>- розмір штрафу, скоригований з урахуванням тривалості порушення;</w:t>
                  </w:r>
                </w:p>
              </w:tc>
            </w:tr>
            <w:tr w:rsidR="00894ECB" w:rsidRPr="00D927E4" w14:paraId="15504EC0" w14:textId="77777777" w:rsidTr="00387AD6">
              <w:trPr>
                <w:gridAfter w:val="2"/>
                <w:wAfter w:w="4740" w:type="dxa"/>
                <w:trHeight w:val="120"/>
                <w:tblCellSpacing w:w="0" w:type="auto"/>
              </w:trPr>
              <w:tc>
                <w:tcPr>
                  <w:tcW w:w="321" w:type="dxa"/>
                  <w:vAlign w:val="center"/>
                </w:tcPr>
                <w:p w14:paraId="304D47F6" w14:textId="77777777" w:rsidR="00894ECB" w:rsidRPr="00D927E4" w:rsidRDefault="00894ECB" w:rsidP="00894ECB">
                  <w:pPr>
                    <w:jc w:val="both"/>
                    <w:rPr>
                      <w:sz w:val="22"/>
                      <w:szCs w:val="22"/>
                    </w:rPr>
                  </w:pPr>
                  <w:r w:rsidRPr="00D927E4">
                    <w:rPr>
                      <w:color w:val="000000"/>
                      <w:sz w:val="22"/>
                      <w:szCs w:val="22"/>
                    </w:rPr>
                    <w:t xml:space="preserve"> </w:t>
                  </w:r>
                </w:p>
              </w:tc>
              <w:tc>
                <w:tcPr>
                  <w:tcW w:w="708" w:type="dxa"/>
                  <w:vAlign w:val="center"/>
                </w:tcPr>
                <w:p w14:paraId="1FCE7A7E" w14:textId="77777777" w:rsidR="00894ECB" w:rsidRPr="00D927E4" w:rsidRDefault="00894ECB" w:rsidP="00894ECB">
                  <w:pPr>
                    <w:jc w:val="both"/>
                    <w:rPr>
                      <w:sz w:val="22"/>
                      <w:szCs w:val="22"/>
                    </w:rPr>
                  </w:pPr>
                  <w:proofErr w:type="spellStart"/>
                  <w:r w:rsidRPr="00D927E4">
                    <w:rPr>
                      <w:i/>
                      <w:color w:val="000000"/>
                      <w:sz w:val="22"/>
                      <w:szCs w:val="22"/>
                    </w:rPr>
                    <w:t>P</w:t>
                  </w:r>
                  <w:r w:rsidRPr="00D927E4">
                    <w:rPr>
                      <w:color w:val="000000"/>
                      <w:sz w:val="22"/>
                      <w:szCs w:val="22"/>
                      <w:vertAlign w:val="subscript"/>
                    </w:rPr>
                    <w:t>basic</w:t>
                  </w:r>
                  <w:proofErr w:type="spellEnd"/>
                </w:p>
              </w:tc>
              <w:tc>
                <w:tcPr>
                  <w:tcW w:w="2835" w:type="dxa"/>
                  <w:vAlign w:val="center"/>
                </w:tcPr>
                <w:p w14:paraId="4F3DEA3F" w14:textId="77777777" w:rsidR="00894ECB" w:rsidRPr="00D927E4" w:rsidRDefault="00894ECB" w:rsidP="00894ECB">
                  <w:pPr>
                    <w:jc w:val="both"/>
                    <w:rPr>
                      <w:sz w:val="22"/>
                      <w:szCs w:val="22"/>
                    </w:rPr>
                  </w:pPr>
                  <w:r w:rsidRPr="00D927E4">
                    <w:rPr>
                      <w:color w:val="000000"/>
                      <w:sz w:val="22"/>
                      <w:szCs w:val="22"/>
                    </w:rPr>
                    <w:t>- початковий розмір штрафу, розрахований відповідно до пункту 2.2.4 глави 2.2 цього розділу;</w:t>
                  </w:r>
                </w:p>
              </w:tc>
            </w:tr>
            <w:tr w:rsidR="00894ECB" w:rsidRPr="00D927E4" w14:paraId="6CF87F83" w14:textId="77777777" w:rsidTr="00387AD6">
              <w:trPr>
                <w:gridAfter w:val="2"/>
                <w:wAfter w:w="4740" w:type="dxa"/>
                <w:trHeight w:val="120"/>
                <w:tblCellSpacing w:w="0" w:type="auto"/>
              </w:trPr>
              <w:tc>
                <w:tcPr>
                  <w:tcW w:w="321" w:type="dxa"/>
                  <w:vAlign w:val="center"/>
                </w:tcPr>
                <w:p w14:paraId="44E9E9C0" w14:textId="77777777" w:rsidR="00894ECB" w:rsidRPr="00D927E4" w:rsidRDefault="00894ECB" w:rsidP="00894ECB">
                  <w:pPr>
                    <w:jc w:val="both"/>
                    <w:rPr>
                      <w:sz w:val="22"/>
                      <w:szCs w:val="22"/>
                    </w:rPr>
                  </w:pPr>
                  <w:r w:rsidRPr="00D927E4">
                    <w:rPr>
                      <w:color w:val="000000"/>
                      <w:sz w:val="22"/>
                      <w:szCs w:val="22"/>
                    </w:rPr>
                    <w:t xml:space="preserve"> </w:t>
                  </w:r>
                </w:p>
              </w:tc>
              <w:tc>
                <w:tcPr>
                  <w:tcW w:w="708" w:type="dxa"/>
                  <w:vAlign w:val="center"/>
                </w:tcPr>
                <w:p w14:paraId="5CB947F6" w14:textId="77777777" w:rsidR="00894ECB" w:rsidRPr="00D927E4" w:rsidRDefault="00894ECB" w:rsidP="00894ECB">
                  <w:pPr>
                    <w:jc w:val="both"/>
                    <w:rPr>
                      <w:sz w:val="22"/>
                      <w:szCs w:val="22"/>
                    </w:rPr>
                  </w:pPr>
                  <w:proofErr w:type="spellStart"/>
                  <w:r w:rsidRPr="00D927E4">
                    <w:rPr>
                      <w:i/>
                      <w:color w:val="000000"/>
                      <w:sz w:val="22"/>
                      <w:szCs w:val="22"/>
                    </w:rPr>
                    <w:t>t</w:t>
                  </w:r>
                  <w:r w:rsidRPr="00D927E4">
                    <w:rPr>
                      <w:i/>
                      <w:color w:val="000000"/>
                      <w:sz w:val="22"/>
                      <w:szCs w:val="22"/>
                      <w:vertAlign w:val="subscript"/>
                    </w:rPr>
                    <w:t>c</w:t>
                  </w:r>
                  <w:proofErr w:type="spellEnd"/>
                </w:p>
              </w:tc>
              <w:tc>
                <w:tcPr>
                  <w:tcW w:w="2835" w:type="dxa"/>
                  <w:vAlign w:val="center"/>
                </w:tcPr>
                <w:p w14:paraId="4B0A80B5" w14:textId="77777777" w:rsidR="00894ECB" w:rsidRPr="00D927E4" w:rsidRDefault="00894ECB" w:rsidP="00894ECB">
                  <w:pPr>
                    <w:jc w:val="both"/>
                    <w:rPr>
                      <w:sz w:val="22"/>
                      <w:szCs w:val="22"/>
                    </w:rPr>
                  </w:pPr>
                  <w:r w:rsidRPr="00D927E4">
                    <w:rPr>
                      <w:color w:val="000000"/>
                      <w:sz w:val="22"/>
                      <w:szCs w:val="22"/>
                    </w:rPr>
                    <w:t xml:space="preserve">- коефіцієнт у розмірі </w:t>
                  </w:r>
                  <w:r w:rsidRPr="00D927E4">
                    <w:rPr>
                      <w:bCs/>
                      <w:color w:val="000000"/>
                      <w:sz w:val="22"/>
                      <w:szCs w:val="22"/>
                    </w:rPr>
                    <w:t>0,0055;</w:t>
                  </w:r>
                </w:p>
              </w:tc>
            </w:tr>
            <w:tr w:rsidR="00894ECB" w:rsidRPr="00D927E4" w14:paraId="49049BD5" w14:textId="77777777" w:rsidTr="00387AD6">
              <w:trPr>
                <w:gridAfter w:val="2"/>
                <w:wAfter w:w="4740" w:type="dxa"/>
                <w:trHeight w:val="120"/>
                <w:tblCellSpacing w:w="0" w:type="auto"/>
              </w:trPr>
              <w:tc>
                <w:tcPr>
                  <w:tcW w:w="321" w:type="dxa"/>
                  <w:vAlign w:val="center"/>
                </w:tcPr>
                <w:p w14:paraId="1440A3AD" w14:textId="77777777" w:rsidR="00894ECB" w:rsidRPr="00D927E4" w:rsidRDefault="00894ECB" w:rsidP="00894ECB">
                  <w:pPr>
                    <w:jc w:val="both"/>
                    <w:rPr>
                      <w:sz w:val="22"/>
                      <w:szCs w:val="22"/>
                    </w:rPr>
                  </w:pPr>
                  <w:r w:rsidRPr="00D927E4">
                    <w:rPr>
                      <w:color w:val="000000"/>
                      <w:sz w:val="22"/>
                      <w:szCs w:val="22"/>
                    </w:rPr>
                    <w:t xml:space="preserve"> </w:t>
                  </w:r>
                </w:p>
              </w:tc>
              <w:tc>
                <w:tcPr>
                  <w:tcW w:w="708" w:type="dxa"/>
                  <w:vAlign w:val="center"/>
                </w:tcPr>
                <w:p w14:paraId="0ED3EAA9" w14:textId="77777777" w:rsidR="00894ECB" w:rsidRPr="00D927E4" w:rsidRDefault="00894ECB" w:rsidP="00894ECB">
                  <w:pPr>
                    <w:jc w:val="both"/>
                    <w:rPr>
                      <w:sz w:val="22"/>
                      <w:szCs w:val="22"/>
                    </w:rPr>
                  </w:pPr>
                  <w:r w:rsidRPr="00D927E4">
                    <w:rPr>
                      <w:i/>
                      <w:color w:val="000000"/>
                      <w:sz w:val="22"/>
                      <w:szCs w:val="22"/>
                    </w:rPr>
                    <w:t>n</w:t>
                  </w:r>
                </w:p>
              </w:tc>
              <w:tc>
                <w:tcPr>
                  <w:tcW w:w="2835" w:type="dxa"/>
                  <w:vAlign w:val="center"/>
                </w:tcPr>
                <w:p w14:paraId="72DDFB75" w14:textId="77777777" w:rsidR="00894ECB" w:rsidRPr="00D927E4" w:rsidRDefault="00894ECB" w:rsidP="00894ECB">
                  <w:pPr>
                    <w:jc w:val="both"/>
                    <w:rPr>
                      <w:sz w:val="22"/>
                      <w:szCs w:val="22"/>
                    </w:rPr>
                  </w:pPr>
                  <w:r w:rsidRPr="00D927E4">
                    <w:rPr>
                      <w:color w:val="000000"/>
                      <w:sz w:val="22"/>
                      <w:szCs w:val="22"/>
                    </w:rPr>
                    <w:t>- кількість календарних днів, впродовж яких тривало/триває порушення</w:t>
                  </w:r>
                  <w:r w:rsidRPr="00D927E4">
                    <w:rPr>
                      <w:color w:val="000000"/>
                      <w:sz w:val="22"/>
                      <w:szCs w:val="22"/>
                      <w:lang w:val="ru-RU"/>
                    </w:rPr>
                    <w:t xml:space="preserve"> </w:t>
                  </w:r>
                  <w:r w:rsidRPr="00D927E4">
                    <w:rPr>
                      <w:b/>
                      <w:bCs/>
                      <w:sz w:val="22"/>
                      <w:szCs w:val="22"/>
                    </w:rPr>
                    <w:t>впродовж звітного року.</w:t>
                  </w:r>
                </w:p>
              </w:tc>
            </w:tr>
          </w:tbl>
          <w:p w14:paraId="50DB1C9C" w14:textId="77777777" w:rsidR="00894ECB" w:rsidRPr="00D927E4" w:rsidRDefault="00894ECB" w:rsidP="00894ECB">
            <w:pPr>
              <w:spacing w:after="120"/>
              <w:jc w:val="both"/>
              <w:rPr>
                <w:sz w:val="22"/>
                <w:szCs w:val="22"/>
              </w:rPr>
            </w:pPr>
          </w:p>
          <w:p w14:paraId="00E56B89" w14:textId="77777777" w:rsidR="00894ECB" w:rsidRPr="00D927E4" w:rsidRDefault="00894ECB" w:rsidP="00894ECB">
            <w:pPr>
              <w:spacing w:after="120"/>
              <w:jc w:val="both"/>
              <w:rPr>
                <w:i/>
                <w:sz w:val="22"/>
                <w:szCs w:val="22"/>
              </w:rPr>
            </w:pPr>
            <w:r w:rsidRPr="00D927E4">
              <w:rPr>
                <w:i/>
                <w:sz w:val="22"/>
                <w:szCs w:val="22"/>
              </w:rPr>
              <w:t>ОБГРУНТУВАННЯ:</w:t>
            </w:r>
          </w:p>
          <w:p w14:paraId="7C5B1898" w14:textId="77777777" w:rsidR="00894ECB" w:rsidRPr="00D927E4" w:rsidRDefault="00894ECB" w:rsidP="00894ECB">
            <w:pPr>
              <w:spacing w:after="120"/>
              <w:jc w:val="both"/>
              <w:rPr>
                <w:bCs/>
                <w:sz w:val="22"/>
                <w:szCs w:val="22"/>
              </w:rPr>
            </w:pPr>
            <w:r w:rsidRPr="00D927E4">
              <w:rPr>
                <w:bCs/>
                <w:sz w:val="22"/>
                <w:szCs w:val="22"/>
              </w:rPr>
              <w:t xml:space="preserve">Пропонується уточнення з метою уникнення </w:t>
            </w:r>
            <w:proofErr w:type="spellStart"/>
            <w:r w:rsidRPr="00D927E4">
              <w:rPr>
                <w:bCs/>
                <w:sz w:val="22"/>
                <w:szCs w:val="22"/>
              </w:rPr>
              <w:t>задвоєння</w:t>
            </w:r>
            <w:proofErr w:type="spellEnd"/>
            <w:r w:rsidRPr="00D927E4">
              <w:rPr>
                <w:bCs/>
                <w:sz w:val="22"/>
                <w:szCs w:val="22"/>
              </w:rPr>
              <w:t xml:space="preserve"> нарахування штрафу за триваючий «перехідний» період (з року в рік).</w:t>
            </w:r>
          </w:p>
          <w:p w14:paraId="4DCB7768" w14:textId="77777777" w:rsidR="00894ECB" w:rsidRPr="00D927E4" w:rsidRDefault="00894ECB" w:rsidP="00894ECB">
            <w:pPr>
              <w:spacing w:after="120"/>
              <w:jc w:val="both"/>
              <w:rPr>
                <w:sz w:val="22"/>
                <w:szCs w:val="22"/>
              </w:rPr>
            </w:pPr>
            <w:r w:rsidRPr="00D927E4">
              <w:rPr>
                <w:bCs/>
                <w:sz w:val="22"/>
                <w:szCs w:val="22"/>
              </w:rPr>
              <w:t>Також необхідне уточнення про те, що ці зміни застосовуються виключно до періодів перевірки, які почали свій перебіг після внесення змін у Порядок, з метою недопущення порушення  ст.</w:t>
            </w:r>
            <w:r w:rsidRPr="00D927E4">
              <w:rPr>
                <w:sz w:val="22"/>
                <w:szCs w:val="22"/>
              </w:rPr>
              <w:t> </w:t>
            </w:r>
            <w:r w:rsidRPr="00D927E4">
              <w:rPr>
                <w:bCs/>
                <w:sz w:val="22"/>
                <w:szCs w:val="22"/>
              </w:rPr>
              <w:t>58 Конституції України та дискримінаційного відношення до ліцензіатів. Ліцензіати, відносно яких не діяв мораторій на проведення перевірок, сплатили штраф зі значно нижчим коефіцієнтом.</w:t>
            </w:r>
          </w:p>
        </w:tc>
        <w:tc>
          <w:tcPr>
            <w:tcW w:w="3549" w:type="dxa"/>
          </w:tcPr>
          <w:p w14:paraId="11B09D49" w14:textId="77777777" w:rsidR="008823CC" w:rsidRDefault="008823CC" w:rsidP="008823CC">
            <w:pPr>
              <w:jc w:val="both"/>
              <w:rPr>
                <w:b/>
                <w:sz w:val="22"/>
                <w:szCs w:val="22"/>
                <w:shd w:val="clear" w:color="auto" w:fill="FFFFFF"/>
              </w:rPr>
            </w:pPr>
          </w:p>
          <w:p w14:paraId="3F8EBE74" w14:textId="77777777" w:rsidR="008823CC" w:rsidRDefault="008823CC" w:rsidP="008823CC">
            <w:pPr>
              <w:jc w:val="both"/>
              <w:rPr>
                <w:b/>
                <w:sz w:val="22"/>
                <w:szCs w:val="22"/>
                <w:shd w:val="clear" w:color="auto" w:fill="FFFFFF"/>
              </w:rPr>
            </w:pPr>
          </w:p>
          <w:p w14:paraId="622D462D" w14:textId="77777777" w:rsidR="008823CC" w:rsidRDefault="008823CC" w:rsidP="008823CC">
            <w:pPr>
              <w:jc w:val="both"/>
              <w:rPr>
                <w:b/>
                <w:sz w:val="22"/>
                <w:szCs w:val="22"/>
                <w:shd w:val="clear" w:color="auto" w:fill="FFFFFF"/>
              </w:rPr>
            </w:pPr>
            <w:r>
              <w:rPr>
                <w:b/>
                <w:sz w:val="22"/>
                <w:szCs w:val="22"/>
                <w:shd w:val="clear" w:color="auto" w:fill="FFFFFF"/>
              </w:rPr>
              <w:t>Не враховано (загальна позиція щодо усіх зауважень до цього пункту)</w:t>
            </w:r>
          </w:p>
          <w:p w14:paraId="7DEA049C" w14:textId="77777777" w:rsidR="008823CC" w:rsidRDefault="008823CC" w:rsidP="008823CC">
            <w:pPr>
              <w:jc w:val="both"/>
              <w:rPr>
                <w:b/>
                <w:sz w:val="22"/>
                <w:szCs w:val="22"/>
                <w:shd w:val="clear" w:color="auto" w:fill="FFFFFF"/>
              </w:rPr>
            </w:pPr>
          </w:p>
          <w:p w14:paraId="15BFD3D4" w14:textId="77777777" w:rsidR="00894ECB" w:rsidRDefault="008823CC" w:rsidP="008823CC">
            <w:pPr>
              <w:jc w:val="both"/>
              <w:rPr>
                <w:sz w:val="22"/>
                <w:szCs w:val="22"/>
                <w:shd w:val="clear" w:color="auto" w:fill="FFFFFF"/>
              </w:rPr>
            </w:pPr>
            <w:r>
              <w:rPr>
                <w:sz w:val="22"/>
                <w:szCs w:val="22"/>
                <w:shd w:val="clear" w:color="auto" w:fill="FFFFFF"/>
              </w:rPr>
              <w:t>Оскільки, на практиці, чинні коефіцієнти недостатньо суттєво впливали на кінцевий розмір штрафу.</w:t>
            </w:r>
          </w:p>
          <w:p w14:paraId="7B2E28EE" w14:textId="77777777" w:rsidR="008823CC" w:rsidRDefault="008823CC" w:rsidP="008823CC">
            <w:pPr>
              <w:jc w:val="both"/>
              <w:rPr>
                <w:sz w:val="22"/>
                <w:szCs w:val="22"/>
                <w:shd w:val="clear" w:color="auto" w:fill="FFFFFF"/>
              </w:rPr>
            </w:pPr>
            <w:r w:rsidRPr="008823CC">
              <w:rPr>
                <w:sz w:val="22"/>
                <w:szCs w:val="22"/>
                <w:shd w:val="clear" w:color="auto" w:fill="FFFFFF"/>
              </w:rPr>
              <w:t>Крім того</w:t>
            </w:r>
            <w:r>
              <w:rPr>
                <w:sz w:val="22"/>
                <w:szCs w:val="22"/>
                <w:shd w:val="clear" w:color="auto" w:fill="FFFFFF"/>
              </w:rPr>
              <w:t xml:space="preserve">, відповідно до пункту </w:t>
            </w:r>
            <w:r w:rsidRPr="008823CC">
              <w:rPr>
                <w:sz w:val="22"/>
                <w:szCs w:val="22"/>
                <w:shd w:val="clear" w:color="auto" w:fill="FFFFFF"/>
              </w:rPr>
              <w:t>2.3.3</w:t>
            </w:r>
            <w:r>
              <w:rPr>
                <w:sz w:val="22"/>
                <w:szCs w:val="22"/>
                <w:shd w:val="clear" w:color="auto" w:fill="FFFFFF"/>
              </w:rPr>
              <w:t xml:space="preserve"> Порядку м</w:t>
            </w:r>
            <w:r w:rsidRPr="008823CC">
              <w:rPr>
                <w:sz w:val="22"/>
                <w:szCs w:val="22"/>
                <w:shd w:val="clear" w:color="auto" w:fill="FFFFFF"/>
              </w:rPr>
              <w:t>аксимальний відсоток коригування з урахуванням тривалості порушення не може перевищувати 50 % від початкового розміру штрафу</w:t>
            </w:r>
          </w:p>
          <w:p w14:paraId="34E52627" w14:textId="77777777" w:rsidR="00D72C1F" w:rsidRDefault="00D72C1F" w:rsidP="008823CC">
            <w:pPr>
              <w:jc w:val="both"/>
              <w:rPr>
                <w:sz w:val="22"/>
                <w:szCs w:val="22"/>
                <w:shd w:val="clear" w:color="auto" w:fill="FFFFFF"/>
              </w:rPr>
            </w:pPr>
          </w:p>
          <w:p w14:paraId="55F56B07" w14:textId="77777777" w:rsidR="00D72C1F" w:rsidRDefault="00D72C1F" w:rsidP="008823CC">
            <w:pPr>
              <w:jc w:val="both"/>
              <w:rPr>
                <w:sz w:val="22"/>
                <w:szCs w:val="22"/>
                <w:shd w:val="clear" w:color="auto" w:fill="FFFFFF"/>
              </w:rPr>
            </w:pPr>
          </w:p>
          <w:p w14:paraId="4317C29C" w14:textId="77777777" w:rsidR="00D72C1F" w:rsidRDefault="00D72C1F" w:rsidP="008823CC">
            <w:pPr>
              <w:jc w:val="both"/>
              <w:rPr>
                <w:sz w:val="22"/>
                <w:szCs w:val="22"/>
                <w:shd w:val="clear" w:color="auto" w:fill="FFFFFF"/>
              </w:rPr>
            </w:pPr>
          </w:p>
          <w:p w14:paraId="0191B710" w14:textId="77777777" w:rsidR="00D72C1F" w:rsidRDefault="00D72C1F" w:rsidP="008823CC">
            <w:pPr>
              <w:jc w:val="both"/>
              <w:rPr>
                <w:sz w:val="22"/>
                <w:szCs w:val="22"/>
                <w:shd w:val="clear" w:color="auto" w:fill="FFFFFF"/>
              </w:rPr>
            </w:pPr>
          </w:p>
          <w:p w14:paraId="4E2892DD" w14:textId="77777777" w:rsidR="00D72C1F" w:rsidRDefault="00D72C1F" w:rsidP="008823CC">
            <w:pPr>
              <w:jc w:val="both"/>
              <w:rPr>
                <w:sz w:val="22"/>
                <w:szCs w:val="22"/>
                <w:shd w:val="clear" w:color="auto" w:fill="FFFFFF"/>
              </w:rPr>
            </w:pPr>
          </w:p>
          <w:p w14:paraId="05970F04" w14:textId="77777777" w:rsidR="00D72C1F" w:rsidRDefault="00D72C1F" w:rsidP="008823CC">
            <w:pPr>
              <w:jc w:val="both"/>
              <w:rPr>
                <w:sz w:val="22"/>
                <w:szCs w:val="22"/>
                <w:shd w:val="clear" w:color="auto" w:fill="FFFFFF"/>
              </w:rPr>
            </w:pPr>
          </w:p>
          <w:p w14:paraId="0F27CC85" w14:textId="77777777" w:rsidR="00D72C1F" w:rsidRDefault="00D72C1F" w:rsidP="008823CC">
            <w:pPr>
              <w:jc w:val="both"/>
              <w:rPr>
                <w:sz w:val="22"/>
                <w:szCs w:val="22"/>
                <w:shd w:val="clear" w:color="auto" w:fill="FFFFFF"/>
              </w:rPr>
            </w:pPr>
          </w:p>
          <w:p w14:paraId="04DDC969" w14:textId="77777777" w:rsidR="00D72C1F" w:rsidRDefault="00D72C1F" w:rsidP="008823CC">
            <w:pPr>
              <w:jc w:val="both"/>
              <w:rPr>
                <w:sz w:val="22"/>
                <w:szCs w:val="22"/>
                <w:shd w:val="clear" w:color="auto" w:fill="FFFFFF"/>
              </w:rPr>
            </w:pPr>
          </w:p>
          <w:p w14:paraId="4B84725F" w14:textId="77777777" w:rsidR="00D72C1F" w:rsidRDefault="00D72C1F" w:rsidP="008823CC">
            <w:pPr>
              <w:jc w:val="both"/>
              <w:rPr>
                <w:sz w:val="22"/>
                <w:szCs w:val="22"/>
                <w:shd w:val="clear" w:color="auto" w:fill="FFFFFF"/>
              </w:rPr>
            </w:pPr>
          </w:p>
          <w:p w14:paraId="33248D50" w14:textId="77777777" w:rsidR="00D72C1F" w:rsidRDefault="00D72C1F" w:rsidP="008823CC">
            <w:pPr>
              <w:jc w:val="both"/>
              <w:rPr>
                <w:sz w:val="22"/>
                <w:szCs w:val="22"/>
                <w:shd w:val="clear" w:color="auto" w:fill="FFFFFF"/>
              </w:rPr>
            </w:pPr>
          </w:p>
          <w:p w14:paraId="1C4E17FF" w14:textId="77777777" w:rsidR="00D72C1F" w:rsidRDefault="00D72C1F" w:rsidP="008823CC">
            <w:pPr>
              <w:jc w:val="both"/>
              <w:rPr>
                <w:sz w:val="22"/>
                <w:szCs w:val="22"/>
                <w:shd w:val="clear" w:color="auto" w:fill="FFFFFF"/>
              </w:rPr>
            </w:pPr>
          </w:p>
          <w:p w14:paraId="7AFB549F" w14:textId="77777777" w:rsidR="00D72C1F" w:rsidRDefault="00D72C1F" w:rsidP="008823CC">
            <w:pPr>
              <w:jc w:val="both"/>
              <w:rPr>
                <w:sz w:val="22"/>
                <w:szCs w:val="22"/>
                <w:shd w:val="clear" w:color="auto" w:fill="FFFFFF"/>
              </w:rPr>
            </w:pPr>
          </w:p>
          <w:p w14:paraId="16EA4070" w14:textId="77777777" w:rsidR="00D72C1F" w:rsidRDefault="00D72C1F" w:rsidP="008823CC">
            <w:pPr>
              <w:jc w:val="both"/>
              <w:rPr>
                <w:sz w:val="22"/>
                <w:szCs w:val="22"/>
                <w:shd w:val="clear" w:color="auto" w:fill="FFFFFF"/>
              </w:rPr>
            </w:pPr>
          </w:p>
          <w:p w14:paraId="33B6D916" w14:textId="77777777" w:rsidR="00D72C1F" w:rsidRDefault="00D72C1F" w:rsidP="008823CC">
            <w:pPr>
              <w:jc w:val="both"/>
              <w:rPr>
                <w:sz w:val="22"/>
                <w:szCs w:val="22"/>
                <w:shd w:val="clear" w:color="auto" w:fill="FFFFFF"/>
              </w:rPr>
            </w:pPr>
          </w:p>
          <w:p w14:paraId="08B2F703" w14:textId="77777777" w:rsidR="00D72C1F" w:rsidRDefault="00D72C1F" w:rsidP="008823CC">
            <w:pPr>
              <w:jc w:val="both"/>
              <w:rPr>
                <w:sz w:val="22"/>
                <w:szCs w:val="22"/>
                <w:shd w:val="clear" w:color="auto" w:fill="FFFFFF"/>
              </w:rPr>
            </w:pPr>
          </w:p>
          <w:p w14:paraId="54BAF5A5" w14:textId="77777777" w:rsidR="00D72C1F" w:rsidRDefault="00D72C1F" w:rsidP="008823CC">
            <w:pPr>
              <w:jc w:val="both"/>
              <w:rPr>
                <w:sz w:val="22"/>
                <w:szCs w:val="22"/>
                <w:shd w:val="clear" w:color="auto" w:fill="FFFFFF"/>
              </w:rPr>
            </w:pPr>
          </w:p>
          <w:p w14:paraId="236EA6B1" w14:textId="77777777" w:rsidR="00D72C1F" w:rsidRDefault="00D72C1F" w:rsidP="008823CC">
            <w:pPr>
              <w:jc w:val="both"/>
              <w:rPr>
                <w:sz w:val="22"/>
                <w:szCs w:val="22"/>
                <w:shd w:val="clear" w:color="auto" w:fill="FFFFFF"/>
              </w:rPr>
            </w:pPr>
          </w:p>
          <w:p w14:paraId="66FD8F6B" w14:textId="77777777" w:rsidR="00D72C1F" w:rsidRDefault="00D72C1F" w:rsidP="008823CC">
            <w:pPr>
              <w:jc w:val="both"/>
              <w:rPr>
                <w:sz w:val="22"/>
                <w:szCs w:val="22"/>
                <w:shd w:val="clear" w:color="auto" w:fill="FFFFFF"/>
              </w:rPr>
            </w:pPr>
          </w:p>
          <w:p w14:paraId="2873E1C6" w14:textId="77777777" w:rsidR="00D72C1F" w:rsidRDefault="00D72C1F" w:rsidP="008823CC">
            <w:pPr>
              <w:jc w:val="both"/>
              <w:rPr>
                <w:sz w:val="22"/>
                <w:szCs w:val="22"/>
                <w:shd w:val="clear" w:color="auto" w:fill="FFFFFF"/>
              </w:rPr>
            </w:pPr>
          </w:p>
          <w:p w14:paraId="00A943F9" w14:textId="77777777" w:rsidR="00D72C1F" w:rsidRDefault="00D72C1F" w:rsidP="008823CC">
            <w:pPr>
              <w:jc w:val="both"/>
              <w:rPr>
                <w:sz w:val="22"/>
                <w:szCs w:val="22"/>
                <w:shd w:val="clear" w:color="auto" w:fill="FFFFFF"/>
              </w:rPr>
            </w:pPr>
          </w:p>
          <w:p w14:paraId="78A14F2A" w14:textId="77777777" w:rsidR="00D72C1F" w:rsidRDefault="00D72C1F" w:rsidP="008823CC">
            <w:pPr>
              <w:jc w:val="both"/>
              <w:rPr>
                <w:sz w:val="22"/>
                <w:szCs w:val="22"/>
                <w:shd w:val="clear" w:color="auto" w:fill="FFFFFF"/>
              </w:rPr>
            </w:pPr>
          </w:p>
          <w:p w14:paraId="5F6708CD" w14:textId="77777777" w:rsidR="00D72C1F" w:rsidRDefault="00D72C1F" w:rsidP="008823CC">
            <w:pPr>
              <w:jc w:val="both"/>
              <w:rPr>
                <w:sz w:val="22"/>
                <w:szCs w:val="22"/>
                <w:shd w:val="clear" w:color="auto" w:fill="FFFFFF"/>
              </w:rPr>
            </w:pPr>
          </w:p>
          <w:p w14:paraId="0EC9804F" w14:textId="77777777" w:rsidR="00D72C1F" w:rsidRDefault="00D72C1F" w:rsidP="008823CC">
            <w:pPr>
              <w:jc w:val="both"/>
              <w:rPr>
                <w:sz w:val="22"/>
                <w:szCs w:val="22"/>
                <w:shd w:val="clear" w:color="auto" w:fill="FFFFFF"/>
              </w:rPr>
            </w:pPr>
          </w:p>
          <w:p w14:paraId="634C1663" w14:textId="77777777" w:rsidR="00D72C1F" w:rsidRDefault="00D72C1F" w:rsidP="008823CC">
            <w:pPr>
              <w:jc w:val="both"/>
              <w:rPr>
                <w:sz w:val="22"/>
                <w:szCs w:val="22"/>
                <w:shd w:val="clear" w:color="auto" w:fill="FFFFFF"/>
              </w:rPr>
            </w:pPr>
          </w:p>
          <w:p w14:paraId="7903BCF0" w14:textId="77777777" w:rsidR="00D72C1F" w:rsidRDefault="00D72C1F" w:rsidP="008823CC">
            <w:pPr>
              <w:jc w:val="both"/>
              <w:rPr>
                <w:sz w:val="22"/>
                <w:szCs w:val="22"/>
                <w:shd w:val="clear" w:color="auto" w:fill="FFFFFF"/>
              </w:rPr>
            </w:pPr>
          </w:p>
          <w:p w14:paraId="1F742F63" w14:textId="77777777" w:rsidR="00D72C1F" w:rsidRDefault="00D72C1F" w:rsidP="008823CC">
            <w:pPr>
              <w:jc w:val="both"/>
              <w:rPr>
                <w:sz w:val="22"/>
                <w:szCs w:val="22"/>
                <w:shd w:val="clear" w:color="auto" w:fill="FFFFFF"/>
              </w:rPr>
            </w:pPr>
          </w:p>
          <w:p w14:paraId="474AA788" w14:textId="77777777" w:rsidR="00D72C1F" w:rsidRDefault="00D72C1F" w:rsidP="008823CC">
            <w:pPr>
              <w:jc w:val="both"/>
              <w:rPr>
                <w:sz w:val="22"/>
                <w:szCs w:val="22"/>
                <w:shd w:val="clear" w:color="auto" w:fill="FFFFFF"/>
              </w:rPr>
            </w:pPr>
          </w:p>
          <w:p w14:paraId="1609D996" w14:textId="77777777" w:rsidR="00D72C1F" w:rsidRDefault="00D72C1F" w:rsidP="008823CC">
            <w:pPr>
              <w:jc w:val="both"/>
              <w:rPr>
                <w:sz w:val="22"/>
                <w:szCs w:val="22"/>
                <w:shd w:val="clear" w:color="auto" w:fill="FFFFFF"/>
              </w:rPr>
            </w:pPr>
          </w:p>
          <w:p w14:paraId="12ED066B" w14:textId="77777777" w:rsidR="00D72C1F" w:rsidRDefault="00D72C1F" w:rsidP="008823CC">
            <w:pPr>
              <w:jc w:val="both"/>
              <w:rPr>
                <w:sz w:val="22"/>
                <w:szCs w:val="22"/>
                <w:shd w:val="clear" w:color="auto" w:fill="FFFFFF"/>
              </w:rPr>
            </w:pPr>
          </w:p>
          <w:p w14:paraId="2A1BEFD1" w14:textId="77777777" w:rsidR="00D72C1F" w:rsidRDefault="00D72C1F" w:rsidP="008823CC">
            <w:pPr>
              <w:jc w:val="both"/>
              <w:rPr>
                <w:sz w:val="22"/>
                <w:szCs w:val="22"/>
                <w:shd w:val="clear" w:color="auto" w:fill="FFFFFF"/>
              </w:rPr>
            </w:pPr>
          </w:p>
          <w:p w14:paraId="0CCC0091" w14:textId="77777777" w:rsidR="00D72C1F" w:rsidRDefault="00D72C1F" w:rsidP="008823CC">
            <w:pPr>
              <w:jc w:val="both"/>
              <w:rPr>
                <w:sz w:val="22"/>
                <w:szCs w:val="22"/>
                <w:shd w:val="clear" w:color="auto" w:fill="FFFFFF"/>
              </w:rPr>
            </w:pPr>
          </w:p>
          <w:p w14:paraId="093E73C6" w14:textId="77777777" w:rsidR="00D72C1F" w:rsidRDefault="00D72C1F" w:rsidP="008823CC">
            <w:pPr>
              <w:jc w:val="both"/>
              <w:rPr>
                <w:sz w:val="22"/>
                <w:szCs w:val="22"/>
                <w:shd w:val="clear" w:color="auto" w:fill="FFFFFF"/>
              </w:rPr>
            </w:pPr>
          </w:p>
          <w:p w14:paraId="3BEC3624" w14:textId="77777777" w:rsidR="00D72C1F" w:rsidRDefault="00D72C1F" w:rsidP="008823CC">
            <w:pPr>
              <w:jc w:val="both"/>
              <w:rPr>
                <w:sz w:val="22"/>
                <w:szCs w:val="22"/>
                <w:shd w:val="clear" w:color="auto" w:fill="FFFFFF"/>
              </w:rPr>
            </w:pPr>
          </w:p>
          <w:p w14:paraId="6FE5DA4B" w14:textId="77777777" w:rsidR="00D72C1F" w:rsidRDefault="00D72C1F" w:rsidP="008823CC">
            <w:pPr>
              <w:jc w:val="both"/>
              <w:rPr>
                <w:sz w:val="22"/>
                <w:szCs w:val="22"/>
                <w:shd w:val="clear" w:color="auto" w:fill="FFFFFF"/>
              </w:rPr>
            </w:pPr>
          </w:p>
          <w:p w14:paraId="5FF45991" w14:textId="77777777" w:rsidR="00D72C1F" w:rsidRDefault="00D72C1F" w:rsidP="008823CC">
            <w:pPr>
              <w:jc w:val="both"/>
              <w:rPr>
                <w:sz w:val="22"/>
                <w:szCs w:val="22"/>
                <w:shd w:val="clear" w:color="auto" w:fill="FFFFFF"/>
              </w:rPr>
            </w:pPr>
          </w:p>
          <w:p w14:paraId="3C1D064A" w14:textId="77777777" w:rsidR="00D72C1F" w:rsidRDefault="00D72C1F" w:rsidP="008823CC">
            <w:pPr>
              <w:jc w:val="both"/>
              <w:rPr>
                <w:sz w:val="22"/>
                <w:szCs w:val="22"/>
                <w:shd w:val="clear" w:color="auto" w:fill="FFFFFF"/>
              </w:rPr>
            </w:pPr>
          </w:p>
          <w:p w14:paraId="40870CF7" w14:textId="77777777" w:rsidR="00D72C1F" w:rsidRDefault="00D72C1F" w:rsidP="008823CC">
            <w:pPr>
              <w:jc w:val="both"/>
              <w:rPr>
                <w:sz w:val="22"/>
                <w:szCs w:val="22"/>
                <w:shd w:val="clear" w:color="auto" w:fill="FFFFFF"/>
              </w:rPr>
            </w:pPr>
          </w:p>
          <w:p w14:paraId="18092F88" w14:textId="77777777" w:rsidR="00D72C1F" w:rsidRDefault="00D72C1F" w:rsidP="008823CC">
            <w:pPr>
              <w:jc w:val="both"/>
              <w:rPr>
                <w:sz w:val="22"/>
                <w:szCs w:val="22"/>
                <w:shd w:val="clear" w:color="auto" w:fill="FFFFFF"/>
              </w:rPr>
            </w:pPr>
          </w:p>
          <w:p w14:paraId="3371390B" w14:textId="77777777" w:rsidR="00D72C1F" w:rsidRDefault="00D72C1F" w:rsidP="008823CC">
            <w:pPr>
              <w:jc w:val="both"/>
              <w:rPr>
                <w:sz w:val="22"/>
                <w:szCs w:val="22"/>
                <w:shd w:val="clear" w:color="auto" w:fill="FFFFFF"/>
              </w:rPr>
            </w:pPr>
          </w:p>
          <w:p w14:paraId="19A61D29" w14:textId="77777777" w:rsidR="00D72C1F" w:rsidRDefault="00D72C1F" w:rsidP="008823CC">
            <w:pPr>
              <w:jc w:val="both"/>
              <w:rPr>
                <w:sz w:val="22"/>
                <w:szCs w:val="22"/>
                <w:shd w:val="clear" w:color="auto" w:fill="FFFFFF"/>
              </w:rPr>
            </w:pPr>
          </w:p>
          <w:p w14:paraId="14B97049" w14:textId="77777777" w:rsidR="00D72C1F" w:rsidRDefault="00D72C1F" w:rsidP="008823CC">
            <w:pPr>
              <w:jc w:val="both"/>
              <w:rPr>
                <w:sz w:val="22"/>
                <w:szCs w:val="22"/>
                <w:shd w:val="clear" w:color="auto" w:fill="FFFFFF"/>
              </w:rPr>
            </w:pPr>
          </w:p>
          <w:p w14:paraId="29155173" w14:textId="77777777" w:rsidR="00D72C1F" w:rsidRDefault="00D72C1F" w:rsidP="008823CC">
            <w:pPr>
              <w:jc w:val="both"/>
              <w:rPr>
                <w:sz w:val="22"/>
                <w:szCs w:val="22"/>
                <w:shd w:val="clear" w:color="auto" w:fill="FFFFFF"/>
              </w:rPr>
            </w:pPr>
          </w:p>
          <w:p w14:paraId="31E273B5" w14:textId="77777777" w:rsidR="00D72C1F" w:rsidRDefault="00D72C1F" w:rsidP="008823CC">
            <w:pPr>
              <w:jc w:val="both"/>
              <w:rPr>
                <w:sz w:val="22"/>
                <w:szCs w:val="22"/>
                <w:shd w:val="clear" w:color="auto" w:fill="FFFFFF"/>
              </w:rPr>
            </w:pPr>
          </w:p>
          <w:p w14:paraId="577DB2CE" w14:textId="77777777" w:rsidR="00D72C1F" w:rsidRDefault="00D72C1F" w:rsidP="008823CC">
            <w:pPr>
              <w:jc w:val="both"/>
              <w:rPr>
                <w:sz w:val="22"/>
                <w:szCs w:val="22"/>
                <w:shd w:val="clear" w:color="auto" w:fill="FFFFFF"/>
              </w:rPr>
            </w:pPr>
          </w:p>
          <w:p w14:paraId="0C4170B1" w14:textId="77777777" w:rsidR="00D72C1F" w:rsidRDefault="00D72C1F" w:rsidP="008823CC">
            <w:pPr>
              <w:jc w:val="both"/>
              <w:rPr>
                <w:sz w:val="22"/>
                <w:szCs w:val="22"/>
                <w:shd w:val="clear" w:color="auto" w:fill="FFFFFF"/>
              </w:rPr>
            </w:pPr>
          </w:p>
          <w:p w14:paraId="458CE056" w14:textId="77777777" w:rsidR="00D72C1F" w:rsidRDefault="00D72C1F" w:rsidP="008823CC">
            <w:pPr>
              <w:jc w:val="both"/>
              <w:rPr>
                <w:sz w:val="22"/>
                <w:szCs w:val="22"/>
                <w:shd w:val="clear" w:color="auto" w:fill="FFFFFF"/>
              </w:rPr>
            </w:pPr>
          </w:p>
          <w:p w14:paraId="48871942" w14:textId="77777777" w:rsidR="00D72C1F" w:rsidRDefault="00D72C1F" w:rsidP="008823CC">
            <w:pPr>
              <w:jc w:val="both"/>
              <w:rPr>
                <w:sz w:val="22"/>
                <w:szCs w:val="22"/>
                <w:shd w:val="clear" w:color="auto" w:fill="FFFFFF"/>
              </w:rPr>
            </w:pPr>
          </w:p>
          <w:p w14:paraId="01E0E6E7" w14:textId="77777777" w:rsidR="00D72C1F" w:rsidRDefault="00D72C1F" w:rsidP="008823CC">
            <w:pPr>
              <w:jc w:val="both"/>
              <w:rPr>
                <w:sz w:val="22"/>
                <w:szCs w:val="22"/>
                <w:shd w:val="clear" w:color="auto" w:fill="FFFFFF"/>
              </w:rPr>
            </w:pPr>
          </w:p>
          <w:p w14:paraId="2C06CAF1" w14:textId="77777777" w:rsidR="00D72C1F" w:rsidRDefault="00D72C1F" w:rsidP="008823CC">
            <w:pPr>
              <w:jc w:val="both"/>
              <w:rPr>
                <w:sz w:val="22"/>
                <w:szCs w:val="22"/>
                <w:shd w:val="clear" w:color="auto" w:fill="FFFFFF"/>
              </w:rPr>
            </w:pPr>
          </w:p>
          <w:p w14:paraId="1BA43AAD" w14:textId="77777777" w:rsidR="00D72C1F" w:rsidRDefault="00D72C1F" w:rsidP="008823CC">
            <w:pPr>
              <w:jc w:val="both"/>
              <w:rPr>
                <w:sz w:val="22"/>
                <w:szCs w:val="22"/>
                <w:shd w:val="clear" w:color="auto" w:fill="FFFFFF"/>
              </w:rPr>
            </w:pPr>
          </w:p>
          <w:p w14:paraId="066BAF08" w14:textId="77777777" w:rsidR="00D72C1F" w:rsidRDefault="00D72C1F" w:rsidP="008823CC">
            <w:pPr>
              <w:jc w:val="both"/>
              <w:rPr>
                <w:sz w:val="22"/>
                <w:szCs w:val="22"/>
                <w:shd w:val="clear" w:color="auto" w:fill="FFFFFF"/>
              </w:rPr>
            </w:pPr>
          </w:p>
          <w:p w14:paraId="6C267183" w14:textId="77777777" w:rsidR="00D72C1F" w:rsidRDefault="00D72C1F" w:rsidP="008823CC">
            <w:pPr>
              <w:jc w:val="both"/>
              <w:rPr>
                <w:sz w:val="22"/>
                <w:szCs w:val="22"/>
                <w:shd w:val="clear" w:color="auto" w:fill="FFFFFF"/>
              </w:rPr>
            </w:pPr>
          </w:p>
          <w:p w14:paraId="19DDA3DB" w14:textId="77777777" w:rsidR="00D72C1F" w:rsidRDefault="00D72C1F" w:rsidP="008823CC">
            <w:pPr>
              <w:jc w:val="both"/>
              <w:rPr>
                <w:sz w:val="22"/>
                <w:szCs w:val="22"/>
                <w:shd w:val="clear" w:color="auto" w:fill="FFFFFF"/>
              </w:rPr>
            </w:pPr>
          </w:p>
          <w:p w14:paraId="66E3C65F" w14:textId="77777777" w:rsidR="00D72C1F" w:rsidRDefault="00D72C1F" w:rsidP="008823CC">
            <w:pPr>
              <w:jc w:val="both"/>
              <w:rPr>
                <w:sz w:val="22"/>
                <w:szCs w:val="22"/>
                <w:shd w:val="clear" w:color="auto" w:fill="FFFFFF"/>
              </w:rPr>
            </w:pPr>
          </w:p>
          <w:p w14:paraId="4B3E2518" w14:textId="77777777" w:rsidR="00D72C1F" w:rsidRDefault="00D72C1F" w:rsidP="008823CC">
            <w:pPr>
              <w:jc w:val="both"/>
              <w:rPr>
                <w:sz w:val="22"/>
                <w:szCs w:val="22"/>
                <w:shd w:val="clear" w:color="auto" w:fill="FFFFFF"/>
              </w:rPr>
            </w:pPr>
          </w:p>
          <w:p w14:paraId="2A21E9DA" w14:textId="77777777" w:rsidR="00D72C1F" w:rsidRDefault="00D72C1F" w:rsidP="008823CC">
            <w:pPr>
              <w:jc w:val="both"/>
              <w:rPr>
                <w:sz w:val="22"/>
                <w:szCs w:val="22"/>
                <w:shd w:val="clear" w:color="auto" w:fill="FFFFFF"/>
              </w:rPr>
            </w:pPr>
          </w:p>
          <w:p w14:paraId="72152BC1" w14:textId="77777777" w:rsidR="00D72C1F" w:rsidRDefault="00D72C1F" w:rsidP="008823CC">
            <w:pPr>
              <w:jc w:val="both"/>
              <w:rPr>
                <w:sz w:val="22"/>
                <w:szCs w:val="22"/>
                <w:shd w:val="clear" w:color="auto" w:fill="FFFFFF"/>
              </w:rPr>
            </w:pPr>
          </w:p>
          <w:p w14:paraId="313C89F8" w14:textId="77777777" w:rsidR="00D72C1F" w:rsidRDefault="00D72C1F" w:rsidP="008823CC">
            <w:pPr>
              <w:jc w:val="both"/>
              <w:rPr>
                <w:sz w:val="22"/>
                <w:szCs w:val="22"/>
                <w:shd w:val="clear" w:color="auto" w:fill="FFFFFF"/>
              </w:rPr>
            </w:pPr>
          </w:p>
          <w:p w14:paraId="7A85B67F" w14:textId="77777777" w:rsidR="00D72C1F" w:rsidRDefault="00D72C1F" w:rsidP="008823CC">
            <w:pPr>
              <w:jc w:val="both"/>
              <w:rPr>
                <w:sz w:val="22"/>
                <w:szCs w:val="22"/>
                <w:shd w:val="clear" w:color="auto" w:fill="FFFFFF"/>
              </w:rPr>
            </w:pPr>
          </w:p>
          <w:p w14:paraId="76B72A4F" w14:textId="77777777" w:rsidR="00D72C1F" w:rsidRDefault="00D72C1F" w:rsidP="008823CC">
            <w:pPr>
              <w:jc w:val="both"/>
              <w:rPr>
                <w:sz w:val="22"/>
                <w:szCs w:val="22"/>
                <w:shd w:val="clear" w:color="auto" w:fill="FFFFFF"/>
              </w:rPr>
            </w:pPr>
          </w:p>
          <w:p w14:paraId="6BDF026C" w14:textId="77777777" w:rsidR="00D72C1F" w:rsidRDefault="00D72C1F" w:rsidP="008823CC">
            <w:pPr>
              <w:jc w:val="both"/>
              <w:rPr>
                <w:sz w:val="22"/>
                <w:szCs w:val="22"/>
                <w:shd w:val="clear" w:color="auto" w:fill="FFFFFF"/>
              </w:rPr>
            </w:pPr>
          </w:p>
          <w:p w14:paraId="656CCE76" w14:textId="77777777" w:rsidR="00D72C1F" w:rsidRDefault="00D72C1F" w:rsidP="008823CC">
            <w:pPr>
              <w:jc w:val="both"/>
              <w:rPr>
                <w:sz w:val="22"/>
                <w:szCs w:val="22"/>
                <w:shd w:val="clear" w:color="auto" w:fill="FFFFFF"/>
              </w:rPr>
            </w:pPr>
          </w:p>
          <w:p w14:paraId="1A396DFF" w14:textId="77777777" w:rsidR="00D72C1F" w:rsidRDefault="00D72C1F" w:rsidP="008823CC">
            <w:pPr>
              <w:jc w:val="both"/>
              <w:rPr>
                <w:sz w:val="22"/>
                <w:szCs w:val="22"/>
                <w:shd w:val="clear" w:color="auto" w:fill="FFFFFF"/>
              </w:rPr>
            </w:pPr>
          </w:p>
          <w:p w14:paraId="283D7D0C" w14:textId="77777777" w:rsidR="00D72C1F" w:rsidRDefault="00D72C1F" w:rsidP="008823CC">
            <w:pPr>
              <w:jc w:val="both"/>
              <w:rPr>
                <w:sz w:val="22"/>
                <w:szCs w:val="22"/>
                <w:shd w:val="clear" w:color="auto" w:fill="FFFFFF"/>
              </w:rPr>
            </w:pPr>
          </w:p>
          <w:p w14:paraId="59F2EBAE" w14:textId="77777777" w:rsidR="00D72C1F" w:rsidRDefault="00D72C1F" w:rsidP="008823CC">
            <w:pPr>
              <w:jc w:val="both"/>
              <w:rPr>
                <w:sz w:val="22"/>
                <w:szCs w:val="22"/>
                <w:shd w:val="clear" w:color="auto" w:fill="FFFFFF"/>
              </w:rPr>
            </w:pPr>
          </w:p>
          <w:p w14:paraId="57486680" w14:textId="77777777" w:rsidR="00D72C1F" w:rsidRDefault="00D72C1F" w:rsidP="008823CC">
            <w:pPr>
              <w:jc w:val="both"/>
              <w:rPr>
                <w:sz w:val="22"/>
                <w:szCs w:val="22"/>
                <w:shd w:val="clear" w:color="auto" w:fill="FFFFFF"/>
              </w:rPr>
            </w:pPr>
          </w:p>
          <w:p w14:paraId="0F9112BF" w14:textId="77777777" w:rsidR="00D72C1F" w:rsidRDefault="00D72C1F" w:rsidP="008823CC">
            <w:pPr>
              <w:jc w:val="both"/>
              <w:rPr>
                <w:sz w:val="22"/>
                <w:szCs w:val="22"/>
                <w:shd w:val="clear" w:color="auto" w:fill="FFFFFF"/>
              </w:rPr>
            </w:pPr>
          </w:p>
          <w:p w14:paraId="4B88DF7C" w14:textId="77777777" w:rsidR="00D72C1F" w:rsidRDefault="00D72C1F" w:rsidP="008823CC">
            <w:pPr>
              <w:jc w:val="both"/>
              <w:rPr>
                <w:sz w:val="22"/>
                <w:szCs w:val="22"/>
                <w:shd w:val="clear" w:color="auto" w:fill="FFFFFF"/>
              </w:rPr>
            </w:pPr>
          </w:p>
          <w:p w14:paraId="5CF2776E" w14:textId="77777777" w:rsidR="00D72C1F" w:rsidRDefault="00D72C1F" w:rsidP="008823CC">
            <w:pPr>
              <w:jc w:val="both"/>
              <w:rPr>
                <w:sz w:val="22"/>
                <w:szCs w:val="22"/>
                <w:shd w:val="clear" w:color="auto" w:fill="FFFFFF"/>
              </w:rPr>
            </w:pPr>
          </w:p>
          <w:p w14:paraId="5CDC9991" w14:textId="77777777" w:rsidR="00D72C1F" w:rsidRDefault="00D72C1F" w:rsidP="008823CC">
            <w:pPr>
              <w:jc w:val="both"/>
              <w:rPr>
                <w:sz w:val="22"/>
                <w:szCs w:val="22"/>
                <w:shd w:val="clear" w:color="auto" w:fill="FFFFFF"/>
              </w:rPr>
            </w:pPr>
          </w:p>
          <w:p w14:paraId="15FC2B04" w14:textId="77777777" w:rsidR="00D72C1F" w:rsidRDefault="00D72C1F" w:rsidP="008823CC">
            <w:pPr>
              <w:jc w:val="both"/>
              <w:rPr>
                <w:sz w:val="22"/>
                <w:szCs w:val="22"/>
                <w:shd w:val="clear" w:color="auto" w:fill="FFFFFF"/>
              </w:rPr>
            </w:pPr>
          </w:p>
          <w:p w14:paraId="060AFC0B" w14:textId="77777777" w:rsidR="00D72C1F" w:rsidRDefault="00D72C1F" w:rsidP="008823CC">
            <w:pPr>
              <w:jc w:val="both"/>
              <w:rPr>
                <w:sz w:val="22"/>
                <w:szCs w:val="22"/>
                <w:shd w:val="clear" w:color="auto" w:fill="FFFFFF"/>
              </w:rPr>
            </w:pPr>
          </w:p>
          <w:p w14:paraId="6E73DF53" w14:textId="77777777" w:rsidR="00D72C1F" w:rsidRDefault="00D72C1F" w:rsidP="008823CC">
            <w:pPr>
              <w:jc w:val="both"/>
              <w:rPr>
                <w:sz w:val="22"/>
                <w:szCs w:val="22"/>
                <w:shd w:val="clear" w:color="auto" w:fill="FFFFFF"/>
              </w:rPr>
            </w:pPr>
          </w:p>
          <w:p w14:paraId="6E4B6F3B" w14:textId="77777777" w:rsidR="00D72C1F" w:rsidRDefault="00D72C1F" w:rsidP="008823CC">
            <w:pPr>
              <w:jc w:val="both"/>
              <w:rPr>
                <w:sz w:val="22"/>
                <w:szCs w:val="22"/>
                <w:shd w:val="clear" w:color="auto" w:fill="FFFFFF"/>
              </w:rPr>
            </w:pPr>
          </w:p>
          <w:p w14:paraId="5EF722D8" w14:textId="77777777" w:rsidR="00D72C1F" w:rsidRDefault="00D72C1F" w:rsidP="008823CC">
            <w:pPr>
              <w:jc w:val="both"/>
              <w:rPr>
                <w:sz w:val="22"/>
                <w:szCs w:val="22"/>
                <w:shd w:val="clear" w:color="auto" w:fill="FFFFFF"/>
              </w:rPr>
            </w:pPr>
          </w:p>
          <w:p w14:paraId="4A008E69" w14:textId="77777777" w:rsidR="00D72C1F" w:rsidRDefault="00D72C1F" w:rsidP="008823CC">
            <w:pPr>
              <w:jc w:val="both"/>
              <w:rPr>
                <w:sz w:val="22"/>
                <w:szCs w:val="22"/>
                <w:shd w:val="clear" w:color="auto" w:fill="FFFFFF"/>
              </w:rPr>
            </w:pPr>
          </w:p>
          <w:p w14:paraId="12643919" w14:textId="77777777" w:rsidR="00D72C1F" w:rsidRDefault="00D72C1F" w:rsidP="008823CC">
            <w:pPr>
              <w:jc w:val="both"/>
              <w:rPr>
                <w:sz w:val="22"/>
                <w:szCs w:val="22"/>
                <w:shd w:val="clear" w:color="auto" w:fill="FFFFFF"/>
              </w:rPr>
            </w:pPr>
          </w:p>
          <w:p w14:paraId="29EF3D97" w14:textId="77777777" w:rsidR="00D72C1F" w:rsidRDefault="00D72C1F" w:rsidP="008823CC">
            <w:pPr>
              <w:jc w:val="both"/>
              <w:rPr>
                <w:sz w:val="22"/>
                <w:szCs w:val="22"/>
                <w:shd w:val="clear" w:color="auto" w:fill="FFFFFF"/>
              </w:rPr>
            </w:pPr>
          </w:p>
          <w:p w14:paraId="5A1A8499" w14:textId="77777777" w:rsidR="00D72C1F" w:rsidRDefault="00D72C1F" w:rsidP="008823CC">
            <w:pPr>
              <w:jc w:val="both"/>
              <w:rPr>
                <w:sz w:val="22"/>
                <w:szCs w:val="22"/>
                <w:shd w:val="clear" w:color="auto" w:fill="FFFFFF"/>
              </w:rPr>
            </w:pPr>
          </w:p>
          <w:p w14:paraId="465DCB02" w14:textId="77777777" w:rsidR="00D72C1F" w:rsidRDefault="00D72C1F" w:rsidP="008823CC">
            <w:pPr>
              <w:jc w:val="both"/>
              <w:rPr>
                <w:sz w:val="22"/>
                <w:szCs w:val="22"/>
                <w:shd w:val="clear" w:color="auto" w:fill="FFFFFF"/>
              </w:rPr>
            </w:pPr>
          </w:p>
          <w:p w14:paraId="1741D502" w14:textId="77777777" w:rsidR="00D72C1F" w:rsidRDefault="00D72C1F" w:rsidP="008823CC">
            <w:pPr>
              <w:jc w:val="both"/>
              <w:rPr>
                <w:sz w:val="22"/>
                <w:szCs w:val="22"/>
                <w:shd w:val="clear" w:color="auto" w:fill="FFFFFF"/>
              </w:rPr>
            </w:pPr>
          </w:p>
          <w:p w14:paraId="539579EE" w14:textId="77777777" w:rsidR="00D72C1F" w:rsidRDefault="00D72C1F" w:rsidP="008823CC">
            <w:pPr>
              <w:jc w:val="both"/>
              <w:rPr>
                <w:sz w:val="22"/>
                <w:szCs w:val="22"/>
                <w:shd w:val="clear" w:color="auto" w:fill="FFFFFF"/>
              </w:rPr>
            </w:pPr>
          </w:p>
          <w:p w14:paraId="28736EE3" w14:textId="77777777" w:rsidR="00D72C1F" w:rsidRDefault="00D72C1F" w:rsidP="008823CC">
            <w:pPr>
              <w:jc w:val="both"/>
              <w:rPr>
                <w:sz w:val="22"/>
                <w:szCs w:val="22"/>
                <w:shd w:val="clear" w:color="auto" w:fill="FFFFFF"/>
              </w:rPr>
            </w:pPr>
          </w:p>
          <w:p w14:paraId="6F71C29E" w14:textId="77777777" w:rsidR="00D72C1F" w:rsidRDefault="00D72C1F" w:rsidP="008823CC">
            <w:pPr>
              <w:jc w:val="both"/>
              <w:rPr>
                <w:sz w:val="22"/>
                <w:szCs w:val="22"/>
                <w:shd w:val="clear" w:color="auto" w:fill="FFFFFF"/>
              </w:rPr>
            </w:pPr>
          </w:p>
          <w:p w14:paraId="7A442487" w14:textId="77777777" w:rsidR="00D72C1F" w:rsidRDefault="00D72C1F" w:rsidP="008823CC">
            <w:pPr>
              <w:jc w:val="both"/>
              <w:rPr>
                <w:sz w:val="22"/>
                <w:szCs w:val="22"/>
                <w:shd w:val="clear" w:color="auto" w:fill="FFFFFF"/>
              </w:rPr>
            </w:pPr>
          </w:p>
          <w:p w14:paraId="233A3612" w14:textId="77777777" w:rsidR="00D72C1F" w:rsidRDefault="00D72C1F" w:rsidP="008823CC">
            <w:pPr>
              <w:jc w:val="both"/>
              <w:rPr>
                <w:sz w:val="22"/>
                <w:szCs w:val="22"/>
                <w:shd w:val="clear" w:color="auto" w:fill="FFFFFF"/>
              </w:rPr>
            </w:pPr>
          </w:p>
          <w:p w14:paraId="0B392117" w14:textId="77777777" w:rsidR="00D72C1F" w:rsidRDefault="00D72C1F" w:rsidP="008823CC">
            <w:pPr>
              <w:jc w:val="both"/>
              <w:rPr>
                <w:sz w:val="22"/>
                <w:szCs w:val="22"/>
                <w:shd w:val="clear" w:color="auto" w:fill="FFFFFF"/>
              </w:rPr>
            </w:pPr>
          </w:p>
          <w:p w14:paraId="29B72CF3" w14:textId="77777777" w:rsidR="00D72C1F" w:rsidRDefault="00D72C1F" w:rsidP="008823CC">
            <w:pPr>
              <w:jc w:val="both"/>
              <w:rPr>
                <w:sz w:val="22"/>
                <w:szCs w:val="22"/>
                <w:shd w:val="clear" w:color="auto" w:fill="FFFFFF"/>
              </w:rPr>
            </w:pPr>
          </w:p>
          <w:p w14:paraId="73442597" w14:textId="77777777" w:rsidR="00D72C1F" w:rsidRDefault="00D72C1F" w:rsidP="008823CC">
            <w:pPr>
              <w:jc w:val="both"/>
              <w:rPr>
                <w:sz w:val="22"/>
                <w:szCs w:val="22"/>
                <w:shd w:val="clear" w:color="auto" w:fill="FFFFFF"/>
              </w:rPr>
            </w:pPr>
          </w:p>
          <w:p w14:paraId="1862FE5B" w14:textId="77777777" w:rsidR="00D72C1F" w:rsidRDefault="00D72C1F" w:rsidP="008823CC">
            <w:pPr>
              <w:jc w:val="both"/>
              <w:rPr>
                <w:sz w:val="22"/>
                <w:szCs w:val="22"/>
                <w:shd w:val="clear" w:color="auto" w:fill="FFFFFF"/>
              </w:rPr>
            </w:pPr>
          </w:p>
          <w:p w14:paraId="28C49D23" w14:textId="77777777" w:rsidR="00D72C1F" w:rsidRDefault="00D72C1F" w:rsidP="008823CC">
            <w:pPr>
              <w:jc w:val="both"/>
              <w:rPr>
                <w:sz w:val="22"/>
                <w:szCs w:val="22"/>
                <w:shd w:val="clear" w:color="auto" w:fill="FFFFFF"/>
              </w:rPr>
            </w:pPr>
          </w:p>
          <w:p w14:paraId="19CD0469" w14:textId="77777777" w:rsidR="00D72C1F" w:rsidRDefault="00D72C1F" w:rsidP="008823CC">
            <w:pPr>
              <w:jc w:val="both"/>
              <w:rPr>
                <w:sz w:val="22"/>
                <w:szCs w:val="22"/>
                <w:shd w:val="clear" w:color="auto" w:fill="FFFFFF"/>
              </w:rPr>
            </w:pPr>
          </w:p>
          <w:p w14:paraId="692EE890" w14:textId="77777777" w:rsidR="00D72C1F" w:rsidRDefault="00D72C1F" w:rsidP="008823CC">
            <w:pPr>
              <w:jc w:val="both"/>
              <w:rPr>
                <w:sz w:val="22"/>
                <w:szCs w:val="22"/>
                <w:shd w:val="clear" w:color="auto" w:fill="FFFFFF"/>
              </w:rPr>
            </w:pPr>
          </w:p>
          <w:p w14:paraId="479CD3E6" w14:textId="77777777" w:rsidR="00D72C1F" w:rsidRDefault="00D72C1F" w:rsidP="008823CC">
            <w:pPr>
              <w:jc w:val="both"/>
              <w:rPr>
                <w:sz w:val="22"/>
                <w:szCs w:val="22"/>
                <w:shd w:val="clear" w:color="auto" w:fill="FFFFFF"/>
              </w:rPr>
            </w:pPr>
          </w:p>
          <w:p w14:paraId="6679F47F" w14:textId="77777777" w:rsidR="00D72C1F" w:rsidRDefault="00D72C1F" w:rsidP="008823CC">
            <w:pPr>
              <w:jc w:val="both"/>
              <w:rPr>
                <w:sz w:val="22"/>
                <w:szCs w:val="22"/>
                <w:shd w:val="clear" w:color="auto" w:fill="FFFFFF"/>
              </w:rPr>
            </w:pPr>
          </w:p>
          <w:p w14:paraId="6FA59316" w14:textId="77777777" w:rsidR="00D72C1F" w:rsidRDefault="00D72C1F" w:rsidP="008823CC">
            <w:pPr>
              <w:jc w:val="both"/>
              <w:rPr>
                <w:sz w:val="22"/>
                <w:szCs w:val="22"/>
                <w:shd w:val="clear" w:color="auto" w:fill="FFFFFF"/>
              </w:rPr>
            </w:pPr>
          </w:p>
          <w:p w14:paraId="3E08A2DC" w14:textId="77777777" w:rsidR="00D72C1F" w:rsidRDefault="00D72C1F" w:rsidP="008823CC">
            <w:pPr>
              <w:jc w:val="both"/>
              <w:rPr>
                <w:sz w:val="22"/>
                <w:szCs w:val="22"/>
                <w:shd w:val="clear" w:color="auto" w:fill="FFFFFF"/>
              </w:rPr>
            </w:pPr>
          </w:p>
          <w:p w14:paraId="6C5CB31A" w14:textId="77777777" w:rsidR="00D72C1F" w:rsidRDefault="00D72C1F" w:rsidP="008823CC">
            <w:pPr>
              <w:jc w:val="both"/>
              <w:rPr>
                <w:sz w:val="22"/>
                <w:szCs w:val="22"/>
                <w:shd w:val="clear" w:color="auto" w:fill="FFFFFF"/>
              </w:rPr>
            </w:pPr>
          </w:p>
          <w:p w14:paraId="3B4FDCD7" w14:textId="77777777" w:rsidR="00D72C1F" w:rsidRDefault="00D72C1F" w:rsidP="008823CC">
            <w:pPr>
              <w:jc w:val="both"/>
              <w:rPr>
                <w:sz w:val="22"/>
                <w:szCs w:val="22"/>
                <w:shd w:val="clear" w:color="auto" w:fill="FFFFFF"/>
              </w:rPr>
            </w:pPr>
          </w:p>
          <w:p w14:paraId="01D7E945" w14:textId="77777777" w:rsidR="00D72C1F" w:rsidRDefault="00D72C1F" w:rsidP="008823CC">
            <w:pPr>
              <w:jc w:val="both"/>
              <w:rPr>
                <w:sz w:val="22"/>
                <w:szCs w:val="22"/>
                <w:shd w:val="clear" w:color="auto" w:fill="FFFFFF"/>
              </w:rPr>
            </w:pPr>
          </w:p>
          <w:p w14:paraId="531CA247" w14:textId="77777777" w:rsidR="00D72C1F" w:rsidRDefault="00D72C1F" w:rsidP="008823CC">
            <w:pPr>
              <w:jc w:val="both"/>
              <w:rPr>
                <w:sz w:val="22"/>
                <w:szCs w:val="22"/>
                <w:shd w:val="clear" w:color="auto" w:fill="FFFFFF"/>
              </w:rPr>
            </w:pPr>
          </w:p>
          <w:p w14:paraId="0C8A7010" w14:textId="77777777" w:rsidR="00D72C1F" w:rsidRDefault="00D72C1F" w:rsidP="008823CC">
            <w:pPr>
              <w:jc w:val="both"/>
              <w:rPr>
                <w:sz w:val="22"/>
                <w:szCs w:val="22"/>
                <w:shd w:val="clear" w:color="auto" w:fill="FFFFFF"/>
              </w:rPr>
            </w:pPr>
          </w:p>
          <w:p w14:paraId="35F9E05E" w14:textId="77777777" w:rsidR="00D72C1F" w:rsidRDefault="00D72C1F" w:rsidP="008823CC">
            <w:pPr>
              <w:jc w:val="both"/>
              <w:rPr>
                <w:sz w:val="22"/>
                <w:szCs w:val="22"/>
                <w:shd w:val="clear" w:color="auto" w:fill="FFFFFF"/>
              </w:rPr>
            </w:pPr>
          </w:p>
          <w:p w14:paraId="4E2145B9" w14:textId="77777777" w:rsidR="00D72C1F" w:rsidRDefault="00D72C1F" w:rsidP="008823CC">
            <w:pPr>
              <w:jc w:val="both"/>
              <w:rPr>
                <w:sz w:val="22"/>
                <w:szCs w:val="22"/>
                <w:shd w:val="clear" w:color="auto" w:fill="FFFFFF"/>
              </w:rPr>
            </w:pPr>
          </w:p>
          <w:p w14:paraId="6D7CA04C" w14:textId="77777777" w:rsidR="00D72C1F" w:rsidRDefault="00D72C1F" w:rsidP="008823CC">
            <w:pPr>
              <w:jc w:val="both"/>
              <w:rPr>
                <w:sz w:val="22"/>
                <w:szCs w:val="22"/>
                <w:shd w:val="clear" w:color="auto" w:fill="FFFFFF"/>
              </w:rPr>
            </w:pPr>
          </w:p>
          <w:p w14:paraId="611E787F" w14:textId="77777777" w:rsidR="00D72C1F" w:rsidRDefault="00D72C1F" w:rsidP="008823CC">
            <w:pPr>
              <w:jc w:val="both"/>
              <w:rPr>
                <w:sz w:val="22"/>
                <w:szCs w:val="22"/>
                <w:shd w:val="clear" w:color="auto" w:fill="FFFFFF"/>
              </w:rPr>
            </w:pPr>
          </w:p>
          <w:p w14:paraId="690187C3" w14:textId="77777777" w:rsidR="00D72C1F" w:rsidRDefault="00D72C1F" w:rsidP="008823CC">
            <w:pPr>
              <w:jc w:val="both"/>
              <w:rPr>
                <w:sz w:val="22"/>
                <w:szCs w:val="22"/>
                <w:shd w:val="clear" w:color="auto" w:fill="FFFFFF"/>
              </w:rPr>
            </w:pPr>
          </w:p>
          <w:p w14:paraId="7AC225B1" w14:textId="77777777" w:rsidR="00D72C1F" w:rsidRDefault="00D72C1F" w:rsidP="008823CC">
            <w:pPr>
              <w:jc w:val="both"/>
              <w:rPr>
                <w:sz w:val="22"/>
                <w:szCs w:val="22"/>
                <w:shd w:val="clear" w:color="auto" w:fill="FFFFFF"/>
              </w:rPr>
            </w:pPr>
          </w:p>
          <w:p w14:paraId="052D000D" w14:textId="77777777" w:rsidR="00D72C1F" w:rsidRDefault="00D72C1F" w:rsidP="008823CC">
            <w:pPr>
              <w:jc w:val="both"/>
              <w:rPr>
                <w:sz w:val="22"/>
                <w:szCs w:val="22"/>
                <w:shd w:val="clear" w:color="auto" w:fill="FFFFFF"/>
              </w:rPr>
            </w:pPr>
          </w:p>
          <w:p w14:paraId="2A6792DE" w14:textId="77777777" w:rsidR="00D72C1F" w:rsidRDefault="00D72C1F" w:rsidP="008823CC">
            <w:pPr>
              <w:jc w:val="both"/>
              <w:rPr>
                <w:sz w:val="22"/>
                <w:szCs w:val="22"/>
                <w:shd w:val="clear" w:color="auto" w:fill="FFFFFF"/>
              </w:rPr>
            </w:pPr>
          </w:p>
          <w:p w14:paraId="627A2590" w14:textId="77777777" w:rsidR="00D72C1F" w:rsidRDefault="00D72C1F" w:rsidP="008823CC">
            <w:pPr>
              <w:jc w:val="both"/>
              <w:rPr>
                <w:sz w:val="22"/>
                <w:szCs w:val="22"/>
                <w:shd w:val="clear" w:color="auto" w:fill="FFFFFF"/>
              </w:rPr>
            </w:pPr>
          </w:p>
          <w:p w14:paraId="02FFFA21" w14:textId="77777777" w:rsidR="00D72C1F" w:rsidRDefault="00D72C1F" w:rsidP="008823CC">
            <w:pPr>
              <w:jc w:val="both"/>
              <w:rPr>
                <w:sz w:val="22"/>
                <w:szCs w:val="22"/>
                <w:shd w:val="clear" w:color="auto" w:fill="FFFFFF"/>
              </w:rPr>
            </w:pPr>
          </w:p>
          <w:p w14:paraId="312B7E49" w14:textId="77777777" w:rsidR="00D72C1F" w:rsidRDefault="00D72C1F" w:rsidP="008823CC">
            <w:pPr>
              <w:jc w:val="both"/>
              <w:rPr>
                <w:sz w:val="22"/>
                <w:szCs w:val="22"/>
                <w:shd w:val="clear" w:color="auto" w:fill="FFFFFF"/>
              </w:rPr>
            </w:pPr>
          </w:p>
          <w:p w14:paraId="6C987622" w14:textId="77777777" w:rsidR="00D72C1F" w:rsidRDefault="00D72C1F" w:rsidP="008823CC">
            <w:pPr>
              <w:jc w:val="both"/>
              <w:rPr>
                <w:sz w:val="22"/>
                <w:szCs w:val="22"/>
                <w:shd w:val="clear" w:color="auto" w:fill="FFFFFF"/>
              </w:rPr>
            </w:pPr>
          </w:p>
          <w:p w14:paraId="2FF8EF5D" w14:textId="77777777" w:rsidR="00D72C1F" w:rsidRDefault="00D72C1F" w:rsidP="008823CC">
            <w:pPr>
              <w:jc w:val="both"/>
              <w:rPr>
                <w:sz w:val="22"/>
                <w:szCs w:val="22"/>
                <w:shd w:val="clear" w:color="auto" w:fill="FFFFFF"/>
              </w:rPr>
            </w:pPr>
          </w:p>
          <w:p w14:paraId="7C0383BF" w14:textId="77777777" w:rsidR="00D72C1F" w:rsidRDefault="00D72C1F" w:rsidP="008823CC">
            <w:pPr>
              <w:jc w:val="both"/>
              <w:rPr>
                <w:sz w:val="22"/>
                <w:szCs w:val="22"/>
                <w:shd w:val="clear" w:color="auto" w:fill="FFFFFF"/>
              </w:rPr>
            </w:pPr>
          </w:p>
          <w:p w14:paraId="2DE222BC" w14:textId="77777777" w:rsidR="00D72C1F" w:rsidRDefault="00D72C1F" w:rsidP="008823CC">
            <w:pPr>
              <w:jc w:val="both"/>
              <w:rPr>
                <w:sz w:val="22"/>
                <w:szCs w:val="22"/>
                <w:shd w:val="clear" w:color="auto" w:fill="FFFFFF"/>
              </w:rPr>
            </w:pPr>
          </w:p>
          <w:p w14:paraId="575B52F3" w14:textId="77777777" w:rsidR="00D72C1F" w:rsidRDefault="00D72C1F" w:rsidP="008823CC">
            <w:pPr>
              <w:jc w:val="both"/>
              <w:rPr>
                <w:sz w:val="22"/>
                <w:szCs w:val="22"/>
                <w:shd w:val="clear" w:color="auto" w:fill="FFFFFF"/>
              </w:rPr>
            </w:pPr>
          </w:p>
          <w:p w14:paraId="658A0725" w14:textId="77777777" w:rsidR="00D72C1F" w:rsidRDefault="00D72C1F" w:rsidP="008823CC">
            <w:pPr>
              <w:jc w:val="both"/>
              <w:rPr>
                <w:sz w:val="22"/>
                <w:szCs w:val="22"/>
                <w:shd w:val="clear" w:color="auto" w:fill="FFFFFF"/>
              </w:rPr>
            </w:pPr>
          </w:p>
          <w:p w14:paraId="7B411298" w14:textId="77777777" w:rsidR="00D72C1F" w:rsidRDefault="00D72C1F" w:rsidP="008823CC">
            <w:pPr>
              <w:jc w:val="both"/>
              <w:rPr>
                <w:sz w:val="22"/>
                <w:szCs w:val="22"/>
                <w:shd w:val="clear" w:color="auto" w:fill="FFFFFF"/>
              </w:rPr>
            </w:pPr>
          </w:p>
          <w:p w14:paraId="0A73509A" w14:textId="77777777" w:rsidR="00D72C1F" w:rsidRDefault="00D72C1F" w:rsidP="008823CC">
            <w:pPr>
              <w:jc w:val="both"/>
              <w:rPr>
                <w:sz w:val="22"/>
                <w:szCs w:val="22"/>
                <w:shd w:val="clear" w:color="auto" w:fill="FFFFFF"/>
              </w:rPr>
            </w:pPr>
          </w:p>
          <w:p w14:paraId="04E7CF55" w14:textId="77777777" w:rsidR="00D72C1F" w:rsidRDefault="00D72C1F" w:rsidP="008823CC">
            <w:pPr>
              <w:jc w:val="both"/>
              <w:rPr>
                <w:sz w:val="22"/>
                <w:szCs w:val="22"/>
                <w:shd w:val="clear" w:color="auto" w:fill="FFFFFF"/>
              </w:rPr>
            </w:pPr>
          </w:p>
          <w:p w14:paraId="4C09A9DF" w14:textId="77777777" w:rsidR="00D72C1F" w:rsidRDefault="00D72C1F" w:rsidP="008823CC">
            <w:pPr>
              <w:jc w:val="both"/>
              <w:rPr>
                <w:sz w:val="22"/>
                <w:szCs w:val="22"/>
                <w:shd w:val="clear" w:color="auto" w:fill="FFFFFF"/>
              </w:rPr>
            </w:pPr>
          </w:p>
          <w:p w14:paraId="29C6C07B" w14:textId="77777777" w:rsidR="00D72C1F" w:rsidRDefault="00D72C1F" w:rsidP="008823CC">
            <w:pPr>
              <w:jc w:val="both"/>
              <w:rPr>
                <w:sz w:val="22"/>
                <w:szCs w:val="22"/>
                <w:shd w:val="clear" w:color="auto" w:fill="FFFFFF"/>
              </w:rPr>
            </w:pPr>
          </w:p>
          <w:p w14:paraId="48D2FACF" w14:textId="77777777" w:rsidR="00D72C1F" w:rsidRDefault="00D72C1F" w:rsidP="008823CC">
            <w:pPr>
              <w:jc w:val="both"/>
              <w:rPr>
                <w:sz w:val="22"/>
                <w:szCs w:val="22"/>
                <w:shd w:val="clear" w:color="auto" w:fill="FFFFFF"/>
              </w:rPr>
            </w:pPr>
          </w:p>
          <w:p w14:paraId="60ECC604" w14:textId="77777777" w:rsidR="00D72C1F" w:rsidRDefault="00D72C1F" w:rsidP="008823CC">
            <w:pPr>
              <w:jc w:val="both"/>
              <w:rPr>
                <w:sz w:val="22"/>
                <w:szCs w:val="22"/>
                <w:shd w:val="clear" w:color="auto" w:fill="FFFFFF"/>
              </w:rPr>
            </w:pPr>
          </w:p>
          <w:p w14:paraId="76757A17" w14:textId="77777777" w:rsidR="00D72C1F" w:rsidRDefault="00D72C1F" w:rsidP="008823CC">
            <w:pPr>
              <w:jc w:val="both"/>
              <w:rPr>
                <w:sz w:val="22"/>
                <w:szCs w:val="22"/>
                <w:shd w:val="clear" w:color="auto" w:fill="FFFFFF"/>
              </w:rPr>
            </w:pPr>
          </w:p>
          <w:p w14:paraId="13D9C11D" w14:textId="77777777" w:rsidR="00D72C1F" w:rsidRDefault="00D72C1F" w:rsidP="008823CC">
            <w:pPr>
              <w:jc w:val="both"/>
              <w:rPr>
                <w:sz w:val="22"/>
                <w:szCs w:val="22"/>
                <w:shd w:val="clear" w:color="auto" w:fill="FFFFFF"/>
              </w:rPr>
            </w:pPr>
          </w:p>
          <w:p w14:paraId="23D239A6" w14:textId="77777777" w:rsidR="00D72C1F" w:rsidRDefault="00D72C1F" w:rsidP="008823CC">
            <w:pPr>
              <w:jc w:val="both"/>
              <w:rPr>
                <w:sz w:val="22"/>
                <w:szCs w:val="22"/>
                <w:shd w:val="clear" w:color="auto" w:fill="FFFFFF"/>
              </w:rPr>
            </w:pPr>
          </w:p>
          <w:p w14:paraId="52FA4D0D" w14:textId="77777777" w:rsidR="00D72C1F" w:rsidRDefault="00D72C1F" w:rsidP="008823CC">
            <w:pPr>
              <w:jc w:val="both"/>
              <w:rPr>
                <w:sz w:val="22"/>
                <w:szCs w:val="22"/>
                <w:shd w:val="clear" w:color="auto" w:fill="FFFFFF"/>
              </w:rPr>
            </w:pPr>
          </w:p>
          <w:p w14:paraId="676ACAF4" w14:textId="77777777" w:rsidR="00D72C1F" w:rsidRDefault="00D72C1F" w:rsidP="008823CC">
            <w:pPr>
              <w:jc w:val="both"/>
              <w:rPr>
                <w:sz w:val="22"/>
                <w:szCs w:val="22"/>
                <w:shd w:val="clear" w:color="auto" w:fill="FFFFFF"/>
              </w:rPr>
            </w:pPr>
          </w:p>
          <w:p w14:paraId="06F8EDAD" w14:textId="77777777" w:rsidR="00D72C1F" w:rsidRDefault="00D72C1F" w:rsidP="008823CC">
            <w:pPr>
              <w:jc w:val="both"/>
              <w:rPr>
                <w:sz w:val="22"/>
                <w:szCs w:val="22"/>
                <w:shd w:val="clear" w:color="auto" w:fill="FFFFFF"/>
              </w:rPr>
            </w:pPr>
          </w:p>
          <w:p w14:paraId="16C2C311" w14:textId="77777777" w:rsidR="00D72C1F" w:rsidRDefault="00D72C1F" w:rsidP="008823CC">
            <w:pPr>
              <w:jc w:val="both"/>
              <w:rPr>
                <w:sz w:val="22"/>
                <w:szCs w:val="22"/>
                <w:shd w:val="clear" w:color="auto" w:fill="FFFFFF"/>
              </w:rPr>
            </w:pPr>
          </w:p>
          <w:p w14:paraId="48C22603" w14:textId="77777777" w:rsidR="00D72C1F" w:rsidRDefault="00D72C1F" w:rsidP="008823CC">
            <w:pPr>
              <w:jc w:val="both"/>
              <w:rPr>
                <w:sz w:val="22"/>
                <w:szCs w:val="22"/>
                <w:shd w:val="clear" w:color="auto" w:fill="FFFFFF"/>
              </w:rPr>
            </w:pPr>
          </w:p>
          <w:p w14:paraId="5B391BD4" w14:textId="77777777" w:rsidR="00D72C1F" w:rsidRDefault="00D72C1F" w:rsidP="008823CC">
            <w:pPr>
              <w:jc w:val="both"/>
              <w:rPr>
                <w:sz w:val="22"/>
                <w:szCs w:val="22"/>
                <w:shd w:val="clear" w:color="auto" w:fill="FFFFFF"/>
              </w:rPr>
            </w:pPr>
          </w:p>
          <w:p w14:paraId="38ED6C95" w14:textId="77777777" w:rsidR="00D72C1F" w:rsidRDefault="00D72C1F" w:rsidP="008823CC">
            <w:pPr>
              <w:jc w:val="both"/>
              <w:rPr>
                <w:sz w:val="22"/>
                <w:szCs w:val="22"/>
                <w:shd w:val="clear" w:color="auto" w:fill="FFFFFF"/>
              </w:rPr>
            </w:pPr>
          </w:p>
          <w:p w14:paraId="076B5E6F" w14:textId="77777777" w:rsidR="00D72C1F" w:rsidRDefault="00D72C1F" w:rsidP="008823CC">
            <w:pPr>
              <w:jc w:val="both"/>
              <w:rPr>
                <w:sz w:val="22"/>
                <w:szCs w:val="22"/>
                <w:shd w:val="clear" w:color="auto" w:fill="FFFFFF"/>
              </w:rPr>
            </w:pPr>
          </w:p>
          <w:p w14:paraId="3D1274AF" w14:textId="77777777" w:rsidR="00D72C1F" w:rsidRDefault="00D72C1F" w:rsidP="008823CC">
            <w:pPr>
              <w:jc w:val="both"/>
              <w:rPr>
                <w:sz w:val="22"/>
                <w:szCs w:val="22"/>
                <w:shd w:val="clear" w:color="auto" w:fill="FFFFFF"/>
              </w:rPr>
            </w:pPr>
          </w:p>
          <w:p w14:paraId="0813256F" w14:textId="77777777" w:rsidR="00D72C1F" w:rsidRDefault="00D72C1F" w:rsidP="008823CC">
            <w:pPr>
              <w:jc w:val="both"/>
              <w:rPr>
                <w:sz w:val="22"/>
                <w:szCs w:val="22"/>
                <w:shd w:val="clear" w:color="auto" w:fill="FFFFFF"/>
              </w:rPr>
            </w:pPr>
          </w:p>
          <w:p w14:paraId="618FCE37" w14:textId="77777777" w:rsidR="00D72C1F" w:rsidRDefault="00D72C1F" w:rsidP="008823CC">
            <w:pPr>
              <w:jc w:val="both"/>
              <w:rPr>
                <w:sz w:val="22"/>
                <w:szCs w:val="22"/>
                <w:shd w:val="clear" w:color="auto" w:fill="FFFFFF"/>
              </w:rPr>
            </w:pPr>
          </w:p>
          <w:p w14:paraId="64E70B57" w14:textId="77777777" w:rsidR="00D72C1F" w:rsidRDefault="00D72C1F" w:rsidP="008823CC">
            <w:pPr>
              <w:jc w:val="both"/>
              <w:rPr>
                <w:sz w:val="22"/>
                <w:szCs w:val="22"/>
                <w:shd w:val="clear" w:color="auto" w:fill="FFFFFF"/>
              </w:rPr>
            </w:pPr>
          </w:p>
          <w:p w14:paraId="0EAAF003" w14:textId="77777777" w:rsidR="00D72C1F" w:rsidRDefault="00D72C1F" w:rsidP="008823CC">
            <w:pPr>
              <w:jc w:val="both"/>
              <w:rPr>
                <w:sz w:val="22"/>
                <w:szCs w:val="22"/>
                <w:shd w:val="clear" w:color="auto" w:fill="FFFFFF"/>
              </w:rPr>
            </w:pPr>
          </w:p>
          <w:p w14:paraId="4EC649AD" w14:textId="77777777" w:rsidR="00D72C1F" w:rsidRDefault="00D72C1F" w:rsidP="008823CC">
            <w:pPr>
              <w:jc w:val="both"/>
              <w:rPr>
                <w:sz w:val="22"/>
                <w:szCs w:val="22"/>
                <w:shd w:val="clear" w:color="auto" w:fill="FFFFFF"/>
              </w:rPr>
            </w:pPr>
          </w:p>
          <w:p w14:paraId="28056098" w14:textId="77777777" w:rsidR="00D72C1F" w:rsidRDefault="00D72C1F" w:rsidP="008823CC">
            <w:pPr>
              <w:jc w:val="both"/>
              <w:rPr>
                <w:sz w:val="22"/>
                <w:szCs w:val="22"/>
                <w:shd w:val="clear" w:color="auto" w:fill="FFFFFF"/>
              </w:rPr>
            </w:pPr>
          </w:p>
          <w:p w14:paraId="71576C86" w14:textId="77777777" w:rsidR="00D72C1F" w:rsidRDefault="00D72C1F" w:rsidP="008823CC">
            <w:pPr>
              <w:jc w:val="both"/>
              <w:rPr>
                <w:sz w:val="22"/>
                <w:szCs w:val="22"/>
                <w:shd w:val="clear" w:color="auto" w:fill="FFFFFF"/>
              </w:rPr>
            </w:pPr>
          </w:p>
          <w:p w14:paraId="41EB518E" w14:textId="77777777" w:rsidR="00D72C1F" w:rsidRDefault="00D72C1F" w:rsidP="008823CC">
            <w:pPr>
              <w:jc w:val="both"/>
              <w:rPr>
                <w:sz w:val="22"/>
                <w:szCs w:val="22"/>
                <w:shd w:val="clear" w:color="auto" w:fill="FFFFFF"/>
              </w:rPr>
            </w:pPr>
          </w:p>
          <w:p w14:paraId="7BA49E9B" w14:textId="77777777" w:rsidR="00D72C1F" w:rsidRDefault="00D72C1F" w:rsidP="008823CC">
            <w:pPr>
              <w:jc w:val="both"/>
              <w:rPr>
                <w:sz w:val="22"/>
                <w:szCs w:val="22"/>
                <w:shd w:val="clear" w:color="auto" w:fill="FFFFFF"/>
              </w:rPr>
            </w:pPr>
          </w:p>
          <w:p w14:paraId="7565A155" w14:textId="77777777" w:rsidR="00D72C1F" w:rsidRDefault="00D72C1F" w:rsidP="008823CC">
            <w:pPr>
              <w:jc w:val="both"/>
              <w:rPr>
                <w:sz w:val="22"/>
                <w:szCs w:val="22"/>
                <w:shd w:val="clear" w:color="auto" w:fill="FFFFFF"/>
              </w:rPr>
            </w:pPr>
          </w:p>
          <w:p w14:paraId="56EB31FD" w14:textId="77777777" w:rsidR="00D72C1F" w:rsidRDefault="00D72C1F" w:rsidP="008823CC">
            <w:pPr>
              <w:jc w:val="both"/>
              <w:rPr>
                <w:sz w:val="22"/>
                <w:szCs w:val="22"/>
                <w:shd w:val="clear" w:color="auto" w:fill="FFFFFF"/>
              </w:rPr>
            </w:pPr>
          </w:p>
          <w:p w14:paraId="17E99758" w14:textId="77777777" w:rsidR="00D72C1F" w:rsidRDefault="00D72C1F" w:rsidP="008823CC">
            <w:pPr>
              <w:jc w:val="both"/>
              <w:rPr>
                <w:sz w:val="22"/>
                <w:szCs w:val="22"/>
                <w:shd w:val="clear" w:color="auto" w:fill="FFFFFF"/>
              </w:rPr>
            </w:pPr>
          </w:p>
          <w:p w14:paraId="775FDC0A" w14:textId="77777777" w:rsidR="00D72C1F" w:rsidRDefault="00D72C1F" w:rsidP="008823CC">
            <w:pPr>
              <w:jc w:val="both"/>
              <w:rPr>
                <w:sz w:val="22"/>
                <w:szCs w:val="22"/>
                <w:shd w:val="clear" w:color="auto" w:fill="FFFFFF"/>
              </w:rPr>
            </w:pPr>
          </w:p>
          <w:p w14:paraId="33895A01" w14:textId="77777777" w:rsidR="00D72C1F" w:rsidRDefault="00D72C1F" w:rsidP="008823CC">
            <w:pPr>
              <w:jc w:val="both"/>
              <w:rPr>
                <w:sz w:val="22"/>
                <w:szCs w:val="22"/>
                <w:shd w:val="clear" w:color="auto" w:fill="FFFFFF"/>
              </w:rPr>
            </w:pPr>
          </w:p>
          <w:p w14:paraId="374EA145" w14:textId="77777777" w:rsidR="00D72C1F" w:rsidRDefault="00D72C1F" w:rsidP="008823CC">
            <w:pPr>
              <w:jc w:val="both"/>
              <w:rPr>
                <w:sz w:val="22"/>
                <w:szCs w:val="22"/>
                <w:shd w:val="clear" w:color="auto" w:fill="FFFFFF"/>
              </w:rPr>
            </w:pPr>
          </w:p>
          <w:p w14:paraId="5E8DA3CA" w14:textId="77777777" w:rsidR="00D72C1F" w:rsidRDefault="00D72C1F" w:rsidP="008823CC">
            <w:pPr>
              <w:jc w:val="both"/>
              <w:rPr>
                <w:sz w:val="22"/>
                <w:szCs w:val="22"/>
                <w:shd w:val="clear" w:color="auto" w:fill="FFFFFF"/>
              </w:rPr>
            </w:pPr>
          </w:p>
          <w:p w14:paraId="7AD16069" w14:textId="77777777" w:rsidR="00D72C1F" w:rsidRDefault="00D72C1F" w:rsidP="008823CC">
            <w:pPr>
              <w:jc w:val="both"/>
              <w:rPr>
                <w:sz w:val="22"/>
                <w:szCs w:val="22"/>
                <w:shd w:val="clear" w:color="auto" w:fill="FFFFFF"/>
              </w:rPr>
            </w:pPr>
          </w:p>
          <w:p w14:paraId="4D6C88CA" w14:textId="77777777" w:rsidR="00D72C1F" w:rsidRDefault="00D72C1F" w:rsidP="008823CC">
            <w:pPr>
              <w:jc w:val="both"/>
              <w:rPr>
                <w:sz w:val="22"/>
                <w:szCs w:val="22"/>
                <w:shd w:val="clear" w:color="auto" w:fill="FFFFFF"/>
              </w:rPr>
            </w:pPr>
          </w:p>
          <w:p w14:paraId="57C895E8" w14:textId="77777777" w:rsidR="00D72C1F" w:rsidRDefault="00D72C1F" w:rsidP="008823CC">
            <w:pPr>
              <w:jc w:val="both"/>
              <w:rPr>
                <w:sz w:val="22"/>
                <w:szCs w:val="22"/>
                <w:shd w:val="clear" w:color="auto" w:fill="FFFFFF"/>
              </w:rPr>
            </w:pPr>
          </w:p>
          <w:p w14:paraId="452BCE08" w14:textId="77777777" w:rsidR="00D72C1F" w:rsidRDefault="00D72C1F" w:rsidP="008823CC">
            <w:pPr>
              <w:jc w:val="both"/>
              <w:rPr>
                <w:sz w:val="22"/>
                <w:szCs w:val="22"/>
                <w:shd w:val="clear" w:color="auto" w:fill="FFFFFF"/>
              </w:rPr>
            </w:pPr>
          </w:p>
          <w:p w14:paraId="3C8BE033" w14:textId="77777777" w:rsidR="00D72C1F" w:rsidRDefault="00D72C1F" w:rsidP="008823CC">
            <w:pPr>
              <w:jc w:val="both"/>
              <w:rPr>
                <w:sz w:val="22"/>
                <w:szCs w:val="22"/>
                <w:shd w:val="clear" w:color="auto" w:fill="FFFFFF"/>
              </w:rPr>
            </w:pPr>
          </w:p>
          <w:p w14:paraId="5D24CF74" w14:textId="77777777" w:rsidR="00D72C1F" w:rsidRDefault="00D72C1F" w:rsidP="008823CC">
            <w:pPr>
              <w:jc w:val="both"/>
              <w:rPr>
                <w:sz w:val="22"/>
                <w:szCs w:val="22"/>
                <w:shd w:val="clear" w:color="auto" w:fill="FFFFFF"/>
              </w:rPr>
            </w:pPr>
          </w:p>
          <w:p w14:paraId="6837878E" w14:textId="77777777" w:rsidR="00D72C1F" w:rsidRDefault="00D72C1F" w:rsidP="008823CC">
            <w:pPr>
              <w:jc w:val="both"/>
              <w:rPr>
                <w:sz w:val="22"/>
                <w:szCs w:val="22"/>
                <w:shd w:val="clear" w:color="auto" w:fill="FFFFFF"/>
              </w:rPr>
            </w:pPr>
          </w:p>
          <w:p w14:paraId="35583A70" w14:textId="77777777" w:rsidR="00D72C1F" w:rsidRDefault="00D72C1F" w:rsidP="00D72C1F">
            <w:pPr>
              <w:jc w:val="both"/>
              <w:rPr>
                <w:b/>
                <w:sz w:val="22"/>
                <w:szCs w:val="22"/>
                <w:shd w:val="clear" w:color="auto" w:fill="FFFFFF"/>
              </w:rPr>
            </w:pPr>
            <w:r>
              <w:rPr>
                <w:b/>
                <w:sz w:val="22"/>
                <w:szCs w:val="22"/>
                <w:shd w:val="clear" w:color="auto" w:fill="FFFFFF"/>
              </w:rPr>
              <w:t>Для обговорення</w:t>
            </w:r>
          </w:p>
          <w:p w14:paraId="14C6AB17" w14:textId="77777777" w:rsidR="00D72C1F" w:rsidRDefault="00D72C1F" w:rsidP="00D72C1F">
            <w:pPr>
              <w:jc w:val="both"/>
              <w:rPr>
                <w:b/>
                <w:sz w:val="22"/>
                <w:szCs w:val="22"/>
                <w:shd w:val="clear" w:color="auto" w:fill="FFFFFF"/>
              </w:rPr>
            </w:pPr>
          </w:p>
          <w:p w14:paraId="249E4103" w14:textId="77777777" w:rsidR="00D72C1F" w:rsidRPr="008823CC" w:rsidRDefault="00D72C1F" w:rsidP="007647C1">
            <w:pPr>
              <w:jc w:val="both"/>
              <w:rPr>
                <w:sz w:val="22"/>
                <w:szCs w:val="22"/>
                <w:shd w:val="clear" w:color="auto" w:fill="FFFFFF"/>
              </w:rPr>
            </w:pPr>
            <w:r>
              <w:rPr>
                <w:sz w:val="22"/>
                <w:szCs w:val="22"/>
                <w:shd w:val="clear" w:color="auto" w:fill="FFFFFF"/>
              </w:rPr>
              <w:t>В частині р</w:t>
            </w:r>
            <w:r w:rsidRPr="00264759">
              <w:rPr>
                <w:sz w:val="22"/>
                <w:szCs w:val="22"/>
                <w:shd w:val="clear" w:color="auto" w:fill="FFFFFF"/>
              </w:rPr>
              <w:t>едакці</w:t>
            </w:r>
            <w:r>
              <w:rPr>
                <w:sz w:val="22"/>
                <w:szCs w:val="22"/>
                <w:shd w:val="clear" w:color="auto" w:fill="FFFFFF"/>
              </w:rPr>
              <w:t>ї</w:t>
            </w:r>
            <w:r w:rsidRPr="00264759">
              <w:rPr>
                <w:sz w:val="22"/>
                <w:szCs w:val="22"/>
                <w:shd w:val="clear" w:color="auto" w:fill="FFFFFF"/>
              </w:rPr>
              <w:t xml:space="preserve"> щодо </w:t>
            </w:r>
            <w:r>
              <w:rPr>
                <w:sz w:val="22"/>
                <w:szCs w:val="22"/>
                <w:shd w:val="clear" w:color="auto" w:fill="FFFFFF"/>
              </w:rPr>
              <w:t xml:space="preserve">дії </w:t>
            </w:r>
            <w:r w:rsidRPr="00D72C1F">
              <w:rPr>
                <w:sz w:val="22"/>
                <w:szCs w:val="22"/>
                <w:shd w:val="clear" w:color="auto" w:fill="FFFFFF"/>
              </w:rPr>
              <w:t>впродовж звітного року</w:t>
            </w:r>
          </w:p>
        </w:tc>
      </w:tr>
      <w:tr w:rsidR="00894ECB" w:rsidRPr="00D927E4" w14:paraId="212F5AFB" w14:textId="77777777" w:rsidTr="00894ECB">
        <w:trPr>
          <w:trHeight w:val="595"/>
        </w:trPr>
        <w:tc>
          <w:tcPr>
            <w:tcW w:w="5839" w:type="dxa"/>
          </w:tcPr>
          <w:p w14:paraId="7ACDC0AF" w14:textId="77777777" w:rsidR="00894ECB" w:rsidRPr="00D927E4" w:rsidRDefault="00894ECB" w:rsidP="00894ECB">
            <w:pPr>
              <w:spacing w:after="160" w:line="259" w:lineRule="auto"/>
              <w:ind w:firstLine="306"/>
              <w:jc w:val="both"/>
              <w:rPr>
                <w:rFonts w:eastAsia="Calibri"/>
                <w:sz w:val="22"/>
                <w:szCs w:val="22"/>
                <w:lang w:eastAsia="en-US"/>
              </w:rPr>
            </w:pPr>
            <w:r w:rsidRPr="00D927E4">
              <w:rPr>
                <w:rFonts w:eastAsia="Calibri"/>
                <w:sz w:val="22"/>
                <w:szCs w:val="22"/>
                <w:lang w:eastAsia="en-US"/>
              </w:rPr>
              <w:lastRenderedPageBreak/>
              <w:t xml:space="preserve">2.4.4. Максимальний відсоток коефіцієнта (коригуючого відсотка) за пом'якшуючі обставини вчиненого порушення не може перевищувати </w:t>
            </w:r>
            <w:r w:rsidRPr="00D927E4">
              <w:rPr>
                <w:rFonts w:eastAsia="Calibri"/>
                <w:b/>
                <w:sz w:val="22"/>
                <w:szCs w:val="22"/>
                <w:lang w:eastAsia="en-US"/>
              </w:rPr>
              <w:t>50</w:t>
            </w:r>
            <w:r w:rsidRPr="00D927E4">
              <w:rPr>
                <w:rFonts w:eastAsia="Calibri"/>
                <w:sz w:val="22"/>
                <w:szCs w:val="22"/>
                <w:lang w:eastAsia="en-US"/>
              </w:rPr>
              <w:t xml:space="preserve"> %.</w:t>
            </w:r>
          </w:p>
          <w:p w14:paraId="4266016B" w14:textId="77777777" w:rsidR="00894ECB" w:rsidRPr="00D927E4" w:rsidRDefault="00894ECB" w:rsidP="00894ECB">
            <w:pPr>
              <w:spacing w:after="160" w:line="259" w:lineRule="auto"/>
              <w:ind w:firstLine="306"/>
              <w:jc w:val="both"/>
              <w:rPr>
                <w:rFonts w:eastAsia="Calibri"/>
                <w:b/>
                <w:sz w:val="22"/>
                <w:szCs w:val="22"/>
                <w:lang w:eastAsia="en-US"/>
              </w:rPr>
            </w:pPr>
          </w:p>
        </w:tc>
        <w:tc>
          <w:tcPr>
            <w:tcW w:w="5809" w:type="dxa"/>
            <w:vAlign w:val="center"/>
          </w:tcPr>
          <w:p w14:paraId="5E514BD9" w14:textId="77777777" w:rsidR="00894ECB" w:rsidRPr="00D927E4" w:rsidRDefault="00894ECB" w:rsidP="00894ECB">
            <w:pPr>
              <w:spacing w:after="120"/>
              <w:jc w:val="both"/>
              <w:rPr>
                <w:bCs/>
                <w:i/>
                <w:color w:val="000000"/>
                <w:sz w:val="22"/>
                <w:szCs w:val="22"/>
                <w:lang w:eastAsia="uk-UA"/>
              </w:rPr>
            </w:pPr>
            <w:r w:rsidRPr="00D927E4">
              <w:rPr>
                <w:bCs/>
                <w:i/>
                <w:color w:val="000000"/>
                <w:sz w:val="22"/>
                <w:szCs w:val="22"/>
                <w:lang w:eastAsia="uk-UA"/>
              </w:rPr>
              <w:t>ТОВ «Д.ТРЕЙДІНГ»</w:t>
            </w:r>
          </w:p>
          <w:p w14:paraId="6FD7A5D6" w14:textId="77777777" w:rsidR="00894ECB" w:rsidRPr="00D927E4" w:rsidRDefault="00894ECB" w:rsidP="00894ECB">
            <w:pPr>
              <w:spacing w:after="120"/>
              <w:jc w:val="both"/>
              <w:rPr>
                <w:rFonts w:eastAsia="Calibri"/>
                <w:b/>
                <w:i/>
                <w:iCs/>
                <w:sz w:val="22"/>
                <w:szCs w:val="22"/>
                <w:lang w:eastAsia="en-US"/>
              </w:rPr>
            </w:pPr>
            <w:r w:rsidRPr="00D927E4">
              <w:rPr>
                <w:rFonts w:eastAsia="Calibri"/>
                <w:b/>
                <w:i/>
                <w:iCs/>
                <w:sz w:val="22"/>
                <w:szCs w:val="22"/>
                <w:lang w:eastAsia="en-US"/>
              </w:rPr>
              <w:t>Пропонуємо залишити пункт 2.4.4. в поточній редакції</w:t>
            </w:r>
          </w:p>
          <w:p w14:paraId="3F01F30F" w14:textId="77777777" w:rsidR="00894ECB" w:rsidRPr="00D927E4" w:rsidRDefault="00894ECB" w:rsidP="00894ECB">
            <w:pPr>
              <w:spacing w:after="120"/>
              <w:jc w:val="both"/>
              <w:rPr>
                <w:bCs/>
                <w:color w:val="000000"/>
                <w:sz w:val="22"/>
                <w:szCs w:val="22"/>
                <w:lang w:eastAsia="uk-UA"/>
              </w:rPr>
            </w:pPr>
          </w:p>
          <w:p w14:paraId="48D66B14" w14:textId="77777777" w:rsidR="00894ECB" w:rsidRPr="00D927E4" w:rsidRDefault="00894ECB" w:rsidP="00894ECB">
            <w:pPr>
              <w:spacing w:after="120"/>
              <w:jc w:val="both"/>
              <w:rPr>
                <w:bCs/>
                <w:i/>
                <w:color w:val="000000"/>
                <w:sz w:val="22"/>
                <w:szCs w:val="22"/>
                <w:lang w:eastAsia="uk-UA"/>
              </w:rPr>
            </w:pPr>
            <w:r w:rsidRPr="00D927E4">
              <w:rPr>
                <w:bCs/>
                <w:i/>
                <w:color w:val="000000"/>
                <w:sz w:val="22"/>
                <w:szCs w:val="22"/>
                <w:lang w:eastAsia="uk-UA"/>
              </w:rPr>
              <w:t>ОБГРУНТУВАННЯ:</w:t>
            </w:r>
          </w:p>
          <w:p w14:paraId="64D6B5EE" w14:textId="77777777" w:rsidR="00894ECB" w:rsidRPr="00D927E4" w:rsidRDefault="00894ECB" w:rsidP="00894ECB">
            <w:pPr>
              <w:spacing w:after="120"/>
              <w:jc w:val="both"/>
              <w:rPr>
                <w:rFonts w:eastAsia="Calibri"/>
                <w:color w:val="000000"/>
                <w:sz w:val="22"/>
                <w:szCs w:val="22"/>
                <w:lang w:eastAsia="en-US"/>
              </w:rPr>
            </w:pPr>
            <w:r w:rsidRPr="00D927E4">
              <w:rPr>
                <w:rFonts w:eastAsia="Calibri"/>
                <w:bCs/>
                <w:color w:val="000000"/>
                <w:sz w:val="22"/>
                <w:szCs w:val="22"/>
                <w:lang w:eastAsia="en-US"/>
              </w:rPr>
              <w:t>Зменшення</w:t>
            </w:r>
            <w:r w:rsidRPr="00D927E4">
              <w:rPr>
                <w:rFonts w:eastAsia="Calibri"/>
                <w:b/>
                <w:color w:val="000000"/>
                <w:sz w:val="22"/>
                <w:szCs w:val="22"/>
                <w:lang w:eastAsia="en-US"/>
              </w:rPr>
              <w:t xml:space="preserve"> </w:t>
            </w:r>
            <w:r w:rsidRPr="00D927E4">
              <w:rPr>
                <w:rFonts w:eastAsia="Calibri"/>
                <w:color w:val="000000"/>
                <w:sz w:val="22"/>
                <w:szCs w:val="22"/>
                <w:lang w:eastAsia="en-US"/>
              </w:rPr>
              <w:t>відсоток коефіцієнта (коригуючого відсотка) за пом'якшуючі обставини не сприятиме стимулюванню ліцензіатів до співпраці з регулятором щодо виявлення та припинення порушень.</w:t>
            </w:r>
          </w:p>
          <w:p w14:paraId="1C0E593C" w14:textId="77777777" w:rsidR="00894ECB" w:rsidRPr="00D927E4" w:rsidRDefault="00894ECB" w:rsidP="00894ECB">
            <w:pPr>
              <w:spacing w:after="120"/>
              <w:jc w:val="both"/>
              <w:rPr>
                <w:bCs/>
                <w:color w:val="000000"/>
                <w:sz w:val="22"/>
                <w:szCs w:val="22"/>
                <w:lang w:eastAsia="uk-UA"/>
              </w:rPr>
            </w:pPr>
          </w:p>
          <w:p w14:paraId="6D820A3E" w14:textId="77777777" w:rsidR="00894ECB" w:rsidRPr="00D927E4" w:rsidRDefault="00894ECB" w:rsidP="00894ECB">
            <w:pPr>
              <w:spacing w:after="120"/>
              <w:jc w:val="both"/>
              <w:rPr>
                <w:bCs/>
                <w:i/>
                <w:color w:val="000000"/>
                <w:sz w:val="22"/>
                <w:szCs w:val="22"/>
                <w:lang w:eastAsia="uk-UA"/>
              </w:rPr>
            </w:pPr>
            <w:r w:rsidRPr="00D927E4">
              <w:rPr>
                <w:bCs/>
                <w:i/>
                <w:color w:val="000000"/>
                <w:sz w:val="22"/>
                <w:szCs w:val="22"/>
                <w:lang w:eastAsia="uk-UA"/>
              </w:rPr>
              <w:t>АТ «НАЕК «ЕНЕРГОАТОМ»</w:t>
            </w:r>
          </w:p>
          <w:p w14:paraId="30CFD640" w14:textId="77777777" w:rsidR="00894ECB" w:rsidRPr="00D927E4" w:rsidRDefault="00894ECB" w:rsidP="00894ECB">
            <w:pPr>
              <w:spacing w:after="160" w:line="259" w:lineRule="auto"/>
              <w:ind w:firstLine="306"/>
              <w:jc w:val="both"/>
              <w:rPr>
                <w:rFonts w:eastAsia="Calibri"/>
                <w:sz w:val="22"/>
                <w:szCs w:val="22"/>
                <w:lang w:eastAsia="en-US"/>
              </w:rPr>
            </w:pPr>
            <w:r w:rsidRPr="00D927E4">
              <w:rPr>
                <w:rFonts w:eastAsia="Calibri"/>
                <w:sz w:val="22"/>
                <w:szCs w:val="22"/>
                <w:lang w:eastAsia="en-US"/>
              </w:rPr>
              <w:t xml:space="preserve">2.4.4. Максимальний відсоток коефіцієнта (коригуючого відсотка) за пом'якшуючі обставини вчиненого порушення не може перевищувати </w:t>
            </w:r>
            <w:r w:rsidRPr="00D927E4">
              <w:rPr>
                <w:rFonts w:eastAsia="Calibri"/>
                <w:b/>
                <w:bCs/>
                <w:sz w:val="22"/>
                <w:szCs w:val="22"/>
                <w:lang w:eastAsia="en-US"/>
              </w:rPr>
              <w:t>60 %</w:t>
            </w:r>
            <w:r w:rsidRPr="00D927E4">
              <w:rPr>
                <w:rFonts w:eastAsia="Calibri"/>
                <w:sz w:val="22"/>
                <w:szCs w:val="22"/>
                <w:lang w:eastAsia="en-US"/>
              </w:rPr>
              <w:t>.</w:t>
            </w:r>
          </w:p>
          <w:p w14:paraId="305B141E" w14:textId="77777777" w:rsidR="00894ECB" w:rsidRPr="00D927E4" w:rsidRDefault="00894ECB" w:rsidP="00894ECB">
            <w:pPr>
              <w:spacing w:after="120"/>
              <w:jc w:val="both"/>
              <w:rPr>
                <w:bCs/>
                <w:i/>
                <w:color w:val="000000"/>
                <w:sz w:val="22"/>
                <w:szCs w:val="22"/>
                <w:lang w:eastAsia="uk-UA"/>
              </w:rPr>
            </w:pPr>
            <w:r w:rsidRPr="00D927E4">
              <w:rPr>
                <w:bCs/>
                <w:i/>
                <w:color w:val="000000"/>
                <w:sz w:val="22"/>
                <w:szCs w:val="22"/>
                <w:lang w:eastAsia="uk-UA"/>
              </w:rPr>
              <w:t>ОБГРУНТУВАННЯ:</w:t>
            </w:r>
          </w:p>
          <w:p w14:paraId="311F8596" w14:textId="77777777" w:rsidR="00894ECB" w:rsidRPr="00D927E4" w:rsidRDefault="00894ECB" w:rsidP="00894ECB">
            <w:pPr>
              <w:ind w:firstLine="319"/>
              <w:jc w:val="both"/>
              <w:rPr>
                <w:color w:val="000000" w:themeColor="text1"/>
                <w:sz w:val="22"/>
                <w:szCs w:val="22"/>
              </w:rPr>
            </w:pPr>
            <w:r w:rsidRPr="00D927E4">
              <w:rPr>
                <w:color w:val="000000" w:themeColor="text1"/>
                <w:sz w:val="22"/>
                <w:szCs w:val="22"/>
              </w:rPr>
              <w:t>Пропонуємо залишити положення пунктів у діючій редакції або застосувати коригуючі відсотки, які відповідають сумі максимального значення коефіцієнта за пом’якшуючі обставини та обтяжуючі обставини відповідно.</w:t>
            </w:r>
          </w:p>
          <w:p w14:paraId="2154984C" w14:textId="77777777" w:rsidR="00894ECB" w:rsidRPr="00D927E4" w:rsidRDefault="00894ECB" w:rsidP="00894ECB">
            <w:pPr>
              <w:ind w:firstLine="319"/>
              <w:jc w:val="both"/>
              <w:rPr>
                <w:color w:val="000000" w:themeColor="text1"/>
                <w:sz w:val="22"/>
                <w:szCs w:val="22"/>
              </w:rPr>
            </w:pPr>
            <w:r w:rsidRPr="00D927E4">
              <w:rPr>
                <w:color w:val="000000" w:themeColor="text1"/>
                <w:sz w:val="22"/>
                <w:szCs w:val="22"/>
              </w:rPr>
              <w:t xml:space="preserve">Зазначений підхід дозволить уникнути формального обмеження при коригуванні </w:t>
            </w:r>
            <w:r w:rsidRPr="00D927E4">
              <w:rPr>
                <w:color w:val="000000" w:themeColor="text1"/>
                <w:sz w:val="22"/>
                <w:szCs w:val="22"/>
                <w:shd w:val="clear" w:color="auto" w:fill="FFFFFF"/>
              </w:rPr>
              <w:t>відсотків для пом’якшуючих та обтяжуючих обставин, що визначаються для кожного окремого порушення в кожному конкретному випадку, залежно від наявності/відсутності відповідних обставин</w:t>
            </w:r>
            <w:r w:rsidRPr="00D927E4">
              <w:rPr>
                <w:color w:val="000000" w:themeColor="text1"/>
                <w:sz w:val="22"/>
                <w:szCs w:val="22"/>
              </w:rPr>
              <w:t xml:space="preserve">. </w:t>
            </w:r>
          </w:p>
          <w:p w14:paraId="4563560E" w14:textId="77777777" w:rsidR="00894ECB" w:rsidRPr="00D927E4" w:rsidRDefault="00894ECB" w:rsidP="00894ECB">
            <w:pPr>
              <w:spacing w:after="120"/>
              <w:jc w:val="both"/>
              <w:rPr>
                <w:bCs/>
                <w:color w:val="000000"/>
                <w:sz w:val="22"/>
                <w:szCs w:val="22"/>
                <w:lang w:eastAsia="uk-UA"/>
              </w:rPr>
            </w:pPr>
            <w:r w:rsidRPr="00D927E4">
              <w:rPr>
                <w:color w:val="000000" w:themeColor="text1"/>
                <w:sz w:val="22"/>
                <w:szCs w:val="22"/>
              </w:rPr>
              <w:t>Відповідає принципу «справедливості» та «об’єктивності» під час прийняття рішень Регулятором, передбачених пунктом 5 частини 1 статті 4 ЗУ «Про НКРЕКП».</w:t>
            </w:r>
          </w:p>
        </w:tc>
        <w:tc>
          <w:tcPr>
            <w:tcW w:w="3549" w:type="dxa"/>
          </w:tcPr>
          <w:p w14:paraId="0EE924A4" w14:textId="77777777" w:rsidR="00894ECB" w:rsidRPr="00D927E4" w:rsidRDefault="00306340" w:rsidP="00894ECB">
            <w:pPr>
              <w:rPr>
                <w:b/>
                <w:sz w:val="22"/>
                <w:szCs w:val="22"/>
                <w:shd w:val="clear" w:color="auto" w:fill="FFFFFF"/>
              </w:rPr>
            </w:pPr>
            <w:r>
              <w:rPr>
                <w:b/>
                <w:sz w:val="22"/>
                <w:szCs w:val="22"/>
                <w:shd w:val="clear" w:color="auto" w:fill="FFFFFF"/>
              </w:rPr>
              <w:t>Для обговорення</w:t>
            </w:r>
          </w:p>
        </w:tc>
      </w:tr>
      <w:tr w:rsidR="00306340" w:rsidRPr="00D927E4" w14:paraId="28AE97B5" w14:textId="77777777" w:rsidTr="00D927E4">
        <w:trPr>
          <w:trHeight w:val="595"/>
        </w:trPr>
        <w:tc>
          <w:tcPr>
            <w:tcW w:w="5839" w:type="dxa"/>
          </w:tcPr>
          <w:p w14:paraId="30C219E3" w14:textId="77777777" w:rsidR="00306340" w:rsidRDefault="00306340" w:rsidP="00306340">
            <w:pPr>
              <w:spacing w:after="160" w:line="259" w:lineRule="auto"/>
              <w:rPr>
                <w:rFonts w:eastAsia="Calibri"/>
                <w:sz w:val="22"/>
                <w:szCs w:val="22"/>
                <w:lang w:eastAsia="en-US"/>
              </w:rPr>
            </w:pPr>
          </w:p>
          <w:p w14:paraId="2167F6FA" w14:textId="77777777" w:rsidR="00306340" w:rsidRPr="00D927E4" w:rsidRDefault="00306340" w:rsidP="00306340">
            <w:pPr>
              <w:spacing w:after="160" w:line="259" w:lineRule="auto"/>
              <w:rPr>
                <w:rFonts w:eastAsia="Calibri"/>
                <w:sz w:val="22"/>
                <w:szCs w:val="22"/>
                <w:lang w:eastAsia="en-US"/>
              </w:rPr>
            </w:pPr>
            <w:r w:rsidRPr="00D927E4">
              <w:rPr>
                <w:rFonts w:eastAsia="Calibri"/>
                <w:sz w:val="22"/>
                <w:szCs w:val="22"/>
                <w:lang w:eastAsia="en-US"/>
              </w:rPr>
              <w:t xml:space="preserve">2.4.5. Максимальний відсоток коефіцієнта (коригуючого відсотка) за обтяжуючі обставини вчиненого порушення не може перевищувати </w:t>
            </w:r>
            <w:r w:rsidRPr="00D927E4">
              <w:rPr>
                <w:rFonts w:eastAsia="Calibri"/>
                <w:b/>
                <w:sz w:val="22"/>
                <w:szCs w:val="22"/>
                <w:lang w:eastAsia="en-US"/>
              </w:rPr>
              <w:t>50</w:t>
            </w:r>
            <w:r w:rsidRPr="00D927E4">
              <w:rPr>
                <w:rFonts w:eastAsia="Calibri"/>
                <w:sz w:val="22"/>
                <w:szCs w:val="22"/>
                <w:lang w:eastAsia="en-US"/>
              </w:rPr>
              <w:t xml:space="preserve"> %.</w:t>
            </w:r>
          </w:p>
          <w:p w14:paraId="2C7AA2AC" w14:textId="77777777" w:rsidR="00306340" w:rsidRPr="004B5D74" w:rsidRDefault="00306340" w:rsidP="00306340">
            <w:pPr>
              <w:spacing w:after="160" w:line="259" w:lineRule="auto"/>
              <w:ind w:firstLine="306"/>
              <w:rPr>
                <w:rFonts w:eastAsia="Calibri"/>
                <w:sz w:val="22"/>
                <w:szCs w:val="22"/>
                <w:lang w:val="ru-RU" w:eastAsia="en-US"/>
              </w:rPr>
            </w:pPr>
          </w:p>
        </w:tc>
        <w:tc>
          <w:tcPr>
            <w:tcW w:w="5809" w:type="dxa"/>
            <w:vAlign w:val="center"/>
          </w:tcPr>
          <w:p w14:paraId="77BF6FC1" w14:textId="77777777" w:rsidR="00306340" w:rsidRPr="00D927E4" w:rsidRDefault="00306340" w:rsidP="00306340">
            <w:pPr>
              <w:spacing w:after="120"/>
              <w:jc w:val="both"/>
              <w:rPr>
                <w:bCs/>
                <w:i/>
                <w:color w:val="000000"/>
                <w:sz w:val="22"/>
                <w:szCs w:val="22"/>
                <w:lang w:eastAsia="uk-UA"/>
              </w:rPr>
            </w:pPr>
            <w:r w:rsidRPr="00D927E4">
              <w:rPr>
                <w:bCs/>
                <w:i/>
                <w:color w:val="000000"/>
                <w:sz w:val="22"/>
                <w:szCs w:val="22"/>
                <w:lang w:eastAsia="uk-UA"/>
              </w:rPr>
              <w:t>АТ «НАЕК «ЕНЕРГОАТОМ»</w:t>
            </w:r>
          </w:p>
          <w:p w14:paraId="062F4610" w14:textId="77777777" w:rsidR="00306340" w:rsidRPr="00D927E4" w:rsidRDefault="00306340" w:rsidP="00306340">
            <w:pPr>
              <w:spacing w:after="120"/>
              <w:jc w:val="both"/>
              <w:rPr>
                <w:rFonts w:eastAsia="Calibri"/>
                <w:sz w:val="22"/>
                <w:szCs w:val="22"/>
                <w:lang w:eastAsia="en-US"/>
              </w:rPr>
            </w:pPr>
            <w:r w:rsidRPr="00D927E4">
              <w:rPr>
                <w:rFonts w:eastAsia="Calibri"/>
                <w:sz w:val="22"/>
                <w:szCs w:val="22"/>
                <w:lang w:eastAsia="en-US"/>
              </w:rPr>
              <w:t xml:space="preserve">2.4.5. Максимальний відсоток коефіцієнта (коригуючого відсотка) за обтяжуючі обставини вчиненого порушення не може перевищувати </w:t>
            </w:r>
            <w:r w:rsidRPr="00D927E4">
              <w:rPr>
                <w:rFonts w:eastAsia="Calibri"/>
                <w:b/>
                <w:bCs/>
                <w:sz w:val="22"/>
                <w:szCs w:val="22"/>
                <w:lang w:eastAsia="en-US"/>
              </w:rPr>
              <w:t>60 %</w:t>
            </w:r>
            <w:r w:rsidRPr="00D927E4">
              <w:rPr>
                <w:rFonts w:eastAsia="Calibri"/>
                <w:sz w:val="22"/>
                <w:szCs w:val="22"/>
                <w:lang w:eastAsia="en-US"/>
              </w:rPr>
              <w:t>.</w:t>
            </w:r>
          </w:p>
          <w:p w14:paraId="5E9F8C88" w14:textId="77777777" w:rsidR="00306340" w:rsidRPr="00D927E4" w:rsidRDefault="00306340" w:rsidP="00306340">
            <w:pPr>
              <w:spacing w:after="120"/>
              <w:jc w:val="both"/>
              <w:rPr>
                <w:bCs/>
                <w:i/>
                <w:color w:val="000000"/>
                <w:sz w:val="22"/>
                <w:szCs w:val="22"/>
                <w:lang w:eastAsia="uk-UA"/>
              </w:rPr>
            </w:pPr>
            <w:r w:rsidRPr="00D927E4">
              <w:rPr>
                <w:bCs/>
                <w:i/>
                <w:color w:val="000000"/>
                <w:sz w:val="22"/>
                <w:szCs w:val="22"/>
                <w:lang w:eastAsia="uk-UA"/>
              </w:rPr>
              <w:t>ОБГРУНТУВАННЯ:</w:t>
            </w:r>
          </w:p>
          <w:p w14:paraId="29DF2A81" w14:textId="77777777" w:rsidR="00306340" w:rsidRPr="00D927E4" w:rsidRDefault="00306340" w:rsidP="00306340">
            <w:pPr>
              <w:ind w:firstLine="319"/>
              <w:jc w:val="both"/>
              <w:rPr>
                <w:color w:val="000000" w:themeColor="text1"/>
                <w:sz w:val="22"/>
                <w:szCs w:val="22"/>
              </w:rPr>
            </w:pPr>
            <w:r w:rsidRPr="00D927E4">
              <w:rPr>
                <w:color w:val="000000" w:themeColor="text1"/>
                <w:sz w:val="22"/>
                <w:szCs w:val="22"/>
              </w:rPr>
              <w:lastRenderedPageBreak/>
              <w:t>Пропонуємо залишити положення пунктів у діючій редакції або застосувати коригуючі відсотки, які відповідають сумі максимального значення коефіцієнта за пом’якшуючі обставини та обтяжуючі обставини відповідно.</w:t>
            </w:r>
          </w:p>
          <w:p w14:paraId="716E5C52" w14:textId="77777777" w:rsidR="00306340" w:rsidRPr="00D927E4" w:rsidRDefault="00306340" w:rsidP="00306340">
            <w:pPr>
              <w:ind w:firstLine="319"/>
              <w:jc w:val="both"/>
              <w:rPr>
                <w:color w:val="000000" w:themeColor="text1"/>
                <w:sz w:val="22"/>
                <w:szCs w:val="22"/>
              </w:rPr>
            </w:pPr>
            <w:r w:rsidRPr="00D927E4">
              <w:rPr>
                <w:color w:val="000000" w:themeColor="text1"/>
                <w:sz w:val="22"/>
                <w:szCs w:val="22"/>
              </w:rPr>
              <w:t xml:space="preserve">Зазначений підхід дозволить уникнути формального обмеження при коригуванні </w:t>
            </w:r>
            <w:r w:rsidRPr="00D927E4">
              <w:rPr>
                <w:color w:val="000000" w:themeColor="text1"/>
                <w:sz w:val="22"/>
                <w:szCs w:val="22"/>
                <w:shd w:val="clear" w:color="auto" w:fill="FFFFFF"/>
              </w:rPr>
              <w:t>відсотків для пом’якшуючих та обтяжуючих обставин, що визначаються для кожного окремого порушення в кожному конкретному випадку, залежно від наявності/відсутності відповідних обставин</w:t>
            </w:r>
            <w:r w:rsidRPr="00D927E4">
              <w:rPr>
                <w:color w:val="000000" w:themeColor="text1"/>
                <w:sz w:val="22"/>
                <w:szCs w:val="22"/>
              </w:rPr>
              <w:t xml:space="preserve">. </w:t>
            </w:r>
          </w:p>
          <w:p w14:paraId="31D89E3E" w14:textId="77777777" w:rsidR="00306340" w:rsidRPr="00D927E4" w:rsidRDefault="00306340" w:rsidP="00306340">
            <w:pPr>
              <w:spacing w:after="120"/>
              <w:jc w:val="both"/>
              <w:rPr>
                <w:bCs/>
                <w:i/>
                <w:color w:val="000000"/>
                <w:sz w:val="22"/>
                <w:szCs w:val="22"/>
                <w:lang w:eastAsia="uk-UA"/>
              </w:rPr>
            </w:pPr>
            <w:r w:rsidRPr="00D927E4">
              <w:rPr>
                <w:color w:val="000000" w:themeColor="text1"/>
                <w:sz w:val="22"/>
                <w:szCs w:val="22"/>
              </w:rPr>
              <w:t>Відповідає принципу «справедливості» та «об’єктивності» під час прийняття рішень Регулятором, передбачених пунктом 5 частини 1 статті 4 ЗУ «Про НКРЕКП».</w:t>
            </w:r>
          </w:p>
        </w:tc>
        <w:tc>
          <w:tcPr>
            <w:tcW w:w="3549" w:type="dxa"/>
          </w:tcPr>
          <w:p w14:paraId="5E3B6C17" w14:textId="77777777" w:rsidR="00306340" w:rsidRPr="00D927E4" w:rsidRDefault="00306340" w:rsidP="00306340">
            <w:pPr>
              <w:rPr>
                <w:b/>
                <w:sz w:val="22"/>
                <w:szCs w:val="22"/>
                <w:shd w:val="clear" w:color="auto" w:fill="FFFFFF"/>
              </w:rPr>
            </w:pPr>
            <w:r>
              <w:rPr>
                <w:b/>
                <w:sz w:val="22"/>
                <w:szCs w:val="22"/>
                <w:shd w:val="clear" w:color="auto" w:fill="FFFFFF"/>
              </w:rPr>
              <w:lastRenderedPageBreak/>
              <w:t>Для обговорення</w:t>
            </w:r>
          </w:p>
        </w:tc>
      </w:tr>
    </w:tbl>
    <w:p w14:paraId="4CFEBD11" w14:textId="77777777" w:rsidR="00A456FF" w:rsidRPr="009345F0" w:rsidRDefault="00A456FF" w:rsidP="005D0529">
      <w:pPr>
        <w:pStyle w:val="pf0"/>
        <w:jc w:val="both"/>
        <w:rPr>
          <w:sz w:val="22"/>
          <w:szCs w:val="22"/>
          <w:lang w:val="uk-UA"/>
        </w:rPr>
      </w:pPr>
      <w:bookmarkStart w:id="2" w:name="n5489"/>
      <w:bookmarkEnd w:id="2"/>
    </w:p>
    <w:sectPr w:rsidR="00A456FF" w:rsidRPr="009345F0" w:rsidSect="00CF133B">
      <w:headerReference w:type="default" r:id="rId10"/>
      <w:pgSz w:w="16840" w:h="11907" w:orient="landscape" w:code="9"/>
      <w:pgMar w:top="709" w:right="851" w:bottom="709" w:left="851" w:header="720" w:footer="533"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951C62" w14:textId="77777777" w:rsidR="00267FD0" w:rsidRDefault="00267FD0">
      <w:r>
        <w:separator/>
      </w:r>
    </w:p>
  </w:endnote>
  <w:endnote w:type="continuationSeparator" w:id="0">
    <w:p w14:paraId="16AD415B" w14:textId="77777777" w:rsidR="00267FD0" w:rsidRDefault="00267F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atha">
    <w:panose1 w:val="02000400000000000000"/>
    <w:charset w:val="00"/>
    <w:family w:val="swiss"/>
    <w:pitch w:val="variable"/>
    <w:sig w:usb0="001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TimesNewRoman">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6C3CFF" w14:textId="77777777" w:rsidR="00267FD0" w:rsidRDefault="00267FD0">
      <w:r>
        <w:separator/>
      </w:r>
    </w:p>
  </w:footnote>
  <w:footnote w:type="continuationSeparator" w:id="0">
    <w:p w14:paraId="41AF58E0" w14:textId="77777777" w:rsidR="00267FD0" w:rsidRDefault="00267F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63982487"/>
      <w:docPartObj>
        <w:docPartGallery w:val="Page Numbers (Top of Page)"/>
        <w:docPartUnique/>
      </w:docPartObj>
    </w:sdtPr>
    <w:sdtEndPr/>
    <w:sdtContent>
      <w:p w14:paraId="682F07F2" w14:textId="77777777" w:rsidR="00713F9D" w:rsidRDefault="00713F9D">
        <w:pPr>
          <w:pStyle w:val="a4"/>
          <w:jc w:val="center"/>
        </w:pPr>
        <w:r>
          <w:fldChar w:fldCharType="begin"/>
        </w:r>
        <w:r>
          <w:instrText>PAGE   \* MERGEFORMAT</w:instrText>
        </w:r>
        <w:r>
          <w:fldChar w:fldCharType="separate"/>
        </w:r>
        <w:r>
          <w:rPr>
            <w:noProof/>
          </w:rPr>
          <w:t>21</w:t>
        </w:r>
        <w:r>
          <w:fldChar w:fldCharType="end"/>
        </w:r>
      </w:p>
    </w:sdtContent>
  </w:sdt>
  <w:p w14:paraId="6F50CC91" w14:textId="77777777" w:rsidR="00713F9D" w:rsidRDefault="00713F9D">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8DA8B4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8E43C74"/>
    <w:multiLevelType w:val="hybridMultilevel"/>
    <w:tmpl w:val="49BE52CA"/>
    <w:lvl w:ilvl="0" w:tplc="BACA71FC">
      <w:start w:val="19"/>
      <w:numFmt w:val="decimal"/>
      <w:lvlText w:val="%1)"/>
      <w:lvlJc w:val="left"/>
      <w:pPr>
        <w:ind w:left="457" w:hanging="360"/>
      </w:pPr>
      <w:rPr>
        <w:rFonts w:hint="default"/>
      </w:rPr>
    </w:lvl>
    <w:lvl w:ilvl="1" w:tplc="04220019" w:tentative="1">
      <w:start w:val="1"/>
      <w:numFmt w:val="lowerLetter"/>
      <w:lvlText w:val="%2."/>
      <w:lvlJc w:val="left"/>
      <w:pPr>
        <w:ind w:left="1177" w:hanging="360"/>
      </w:pPr>
    </w:lvl>
    <w:lvl w:ilvl="2" w:tplc="0422001B" w:tentative="1">
      <w:start w:val="1"/>
      <w:numFmt w:val="lowerRoman"/>
      <w:lvlText w:val="%3."/>
      <w:lvlJc w:val="right"/>
      <w:pPr>
        <w:ind w:left="1897" w:hanging="180"/>
      </w:pPr>
    </w:lvl>
    <w:lvl w:ilvl="3" w:tplc="0422000F" w:tentative="1">
      <w:start w:val="1"/>
      <w:numFmt w:val="decimal"/>
      <w:lvlText w:val="%4."/>
      <w:lvlJc w:val="left"/>
      <w:pPr>
        <w:ind w:left="2617" w:hanging="360"/>
      </w:pPr>
    </w:lvl>
    <w:lvl w:ilvl="4" w:tplc="04220019" w:tentative="1">
      <w:start w:val="1"/>
      <w:numFmt w:val="lowerLetter"/>
      <w:lvlText w:val="%5."/>
      <w:lvlJc w:val="left"/>
      <w:pPr>
        <w:ind w:left="3337" w:hanging="360"/>
      </w:pPr>
    </w:lvl>
    <w:lvl w:ilvl="5" w:tplc="0422001B" w:tentative="1">
      <w:start w:val="1"/>
      <w:numFmt w:val="lowerRoman"/>
      <w:lvlText w:val="%6."/>
      <w:lvlJc w:val="right"/>
      <w:pPr>
        <w:ind w:left="4057" w:hanging="180"/>
      </w:pPr>
    </w:lvl>
    <w:lvl w:ilvl="6" w:tplc="0422000F" w:tentative="1">
      <w:start w:val="1"/>
      <w:numFmt w:val="decimal"/>
      <w:lvlText w:val="%7."/>
      <w:lvlJc w:val="left"/>
      <w:pPr>
        <w:ind w:left="4777" w:hanging="360"/>
      </w:pPr>
    </w:lvl>
    <w:lvl w:ilvl="7" w:tplc="04220019" w:tentative="1">
      <w:start w:val="1"/>
      <w:numFmt w:val="lowerLetter"/>
      <w:lvlText w:val="%8."/>
      <w:lvlJc w:val="left"/>
      <w:pPr>
        <w:ind w:left="5497" w:hanging="360"/>
      </w:pPr>
    </w:lvl>
    <w:lvl w:ilvl="8" w:tplc="0422001B" w:tentative="1">
      <w:start w:val="1"/>
      <w:numFmt w:val="lowerRoman"/>
      <w:lvlText w:val="%9."/>
      <w:lvlJc w:val="right"/>
      <w:pPr>
        <w:ind w:left="6217" w:hanging="180"/>
      </w:pPr>
    </w:lvl>
  </w:abstractNum>
  <w:abstractNum w:abstractNumId="2" w15:restartNumberingAfterBreak="0">
    <w:nsid w:val="0A4115E1"/>
    <w:multiLevelType w:val="hybridMultilevel"/>
    <w:tmpl w:val="F4C6EA42"/>
    <w:lvl w:ilvl="0" w:tplc="04190001">
      <w:start w:val="1"/>
      <w:numFmt w:val="bullet"/>
      <w:lvlText w:val=""/>
      <w:lvlJc w:val="left"/>
      <w:pPr>
        <w:ind w:left="1090" w:hanging="360"/>
      </w:pPr>
      <w:rPr>
        <w:rFonts w:ascii="Symbol" w:hAnsi="Symbol" w:hint="default"/>
      </w:rPr>
    </w:lvl>
    <w:lvl w:ilvl="1" w:tplc="04220003" w:tentative="1">
      <w:start w:val="1"/>
      <w:numFmt w:val="bullet"/>
      <w:lvlText w:val="o"/>
      <w:lvlJc w:val="left"/>
      <w:pPr>
        <w:ind w:left="1810" w:hanging="360"/>
      </w:pPr>
      <w:rPr>
        <w:rFonts w:ascii="Courier New" w:hAnsi="Courier New" w:cs="Courier New" w:hint="default"/>
      </w:rPr>
    </w:lvl>
    <w:lvl w:ilvl="2" w:tplc="04220005" w:tentative="1">
      <w:start w:val="1"/>
      <w:numFmt w:val="bullet"/>
      <w:lvlText w:val=""/>
      <w:lvlJc w:val="left"/>
      <w:pPr>
        <w:ind w:left="2530" w:hanging="360"/>
      </w:pPr>
      <w:rPr>
        <w:rFonts w:ascii="Wingdings" w:hAnsi="Wingdings" w:hint="default"/>
      </w:rPr>
    </w:lvl>
    <w:lvl w:ilvl="3" w:tplc="04220001" w:tentative="1">
      <w:start w:val="1"/>
      <w:numFmt w:val="bullet"/>
      <w:lvlText w:val=""/>
      <w:lvlJc w:val="left"/>
      <w:pPr>
        <w:ind w:left="3250" w:hanging="360"/>
      </w:pPr>
      <w:rPr>
        <w:rFonts w:ascii="Symbol" w:hAnsi="Symbol" w:hint="default"/>
      </w:rPr>
    </w:lvl>
    <w:lvl w:ilvl="4" w:tplc="04220003" w:tentative="1">
      <w:start w:val="1"/>
      <w:numFmt w:val="bullet"/>
      <w:lvlText w:val="o"/>
      <w:lvlJc w:val="left"/>
      <w:pPr>
        <w:ind w:left="3970" w:hanging="360"/>
      </w:pPr>
      <w:rPr>
        <w:rFonts w:ascii="Courier New" w:hAnsi="Courier New" w:cs="Courier New" w:hint="default"/>
      </w:rPr>
    </w:lvl>
    <w:lvl w:ilvl="5" w:tplc="04220005" w:tentative="1">
      <w:start w:val="1"/>
      <w:numFmt w:val="bullet"/>
      <w:lvlText w:val=""/>
      <w:lvlJc w:val="left"/>
      <w:pPr>
        <w:ind w:left="4690" w:hanging="360"/>
      </w:pPr>
      <w:rPr>
        <w:rFonts w:ascii="Wingdings" w:hAnsi="Wingdings" w:hint="default"/>
      </w:rPr>
    </w:lvl>
    <w:lvl w:ilvl="6" w:tplc="04220001" w:tentative="1">
      <w:start w:val="1"/>
      <w:numFmt w:val="bullet"/>
      <w:lvlText w:val=""/>
      <w:lvlJc w:val="left"/>
      <w:pPr>
        <w:ind w:left="5410" w:hanging="360"/>
      </w:pPr>
      <w:rPr>
        <w:rFonts w:ascii="Symbol" w:hAnsi="Symbol" w:hint="default"/>
      </w:rPr>
    </w:lvl>
    <w:lvl w:ilvl="7" w:tplc="04220003" w:tentative="1">
      <w:start w:val="1"/>
      <w:numFmt w:val="bullet"/>
      <w:lvlText w:val="o"/>
      <w:lvlJc w:val="left"/>
      <w:pPr>
        <w:ind w:left="6130" w:hanging="360"/>
      </w:pPr>
      <w:rPr>
        <w:rFonts w:ascii="Courier New" w:hAnsi="Courier New" w:cs="Courier New" w:hint="default"/>
      </w:rPr>
    </w:lvl>
    <w:lvl w:ilvl="8" w:tplc="04220005" w:tentative="1">
      <w:start w:val="1"/>
      <w:numFmt w:val="bullet"/>
      <w:lvlText w:val=""/>
      <w:lvlJc w:val="left"/>
      <w:pPr>
        <w:ind w:left="6850" w:hanging="360"/>
      </w:pPr>
      <w:rPr>
        <w:rFonts w:ascii="Wingdings" w:hAnsi="Wingdings" w:hint="default"/>
      </w:rPr>
    </w:lvl>
  </w:abstractNum>
  <w:abstractNum w:abstractNumId="3" w15:restartNumberingAfterBreak="0">
    <w:nsid w:val="10AF48E8"/>
    <w:multiLevelType w:val="hybridMultilevel"/>
    <w:tmpl w:val="F54AA1E8"/>
    <w:lvl w:ilvl="0" w:tplc="18D4C584">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257E7B"/>
    <w:multiLevelType w:val="hybridMultilevel"/>
    <w:tmpl w:val="ECC62DDC"/>
    <w:lvl w:ilvl="0" w:tplc="F8C8C80C">
      <w:numFmt w:val="bullet"/>
      <w:lvlText w:val="–"/>
      <w:lvlJc w:val="left"/>
      <w:pPr>
        <w:ind w:left="720" w:hanging="360"/>
      </w:pPr>
      <w:rPr>
        <w:rFonts w:ascii="Times New Roman" w:eastAsia="Times New Roman" w:hAnsi="Times New Roman" w:cs="Times New Roman" w:hint="default"/>
        <w:color w:val="00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1C761535"/>
    <w:multiLevelType w:val="multilevel"/>
    <w:tmpl w:val="28549D82"/>
    <w:lvl w:ilvl="0">
      <w:start w:val="1"/>
      <w:numFmt w:val="decimal"/>
      <w:lvlText w:val="%1."/>
      <w:lvlJc w:val="left"/>
      <w:pPr>
        <w:ind w:left="360" w:hanging="360"/>
      </w:pPr>
      <w:rPr>
        <w:rFonts w:hint="default"/>
      </w:rPr>
    </w:lvl>
    <w:lvl w:ilvl="1">
      <w:start w:val="2"/>
      <w:numFmt w:val="decimal"/>
      <w:lvlText w:val="%1.%2."/>
      <w:lvlJc w:val="left"/>
      <w:pPr>
        <w:ind w:left="5181" w:hanging="360"/>
      </w:pPr>
      <w:rPr>
        <w:rFonts w:hint="default"/>
        <w:color w:val="000000" w:themeColor="text1"/>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6" w15:restartNumberingAfterBreak="0">
    <w:nsid w:val="1D9B7492"/>
    <w:multiLevelType w:val="hybridMultilevel"/>
    <w:tmpl w:val="9D649BD4"/>
    <w:lvl w:ilvl="0" w:tplc="94761328">
      <w:start w:val="1"/>
      <w:numFmt w:val="decimal"/>
      <w:lvlText w:val="%1."/>
      <w:lvlJc w:val="left"/>
      <w:pPr>
        <w:ind w:left="794" w:hanging="360"/>
      </w:pPr>
      <w:rPr>
        <w:rFonts w:ascii="Calibri" w:eastAsia="Calibri" w:hAnsi="Calibri" w:cs="Calibri" w:hint="default"/>
        <w:b w:val="0"/>
        <w:bCs w:val="0"/>
        <w:i w:val="0"/>
        <w:iCs w:val="0"/>
        <w:spacing w:val="0"/>
        <w:w w:val="100"/>
        <w:sz w:val="22"/>
        <w:szCs w:val="22"/>
        <w:lang w:val="uk-UA" w:eastAsia="en-US" w:bidi="ar-SA"/>
      </w:rPr>
    </w:lvl>
    <w:lvl w:ilvl="1" w:tplc="574A24C8">
      <w:numFmt w:val="bullet"/>
      <w:lvlText w:val="•"/>
      <w:lvlJc w:val="left"/>
      <w:pPr>
        <w:ind w:left="1343" w:hanging="360"/>
      </w:pPr>
      <w:rPr>
        <w:rFonts w:hint="default"/>
        <w:lang w:val="uk-UA" w:eastAsia="en-US" w:bidi="ar-SA"/>
      </w:rPr>
    </w:lvl>
    <w:lvl w:ilvl="2" w:tplc="62F855B0">
      <w:numFmt w:val="bullet"/>
      <w:lvlText w:val="•"/>
      <w:lvlJc w:val="left"/>
      <w:pPr>
        <w:ind w:left="1886" w:hanging="360"/>
      </w:pPr>
      <w:rPr>
        <w:rFonts w:hint="default"/>
        <w:lang w:val="uk-UA" w:eastAsia="en-US" w:bidi="ar-SA"/>
      </w:rPr>
    </w:lvl>
    <w:lvl w:ilvl="3" w:tplc="BC26B48E">
      <w:numFmt w:val="bullet"/>
      <w:lvlText w:val="•"/>
      <w:lvlJc w:val="left"/>
      <w:pPr>
        <w:ind w:left="2429" w:hanging="360"/>
      </w:pPr>
      <w:rPr>
        <w:rFonts w:hint="default"/>
        <w:lang w:val="uk-UA" w:eastAsia="en-US" w:bidi="ar-SA"/>
      </w:rPr>
    </w:lvl>
    <w:lvl w:ilvl="4" w:tplc="29BEBC8E">
      <w:numFmt w:val="bullet"/>
      <w:lvlText w:val="•"/>
      <w:lvlJc w:val="left"/>
      <w:pPr>
        <w:ind w:left="2972" w:hanging="360"/>
      </w:pPr>
      <w:rPr>
        <w:rFonts w:hint="default"/>
        <w:lang w:val="uk-UA" w:eastAsia="en-US" w:bidi="ar-SA"/>
      </w:rPr>
    </w:lvl>
    <w:lvl w:ilvl="5" w:tplc="1460E902">
      <w:numFmt w:val="bullet"/>
      <w:lvlText w:val="•"/>
      <w:lvlJc w:val="left"/>
      <w:pPr>
        <w:ind w:left="3515" w:hanging="360"/>
      </w:pPr>
      <w:rPr>
        <w:rFonts w:hint="default"/>
        <w:lang w:val="uk-UA" w:eastAsia="en-US" w:bidi="ar-SA"/>
      </w:rPr>
    </w:lvl>
    <w:lvl w:ilvl="6" w:tplc="AA6225C2">
      <w:numFmt w:val="bullet"/>
      <w:lvlText w:val="•"/>
      <w:lvlJc w:val="left"/>
      <w:pPr>
        <w:ind w:left="4058" w:hanging="360"/>
      </w:pPr>
      <w:rPr>
        <w:rFonts w:hint="default"/>
        <w:lang w:val="uk-UA" w:eastAsia="en-US" w:bidi="ar-SA"/>
      </w:rPr>
    </w:lvl>
    <w:lvl w:ilvl="7" w:tplc="D0341110">
      <w:numFmt w:val="bullet"/>
      <w:lvlText w:val="•"/>
      <w:lvlJc w:val="left"/>
      <w:pPr>
        <w:ind w:left="4601" w:hanging="360"/>
      </w:pPr>
      <w:rPr>
        <w:rFonts w:hint="default"/>
        <w:lang w:val="uk-UA" w:eastAsia="en-US" w:bidi="ar-SA"/>
      </w:rPr>
    </w:lvl>
    <w:lvl w:ilvl="8" w:tplc="E5A2F8CA">
      <w:numFmt w:val="bullet"/>
      <w:lvlText w:val="•"/>
      <w:lvlJc w:val="left"/>
      <w:pPr>
        <w:ind w:left="5144" w:hanging="360"/>
      </w:pPr>
      <w:rPr>
        <w:rFonts w:hint="default"/>
        <w:lang w:val="uk-UA" w:eastAsia="en-US" w:bidi="ar-SA"/>
      </w:rPr>
    </w:lvl>
  </w:abstractNum>
  <w:abstractNum w:abstractNumId="7" w15:restartNumberingAfterBreak="0">
    <w:nsid w:val="28421542"/>
    <w:multiLevelType w:val="hybridMultilevel"/>
    <w:tmpl w:val="2B62C964"/>
    <w:lvl w:ilvl="0" w:tplc="4DA2BBAC">
      <w:start w:val="1"/>
      <w:numFmt w:val="decimal"/>
      <w:suff w:val="space"/>
      <w:lvlText w:val="%1)"/>
      <w:lvlJc w:val="left"/>
      <w:pPr>
        <w:ind w:left="360" w:hanging="360"/>
      </w:pPr>
      <w:rPr>
        <w:rFonts w:hint="default"/>
        <w:b w:val="0"/>
        <w:i w:val="0"/>
        <w:color w:val="auto"/>
      </w:rPr>
    </w:lvl>
    <w:lvl w:ilvl="1" w:tplc="04220019" w:tentative="1">
      <w:start w:val="1"/>
      <w:numFmt w:val="lowerLetter"/>
      <w:lvlText w:val="%2."/>
      <w:lvlJc w:val="left"/>
      <w:pPr>
        <w:ind w:left="3208" w:hanging="360"/>
      </w:pPr>
    </w:lvl>
    <w:lvl w:ilvl="2" w:tplc="0422001B" w:tentative="1">
      <w:start w:val="1"/>
      <w:numFmt w:val="lowerRoman"/>
      <w:lvlText w:val="%3."/>
      <w:lvlJc w:val="right"/>
      <w:pPr>
        <w:ind w:left="3928" w:hanging="180"/>
      </w:pPr>
    </w:lvl>
    <w:lvl w:ilvl="3" w:tplc="0422000F" w:tentative="1">
      <w:start w:val="1"/>
      <w:numFmt w:val="decimal"/>
      <w:lvlText w:val="%4."/>
      <w:lvlJc w:val="left"/>
      <w:pPr>
        <w:ind w:left="4648" w:hanging="360"/>
      </w:pPr>
    </w:lvl>
    <w:lvl w:ilvl="4" w:tplc="04220019" w:tentative="1">
      <w:start w:val="1"/>
      <w:numFmt w:val="lowerLetter"/>
      <w:lvlText w:val="%5."/>
      <w:lvlJc w:val="left"/>
      <w:pPr>
        <w:ind w:left="5368" w:hanging="360"/>
      </w:pPr>
    </w:lvl>
    <w:lvl w:ilvl="5" w:tplc="0422001B" w:tentative="1">
      <w:start w:val="1"/>
      <w:numFmt w:val="lowerRoman"/>
      <w:lvlText w:val="%6."/>
      <w:lvlJc w:val="right"/>
      <w:pPr>
        <w:ind w:left="6088" w:hanging="180"/>
      </w:pPr>
    </w:lvl>
    <w:lvl w:ilvl="6" w:tplc="0422000F" w:tentative="1">
      <w:start w:val="1"/>
      <w:numFmt w:val="decimal"/>
      <w:lvlText w:val="%7."/>
      <w:lvlJc w:val="left"/>
      <w:pPr>
        <w:ind w:left="6808" w:hanging="360"/>
      </w:pPr>
    </w:lvl>
    <w:lvl w:ilvl="7" w:tplc="04220019" w:tentative="1">
      <w:start w:val="1"/>
      <w:numFmt w:val="lowerLetter"/>
      <w:lvlText w:val="%8."/>
      <w:lvlJc w:val="left"/>
      <w:pPr>
        <w:ind w:left="7528" w:hanging="360"/>
      </w:pPr>
    </w:lvl>
    <w:lvl w:ilvl="8" w:tplc="0422001B" w:tentative="1">
      <w:start w:val="1"/>
      <w:numFmt w:val="lowerRoman"/>
      <w:lvlText w:val="%9."/>
      <w:lvlJc w:val="right"/>
      <w:pPr>
        <w:ind w:left="8248" w:hanging="180"/>
      </w:pPr>
    </w:lvl>
  </w:abstractNum>
  <w:abstractNum w:abstractNumId="8" w15:restartNumberingAfterBreak="0">
    <w:nsid w:val="3AEB1169"/>
    <w:multiLevelType w:val="hybridMultilevel"/>
    <w:tmpl w:val="2B62C964"/>
    <w:lvl w:ilvl="0" w:tplc="4DA2BBAC">
      <w:start w:val="1"/>
      <w:numFmt w:val="decimal"/>
      <w:suff w:val="space"/>
      <w:lvlText w:val="%1)"/>
      <w:lvlJc w:val="left"/>
      <w:pPr>
        <w:ind w:left="360" w:hanging="360"/>
      </w:pPr>
      <w:rPr>
        <w:rFonts w:hint="default"/>
        <w:b w:val="0"/>
        <w:i w:val="0"/>
        <w:color w:val="auto"/>
      </w:rPr>
    </w:lvl>
    <w:lvl w:ilvl="1" w:tplc="04220019" w:tentative="1">
      <w:start w:val="1"/>
      <w:numFmt w:val="lowerLetter"/>
      <w:lvlText w:val="%2."/>
      <w:lvlJc w:val="left"/>
      <w:pPr>
        <w:ind w:left="3208" w:hanging="360"/>
      </w:pPr>
    </w:lvl>
    <w:lvl w:ilvl="2" w:tplc="0422001B" w:tentative="1">
      <w:start w:val="1"/>
      <w:numFmt w:val="lowerRoman"/>
      <w:lvlText w:val="%3."/>
      <w:lvlJc w:val="right"/>
      <w:pPr>
        <w:ind w:left="3928" w:hanging="180"/>
      </w:pPr>
    </w:lvl>
    <w:lvl w:ilvl="3" w:tplc="0422000F" w:tentative="1">
      <w:start w:val="1"/>
      <w:numFmt w:val="decimal"/>
      <w:lvlText w:val="%4."/>
      <w:lvlJc w:val="left"/>
      <w:pPr>
        <w:ind w:left="4648" w:hanging="360"/>
      </w:pPr>
    </w:lvl>
    <w:lvl w:ilvl="4" w:tplc="04220019" w:tentative="1">
      <w:start w:val="1"/>
      <w:numFmt w:val="lowerLetter"/>
      <w:lvlText w:val="%5."/>
      <w:lvlJc w:val="left"/>
      <w:pPr>
        <w:ind w:left="5368" w:hanging="360"/>
      </w:pPr>
    </w:lvl>
    <w:lvl w:ilvl="5" w:tplc="0422001B" w:tentative="1">
      <w:start w:val="1"/>
      <w:numFmt w:val="lowerRoman"/>
      <w:lvlText w:val="%6."/>
      <w:lvlJc w:val="right"/>
      <w:pPr>
        <w:ind w:left="6088" w:hanging="180"/>
      </w:pPr>
    </w:lvl>
    <w:lvl w:ilvl="6" w:tplc="0422000F" w:tentative="1">
      <w:start w:val="1"/>
      <w:numFmt w:val="decimal"/>
      <w:lvlText w:val="%7."/>
      <w:lvlJc w:val="left"/>
      <w:pPr>
        <w:ind w:left="6808" w:hanging="360"/>
      </w:pPr>
    </w:lvl>
    <w:lvl w:ilvl="7" w:tplc="04220019" w:tentative="1">
      <w:start w:val="1"/>
      <w:numFmt w:val="lowerLetter"/>
      <w:lvlText w:val="%8."/>
      <w:lvlJc w:val="left"/>
      <w:pPr>
        <w:ind w:left="7528" w:hanging="360"/>
      </w:pPr>
    </w:lvl>
    <w:lvl w:ilvl="8" w:tplc="0422001B" w:tentative="1">
      <w:start w:val="1"/>
      <w:numFmt w:val="lowerRoman"/>
      <w:lvlText w:val="%9."/>
      <w:lvlJc w:val="right"/>
      <w:pPr>
        <w:ind w:left="8248" w:hanging="180"/>
      </w:pPr>
    </w:lvl>
  </w:abstractNum>
  <w:abstractNum w:abstractNumId="9" w15:restartNumberingAfterBreak="0">
    <w:nsid w:val="3D774ABE"/>
    <w:multiLevelType w:val="hybridMultilevel"/>
    <w:tmpl w:val="B9F68E56"/>
    <w:lvl w:ilvl="0" w:tplc="C5E0B9C2">
      <w:start w:val="11"/>
      <w:numFmt w:val="decimal"/>
      <w:lvlText w:val="%1)"/>
      <w:lvlJc w:val="left"/>
      <w:pPr>
        <w:ind w:left="750" w:hanging="390"/>
      </w:pPr>
      <w:rPr>
        <w:rFonts w:hint="default"/>
        <w:color w:val="auto"/>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4368235C"/>
    <w:multiLevelType w:val="hybridMultilevel"/>
    <w:tmpl w:val="81D44872"/>
    <w:lvl w:ilvl="0" w:tplc="04190001">
      <w:start w:val="1"/>
      <w:numFmt w:val="bullet"/>
      <w:lvlText w:val=""/>
      <w:lvlJc w:val="left"/>
      <w:pPr>
        <w:ind w:left="1034" w:hanging="360"/>
      </w:pPr>
      <w:rPr>
        <w:rFonts w:ascii="Symbol" w:hAnsi="Symbol" w:hint="default"/>
      </w:rPr>
    </w:lvl>
    <w:lvl w:ilvl="1" w:tplc="04220003" w:tentative="1">
      <w:start w:val="1"/>
      <w:numFmt w:val="bullet"/>
      <w:lvlText w:val="o"/>
      <w:lvlJc w:val="left"/>
      <w:pPr>
        <w:ind w:left="1754" w:hanging="360"/>
      </w:pPr>
      <w:rPr>
        <w:rFonts w:ascii="Courier New" w:hAnsi="Courier New" w:cs="Courier New" w:hint="default"/>
      </w:rPr>
    </w:lvl>
    <w:lvl w:ilvl="2" w:tplc="04220005" w:tentative="1">
      <w:start w:val="1"/>
      <w:numFmt w:val="bullet"/>
      <w:lvlText w:val=""/>
      <w:lvlJc w:val="left"/>
      <w:pPr>
        <w:ind w:left="2474" w:hanging="360"/>
      </w:pPr>
      <w:rPr>
        <w:rFonts w:ascii="Wingdings" w:hAnsi="Wingdings" w:hint="default"/>
      </w:rPr>
    </w:lvl>
    <w:lvl w:ilvl="3" w:tplc="04220001" w:tentative="1">
      <w:start w:val="1"/>
      <w:numFmt w:val="bullet"/>
      <w:lvlText w:val=""/>
      <w:lvlJc w:val="left"/>
      <w:pPr>
        <w:ind w:left="3194" w:hanging="360"/>
      </w:pPr>
      <w:rPr>
        <w:rFonts w:ascii="Symbol" w:hAnsi="Symbol" w:hint="default"/>
      </w:rPr>
    </w:lvl>
    <w:lvl w:ilvl="4" w:tplc="04220003" w:tentative="1">
      <w:start w:val="1"/>
      <w:numFmt w:val="bullet"/>
      <w:lvlText w:val="o"/>
      <w:lvlJc w:val="left"/>
      <w:pPr>
        <w:ind w:left="3914" w:hanging="360"/>
      </w:pPr>
      <w:rPr>
        <w:rFonts w:ascii="Courier New" w:hAnsi="Courier New" w:cs="Courier New" w:hint="default"/>
      </w:rPr>
    </w:lvl>
    <w:lvl w:ilvl="5" w:tplc="04220005" w:tentative="1">
      <w:start w:val="1"/>
      <w:numFmt w:val="bullet"/>
      <w:lvlText w:val=""/>
      <w:lvlJc w:val="left"/>
      <w:pPr>
        <w:ind w:left="4634" w:hanging="360"/>
      </w:pPr>
      <w:rPr>
        <w:rFonts w:ascii="Wingdings" w:hAnsi="Wingdings" w:hint="default"/>
      </w:rPr>
    </w:lvl>
    <w:lvl w:ilvl="6" w:tplc="04220001" w:tentative="1">
      <w:start w:val="1"/>
      <w:numFmt w:val="bullet"/>
      <w:lvlText w:val=""/>
      <w:lvlJc w:val="left"/>
      <w:pPr>
        <w:ind w:left="5354" w:hanging="360"/>
      </w:pPr>
      <w:rPr>
        <w:rFonts w:ascii="Symbol" w:hAnsi="Symbol" w:hint="default"/>
      </w:rPr>
    </w:lvl>
    <w:lvl w:ilvl="7" w:tplc="04220003" w:tentative="1">
      <w:start w:val="1"/>
      <w:numFmt w:val="bullet"/>
      <w:lvlText w:val="o"/>
      <w:lvlJc w:val="left"/>
      <w:pPr>
        <w:ind w:left="6074" w:hanging="360"/>
      </w:pPr>
      <w:rPr>
        <w:rFonts w:ascii="Courier New" w:hAnsi="Courier New" w:cs="Courier New" w:hint="default"/>
      </w:rPr>
    </w:lvl>
    <w:lvl w:ilvl="8" w:tplc="04220005" w:tentative="1">
      <w:start w:val="1"/>
      <w:numFmt w:val="bullet"/>
      <w:lvlText w:val=""/>
      <w:lvlJc w:val="left"/>
      <w:pPr>
        <w:ind w:left="6794" w:hanging="360"/>
      </w:pPr>
      <w:rPr>
        <w:rFonts w:ascii="Wingdings" w:hAnsi="Wingdings" w:hint="default"/>
      </w:rPr>
    </w:lvl>
  </w:abstractNum>
  <w:abstractNum w:abstractNumId="11" w15:restartNumberingAfterBreak="0">
    <w:nsid w:val="444D7E68"/>
    <w:multiLevelType w:val="multilevel"/>
    <w:tmpl w:val="64103624"/>
    <w:lvl w:ilvl="0">
      <w:start w:val="1"/>
      <w:numFmt w:val="decimal"/>
      <w:lvlText w:val="%1."/>
      <w:lvlJc w:val="left"/>
      <w:pPr>
        <w:ind w:left="1080" w:hanging="360"/>
      </w:pPr>
      <w:rPr>
        <w:rFonts w:hint="default"/>
      </w:rPr>
    </w:lvl>
    <w:lvl w:ilvl="1">
      <w:start w:val="7"/>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2" w15:restartNumberingAfterBreak="0">
    <w:nsid w:val="474449FC"/>
    <w:multiLevelType w:val="multilevel"/>
    <w:tmpl w:val="FCA2843E"/>
    <w:lvl w:ilvl="0">
      <w:start w:val="1"/>
      <w:numFmt w:val="decimal"/>
      <w:lvlText w:val="%1."/>
      <w:lvlJc w:val="left"/>
      <w:pPr>
        <w:ind w:left="0" w:firstLine="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489A0960"/>
    <w:multiLevelType w:val="hybridMultilevel"/>
    <w:tmpl w:val="FCF85590"/>
    <w:lvl w:ilvl="0" w:tplc="C8B21034">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4" w15:restartNumberingAfterBreak="0">
    <w:nsid w:val="51185E13"/>
    <w:multiLevelType w:val="hybridMultilevel"/>
    <w:tmpl w:val="9A22B6C2"/>
    <w:lvl w:ilvl="0" w:tplc="3DCC46EE">
      <w:start w:val="9"/>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5" w15:restartNumberingAfterBreak="0">
    <w:nsid w:val="53E30184"/>
    <w:multiLevelType w:val="multilevel"/>
    <w:tmpl w:val="D6FAE58C"/>
    <w:styleLink w:val="newnumberingapplications"/>
    <w:lvl w:ilvl="0">
      <w:start w:val="1"/>
      <w:numFmt w:val="none"/>
      <w:pStyle w:val="Heading1application"/>
      <w:lvlText w:val=""/>
      <w:lvlJc w:val="left"/>
      <w:pPr>
        <w:tabs>
          <w:tab w:val="num" w:pos="851"/>
        </w:tabs>
        <w:ind w:left="0" w:firstLine="851"/>
      </w:pPr>
      <w:rPr>
        <w:rFonts w:cs="Times New Roman" w:hint="default"/>
        <w:b/>
        <w:i w:val="0"/>
        <w:sz w:val="28"/>
        <w:vertAlign w:val="baseline"/>
      </w:rPr>
    </w:lvl>
    <w:lvl w:ilvl="1">
      <w:start w:val="1"/>
      <w:numFmt w:val="decimal"/>
      <w:pStyle w:val="Heading2application"/>
      <w:isLgl/>
      <w:lvlText w:val="%2. "/>
      <w:lvlJc w:val="left"/>
      <w:pPr>
        <w:tabs>
          <w:tab w:val="num" w:pos="851"/>
        </w:tabs>
        <w:ind w:left="0" w:firstLine="851"/>
      </w:pPr>
      <w:rPr>
        <w:rFonts w:cs="Times New Roman" w:hint="default"/>
      </w:rPr>
    </w:lvl>
    <w:lvl w:ilvl="2">
      <w:start w:val="1"/>
      <w:numFmt w:val="decimal"/>
      <w:pStyle w:val="Normalapplication"/>
      <w:isLgl/>
      <w:lvlText w:val="%2.%3. "/>
      <w:lvlJc w:val="left"/>
      <w:pPr>
        <w:tabs>
          <w:tab w:val="num" w:pos="851"/>
        </w:tabs>
        <w:ind w:left="0" w:firstLine="851"/>
      </w:pPr>
      <w:rPr>
        <w:rFonts w:cs="Times New Roman" w:hint="default"/>
      </w:rPr>
    </w:lvl>
    <w:lvl w:ilvl="3">
      <w:start w:val="1"/>
      <w:numFmt w:val="decimal"/>
      <w:pStyle w:val="Normalnumberingapplication"/>
      <w:lvlText w:val="%4) "/>
      <w:lvlJc w:val="left"/>
      <w:pPr>
        <w:ind w:left="0" w:firstLine="851"/>
      </w:pPr>
      <w:rPr>
        <w:rFonts w:cs="Times New Roman" w:hint="default"/>
      </w:rPr>
    </w:lvl>
    <w:lvl w:ilvl="4">
      <w:start w:val="1"/>
      <w:numFmt w:val="russianLower"/>
      <w:lvlText w:val="%5) "/>
      <w:lvlJc w:val="left"/>
      <w:pPr>
        <w:ind w:left="-738" w:firstLine="851"/>
      </w:pPr>
      <w:rPr>
        <w:rFonts w:hint="default"/>
        <w:color w:val="auto"/>
      </w:rPr>
    </w:lvl>
    <w:lvl w:ilvl="5">
      <w:start w:val="1"/>
      <w:numFmt w:val="lowerRoman"/>
      <w:lvlText w:val="%6."/>
      <w:lvlJc w:val="right"/>
      <w:pPr>
        <w:tabs>
          <w:tab w:val="num" w:pos="-738"/>
        </w:tabs>
        <w:ind w:left="2097" w:firstLine="567"/>
      </w:pPr>
      <w:rPr>
        <w:rFonts w:cs="Times New Roman" w:hint="default"/>
      </w:rPr>
    </w:lvl>
    <w:lvl w:ilvl="6">
      <w:start w:val="1"/>
      <w:numFmt w:val="decimal"/>
      <w:lvlText w:val="%7."/>
      <w:lvlJc w:val="left"/>
      <w:pPr>
        <w:tabs>
          <w:tab w:val="num" w:pos="-738"/>
        </w:tabs>
        <w:ind w:left="2664" w:firstLine="567"/>
      </w:pPr>
      <w:rPr>
        <w:rFonts w:cs="Times New Roman" w:hint="default"/>
      </w:rPr>
    </w:lvl>
    <w:lvl w:ilvl="7">
      <w:start w:val="1"/>
      <w:numFmt w:val="lowerLetter"/>
      <w:lvlText w:val="%8."/>
      <w:lvlJc w:val="left"/>
      <w:pPr>
        <w:tabs>
          <w:tab w:val="num" w:pos="-738"/>
        </w:tabs>
        <w:ind w:left="3231" w:firstLine="567"/>
      </w:pPr>
      <w:rPr>
        <w:rFonts w:cs="Times New Roman" w:hint="default"/>
      </w:rPr>
    </w:lvl>
    <w:lvl w:ilvl="8">
      <w:start w:val="1"/>
      <w:numFmt w:val="lowerRoman"/>
      <w:lvlText w:val="%9."/>
      <w:lvlJc w:val="right"/>
      <w:pPr>
        <w:tabs>
          <w:tab w:val="num" w:pos="-738"/>
        </w:tabs>
        <w:ind w:left="3798" w:firstLine="567"/>
      </w:pPr>
      <w:rPr>
        <w:rFonts w:cs="Times New Roman" w:hint="default"/>
      </w:rPr>
    </w:lvl>
  </w:abstractNum>
  <w:abstractNum w:abstractNumId="16" w15:restartNumberingAfterBreak="0">
    <w:nsid w:val="567D4B37"/>
    <w:multiLevelType w:val="hybridMultilevel"/>
    <w:tmpl w:val="67C2F00A"/>
    <w:lvl w:ilvl="0" w:tplc="8ED63018">
      <w:start w:val="17"/>
      <w:numFmt w:val="decimal"/>
      <w:lvlText w:val="%1)"/>
      <w:lvlJc w:val="left"/>
      <w:pPr>
        <w:ind w:left="750" w:hanging="39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5A6B06F7"/>
    <w:multiLevelType w:val="hybridMultilevel"/>
    <w:tmpl w:val="5344F1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61C178DF"/>
    <w:multiLevelType w:val="hybridMultilevel"/>
    <w:tmpl w:val="A3F6893A"/>
    <w:lvl w:ilvl="0" w:tplc="519C4EF6">
      <w:start w:val="3"/>
      <w:numFmt w:val="decimal"/>
      <w:lvlText w:val="%1)"/>
      <w:lvlJc w:val="left"/>
      <w:pPr>
        <w:ind w:left="555" w:hanging="360"/>
      </w:pPr>
      <w:rPr>
        <w:rFonts w:hint="default"/>
      </w:rPr>
    </w:lvl>
    <w:lvl w:ilvl="1" w:tplc="04220019" w:tentative="1">
      <w:start w:val="1"/>
      <w:numFmt w:val="lowerLetter"/>
      <w:lvlText w:val="%2."/>
      <w:lvlJc w:val="left"/>
      <w:pPr>
        <w:ind w:left="1275" w:hanging="360"/>
      </w:pPr>
    </w:lvl>
    <w:lvl w:ilvl="2" w:tplc="0422001B" w:tentative="1">
      <w:start w:val="1"/>
      <w:numFmt w:val="lowerRoman"/>
      <w:lvlText w:val="%3."/>
      <w:lvlJc w:val="right"/>
      <w:pPr>
        <w:ind w:left="1995" w:hanging="180"/>
      </w:pPr>
    </w:lvl>
    <w:lvl w:ilvl="3" w:tplc="0422000F" w:tentative="1">
      <w:start w:val="1"/>
      <w:numFmt w:val="decimal"/>
      <w:lvlText w:val="%4."/>
      <w:lvlJc w:val="left"/>
      <w:pPr>
        <w:ind w:left="2715" w:hanging="360"/>
      </w:pPr>
    </w:lvl>
    <w:lvl w:ilvl="4" w:tplc="04220019" w:tentative="1">
      <w:start w:val="1"/>
      <w:numFmt w:val="lowerLetter"/>
      <w:lvlText w:val="%5."/>
      <w:lvlJc w:val="left"/>
      <w:pPr>
        <w:ind w:left="3435" w:hanging="360"/>
      </w:pPr>
    </w:lvl>
    <w:lvl w:ilvl="5" w:tplc="0422001B" w:tentative="1">
      <w:start w:val="1"/>
      <w:numFmt w:val="lowerRoman"/>
      <w:lvlText w:val="%6."/>
      <w:lvlJc w:val="right"/>
      <w:pPr>
        <w:ind w:left="4155" w:hanging="180"/>
      </w:pPr>
    </w:lvl>
    <w:lvl w:ilvl="6" w:tplc="0422000F" w:tentative="1">
      <w:start w:val="1"/>
      <w:numFmt w:val="decimal"/>
      <w:lvlText w:val="%7."/>
      <w:lvlJc w:val="left"/>
      <w:pPr>
        <w:ind w:left="4875" w:hanging="360"/>
      </w:pPr>
    </w:lvl>
    <w:lvl w:ilvl="7" w:tplc="04220019" w:tentative="1">
      <w:start w:val="1"/>
      <w:numFmt w:val="lowerLetter"/>
      <w:lvlText w:val="%8."/>
      <w:lvlJc w:val="left"/>
      <w:pPr>
        <w:ind w:left="5595" w:hanging="360"/>
      </w:pPr>
    </w:lvl>
    <w:lvl w:ilvl="8" w:tplc="0422001B" w:tentative="1">
      <w:start w:val="1"/>
      <w:numFmt w:val="lowerRoman"/>
      <w:lvlText w:val="%9."/>
      <w:lvlJc w:val="right"/>
      <w:pPr>
        <w:ind w:left="6315" w:hanging="180"/>
      </w:pPr>
    </w:lvl>
  </w:abstractNum>
  <w:abstractNum w:abstractNumId="19" w15:restartNumberingAfterBreak="0">
    <w:nsid w:val="6D744127"/>
    <w:multiLevelType w:val="hybridMultilevel"/>
    <w:tmpl w:val="875C7EEA"/>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0" w15:restartNumberingAfterBreak="0">
    <w:nsid w:val="714415AC"/>
    <w:multiLevelType w:val="hybridMultilevel"/>
    <w:tmpl w:val="50C04670"/>
    <w:lvl w:ilvl="0" w:tplc="04190001">
      <w:start w:val="1"/>
      <w:numFmt w:val="bullet"/>
      <w:lvlText w:val=""/>
      <w:lvlJc w:val="left"/>
      <w:pPr>
        <w:ind w:left="1100" w:hanging="360"/>
      </w:pPr>
      <w:rPr>
        <w:rFonts w:ascii="Symbol" w:hAnsi="Symbol" w:hint="default"/>
      </w:rPr>
    </w:lvl>
    <w:lvl w:ilvl="1" w:tplc="04220003" w:tentative="1">
      <w:start w:val="1"/>
      <w:numFmt w:val="bullet"/>
      <w:lvlText w:val="o"/>
      <w:lvlJc w:val="left"/>
      <w:pPr>
        <w:ind w:left="1820" w:hanging="360"/>
      </w:pPr>
      <w:rPr>
        <w:rFonts w:ascii="Courier New" w:hAnsi="Courier New" w:cs="Courier New" w:hint="default"/>
      </w:rPr>
    </w:lvl>
    <w:lvl w:ilvl="2" w:tplc="04220005" w:tentative="1">
      <w:start w:val="1"/>
      <w:numFmt w:val="bullet"/>
      <w:lvlText w:val=""/>
      <w:lvlJc w:val="left"/>
      <w:pPr>
        <w:ind w:left="2540" w:hanging="360"/>
      </w:pPr>
      <w:rPr>
        <w:rFonts w:ascii="Wingdings" w:hAnsi="Wingdings" w:hint="default"/>
      </w:rPr>
    </w:lvl>
    <w:lvl w:ilvl="3" w:tplc="04220001" w:tentative="1">
      <w:start w:val="1"/>
      <w:numFmt w:val="bullet"/>
      <w:lvlText w:val=""/>
      <w:lvlJc w:val="left"/>
      <w:pPr>
        <w:ind w:left="3260" w:hanging="360"/>
      </w:pPr>
      <w:rPr>
        <w:rFonts w:ascii="Symbol" w:hAnsi="Symbol" w:hint="default"/>
      </w:rPr>
    </w:lvl>
    <w:lvl w:ilvl="4" w:tplc="04220003" w:tentative="1">
      <w:start w:val="1"/>
      <w:numFmt w:val="bullet"/>
      <w:lvlText w:val="o"/>
      <w:lvlJc w:val="left"/>
      <w:pPr>
        <w:ind w:left="3980" w:hanging="360"/>
      </w:pPr>
      <w:rPr>
        <w:rFonts w:ascii="Courier New" w:hAnsi="Courier New" w:cs="Courier New" w:hint="default"/>
      </w:rPr>
    </w:lvl>
    <w:lvl w:ilvl="5" w:tplc="04220005" w:tentative="1">
      <w:start w:val="1"/>
      <w:numFmt w:val="bullet"/>
      <w:lvlText w:val=""/>
      <w:lvlJc w:val="left"/>
      <w:pPr>
        <w:ind w:left="4700" w:hanging="360"/>
      </w:pPr>
      <w:rPr>
        <w:rFonts w:ascii="Wingdings" w:hAnsi="Wingdings" w:hint="default"/>
      </w:rPr>
    </w:lvl>
    <w:lvl w:ilvl="6" w:tplc="04220001" w:tentative="1">
      <w:start w:val="1"/>
      <w:numFmt w:val="bullet"/>
      <w:lvlText w:val=""/>
      <w:lvlJc w:val="left"/>
      <w:pPr>
        <w:ind w:left="5420" w:hanging="360"/>
      </w:pPr>
      <w:rPr>
        <w:rFonts w:ascii="Symbol" w:hAnsi="Symbol" w:hint="default"/>
      </w:rPr>
    </w:lvl>
    <w:lvl w:ilvl="7" w:tplc="04220003" w:tentative="1">
      <w:start w:val="1"/>
      <w:numFmt w:val="bullet"/>
      <w:lvlText w:val="o"/>
      <w:lvlJc w:val="left"/>
      <w:pPr>
        <w:ind w:left="6140" w:hanging="360"/>
      </w:pPr>
      <w:rPr>
        <w:rFonts w:ascii="Courier New" w:hAnsi="Courier New" w:cs="Courier New" w:hint="default"/>
      </w:rPr>
    </w:lvl>
    <w:lvl w:ilvl="8" w:tplc="04220005" w:tentative="1">
      <w:start w:val="1"/>
      <w:numFmt w:val="bullet"/>
      <w:lvlText w:val=""/>
      <w:lvlJc w:val="left"/>
      <w:pPr>
        <w:ind w:left="6860" w:hanging="360"/>
      </w:pPr>
      <w:rPr>
        <w:rFonts w:ascii="Wingdings" w:hAnsi="Wingdings" w:hint="default"/>
      </w:rPr>
    </w:lvl>
  </w:abstractNum>
  <w:abstractNum w:abstractNumId="21" w15:restartNumberingAfterBreak="0">
    <w:nsid w:val="740D5CD9"/>
    <w:multiLevelType w:val="multilevel"/>
    <w:tmpl w:val="D6FAE58C"/>
    <w:numStyleLink w:val="newnumberingapplications"/>
  </w:abstractNum>
  <w:abstractNum w:abstractNumId="22" w15:restartNumberingAfterBreak="0">
    <w:nsid w:val="742F7110"/>
    <w:multiLevelType w:val="hybridMultilevel"/>
    <w:tmpl w:val="AB00C1F0"/>
    <w:lvl w:ilvl="0" w:tplc="B4AA6A7A">
      <w:start w:val="1"/>
      <w:numFmt w:val="decimal"/>
      <w:lvlText w:val="%1."/>
      <w:lvlJc w:val="left"/>
      <w:pPr>
        <w:ind w:left="794" w:hanging="360"/>
      </w:pPr>
      <w:rPr>
        <w:rFonts w:ascii="Calibri" w:eastAsia="Calibri" w:hAnsi="Calibri" w:cs="Calibri" w:hint="default"/>
        <w:b w:val="0"/>
        <w:bCs w:val="0"/>
        <w:i w:val="0"/>
        <w:iCs w:val="0"/>
        <w:spacing w:val="0"/>
        <w:w w:val="100"/>
        <w:sz w:val="22"/>
        <w:szCs w:val="22"/>
        <w:lang w:val="uk-UA" w:eastAsia="en-US" w:bidi="ar-SA"/>
      </w:rPr>
    </w:lvl>
    <w:lvl w:ilvl="1" w:tplc="447A569E">
      <w:numFmt w:val="bullet"/>
      <w:lvlText w:val="•"/>
      <w:lvlJc w:val="left"/>
      <w:pPr>
        <w:ind w:left="1343" w:hanging="360"/>
      </w:pPr>
      <w:rPr>
        <w:rFonts w:hint="default"/>
        <w:lang w:val="uk-UA" w:eastAsia="en-US" w:bidi="ar-SA"/>
      </w:rPr>
    </w:lvl>
    <w:lvl w:ilvl="2" w:tplc="5D366226">
      <w:numFmt w:val="bullet"/>
      <w:lvlText w:val="•"/>
      <w:lvlJc w:val="left"/>
      <w:pPr>
        <w:ind w:left="1886" w:hanging="360"/>
      </w:pPr>
      <w:rPr>
        <w:rFonts w:hint="default"/>
        <w:lang w:val="uk-UA" w:eastAsia="en-US" w:bidi="ar-SA"/>
      </w:rPr>
    </w:lvl>
    <w:lvl w:ilvl="3" w:tplc="CF4AEA66">
      <w:numFmt w:val="bullet"/>
      <w:lvlText w:val="•"/>
      <w:lvlJc w:val="left"/>
      <w:pPr>
        <w:ind w:left="2429" w:hanging="360"/>
      </w:pPr>
      <w:rPr>
        <w:rFonts w:hint="default"/>
        <w:lang w:val="uk-UA" w:eastAsia="en-US" w:bidi="ar-SA"/>
      </w:rPr>
    </w:lvl>
    <w:lvl w:ilvl="4" w:tplc="0FE056DE">
      <w:numFmt w:val="bullet"/>
      <w:lvlText w:val="•"/>
      <w:lvlJc w:val="left"/>
      <w:pPr>
        <w:ind w:left="2972" w:hanging="360"/>
      </w:pPr>
      <w:rPr>
        <w:rFonts w:hint="default"/>
        <w:lang w:val="uk-UA" w:eastAsia="en-US" w:bidi="ar-SA"/>
      </w:rPr>
    </w:lvl>
    <w:lvl w:ilvl="5" w:tplc="FB3CCA7A">
      <w:numFmt w:val="bullet"/>
      <w:lvlText w:val="•"/>
      <w:lvlJc w:val="left"/>
      <w:pPr>
        <w:ind w:left="3515" w:hanging="360"/>
      </w:pPr>
      <w:rPr>
        <w:rFonts w:hint="default"/>
        <w:lang w:val="uk-UA" w:eastAsia="en-US" w:bidi="ar-SA"/>
      </w:rPr>
    </w:lvl>
    <w:lvl w:ilvl="6" w:tplc="3B88320E">
      <w:numFmt w:val="bullet"/>
      <w:lvlText w:val="•"/>
      <w:lvlJc w:val="left"/>
      <w:pPr>
        <w:ind w:left="4058" w:hanging="360"/>
      </w:pPr>
      <w:rPr>
        <w:rFonts w:hint="default"/>
        <w:lang w:val="uk-UA" w:eastAsia="en-US" w:bidi="ar-SA"/>
      </w:rPr>
    </w:lvl>
    <w:lvl w:ilvl="7" w:tplc="B88AFE92">
      <w:numFmt w:val="bullet"/>
      <w:lvlText w:val="•"/>
      <w:lvlJc w:val="left"/>
      <w:pPr>
        <w:ind w:left="4601" w:hanging="360"/>
      </w:pPr>
      <w:rPr>
        <w:rFonts w:hint="default"/>
        <w:lang w:val="uk-UA" w:eastAsia="en-US" w:bidi="ar-SA"/>
      </w:rPr>
    </w:lvl>
    <w:lvl w:ilvl="8" w:tplc="D2164D0A">
      <w:numFmt w:val="bullet"/>
      <w:lvlText w:val="•"/>
      <w:lvlJc w:val="left"/>
      <w:pPr>
        <w:ind w:left="5144" w:hanging="360"/>
      </w:pPr>
      <w:rPr>
        <w:rFonts w:hint="default"/>
        <w:lang w:val="uk-UA" w:eastAsia="en-US" w:bidi="ar-SA"/>
      </w:rPr>
    </w:lvl>
  </w:abstractNum>
  <w:abstractNum w:abstractNumId="23" w15:restartNumberingAfterBreak="0">
    <w:nsid w:val="7578467C"/>
    <w:multiLevelType w:val="hybridMultilevel"/>
    <w:tmpl w:val="2B62C964"/>
    <w:lvl w:ilvl="0" w:tplc="4DA2BBAC">
      <w:start w:val="1"/>
      <w:numFmt w:val="decimal"/>
      <w:suff w:val="space"/>
      <w:lvlText w:val="%1)"/>
      <w:lvlJc w:val="left"/>
      <w:pPr>
        <w:ind w:left="360" w:hanging="360"/>
      </w:pPr>
      <w:rPr>
        <w:rFonts w:hint="default"/>
        <w:b w:val="0"/>
        <w:i w:val="0"/>
        <w:color w:val="auto"/>
      </w:rPr>
    </w:lvl>
    <w:lvl w:ilvl="1" w:tplc="04220019" w:tentative="1">
      <w:start w:val="1"/>
      <w:numFmt w:val="lowerLetter"/>
      <w:lvlText w:val="%2."/>
      <w:lvlJc w:val="left"/>
      <w:pPr>
        <w:ind w:left="3208" w:hanging="360"/>
      </w:pPr>
    </w:lvl>
    <w:lvl w:ilvl="2" w:tplc="0422001B" w:tentative="1">
      <w:start w:val="1"/>
      <w:numFmt w:val="lowerRoman"/>
      <w:lvlText w:val="%3."/>
      <w:lvlJc w:val="right"/>
      <w:pPr>
        <w:ind w:left="3928" w:hanging="180"/>
      </w:pPr>
    </w:lvl>
    <w:lvl w:ilvl="3" w:tplc="0422000F" w:tentative="1">
      <w:start w:val="1"/>
      <w:numFmt w:val="decimal"/>
      <w:lvlText w:val="%4."/>
      <w:lvlJc w:val="left"/>
      <w:pPr>
        <w:ind w:left="4648" w:hanging="360"/>
      </w:pPr>
    </w:lvl>
    <w:lvl w:ilvl="4" w:tplc="04220019" w:tentative="1">
      <w:start w:val="1"/>
      <w:numFmt w:val="lowerLetter"/>
      <w:lvlText w:val="%5."/>
      <w:lvlJc w:val="left"/>
      <w:pPr>
        <w:ind w:left="5368" w:hanging="360"/>
      </w:pPr>
    </w:lvl>
    <w:lvl w:ilvl="5" w:tplc="0422001B" w:tentative="1">
      <w:start w:val="1"/>
      <w:numFmt w:val="lowerRoman"/>
      <w:lvlText w:val="%6."/>
      <w:lvlJc w:val="right"/>
      <w:pPr>
        <w:ind w:left="6088" w:hanging="180"/>
      </w:pPr>
    </w:lvl>
    <w:lvl w:ilvl="6" w:tplc="0422000F" w:tentative="1">
      <w:start w:val="1"/>
      <w:numFmt w:val="decimal"/>
      <w:lvlText w:val="%7."/>
      <w:lvlJc w:val="left"/>
      <w:pPr>
        <w:ind w:left="6808" w:hanging="360"/>
      </w:pPr>
    </w:lvl>
    <w:lvl w:ilvl="7" w:tplc="04220019" w:tentative="1">
      <w:start w:val="1"/>
      <w:numFmt w:val="lowerLetter"/>
      <w:lvlText w:val="%8."/>
      <w:lvlJc w:val="left"/>
      <w:pPr>
        <w:ind w:left="7528" w:hanging="360"/>
      </w:pPr>
    </w:lvl>
    <w:lvl w:ilvl="8" w:tplc="0422001B" w:tentative="1">
      <w:start w:val="1"/>
      <w:numFmt w:val="lowerRoman"/>
      <w:lvlText w:val="%9."/>
      <w:lvlJc w:val="right"/>
      <w:pPr>
        <w:ind w:left="8248" w:hanging="180"/>
      </w:pPr>
    </w:lvl>
  </w:abstractNum>
  <w:abstractNum w:abstractNumId="24" w15:restartNumberingAfterBreak="0">
    <w:nsid w:val="7CD425BD"/>
    <w:multiLevelType w:val="hybridMultilevel"/>
    <w:tmpl w:val="70969A38"/>
    <w:lvl w:ilvl="0" w:tplc="50D8E9C2">
      <w:start w:val="13"/>
      <w:numFmt w:val="decimal"/>
      <w:lvlText w:val="%1)"/>
      <w:lvlJc w:val="left"/>
      <w:pPr>
        <w:ind w:left="720" w:hanging="360"/>
      </w:pPr>
      <w:rPr>
        <w:rFonts w:hint="default"/>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7EF25FAC"/>
    <w:multiLevelType w:val="hybridMultilevel"/>
    <w:tmpl w:val="2B62C964"/>
    <w:lvl w:ilvl="0" w:tplc="4DA2BBAC">
      <w:start w:val="1"/>
      <w:numFmt w:val="decimal"/>
      <w:suff w:val="space"/>
      <w:lvlText w:val="%1)"/>
      <w:lvlJc w:val="left"/>
      <w:pPr>
        <w:ind w:left="360" w:hanging="360"/>
      </w:pPr>
      <w:rPr>
        <w:rFonts w:hint="default"/>
        <w:b w:val="0"/>
        <w:i w:val="0"/>
        <w:color w:val="auto"/>
      </w:rPr>
    </w:lvl>
    <w:lvl w:ilvl="1" w:tplc="04220019" w:tentative="1">
      <w:start w:val="1"/>
      <w:numFmt w:val="lowerLetter"/>
      <w:lvlText w:val="%2."/>
      <w:lvlJc w:val="left"/>
      <w:pPr>
        <w:ind w:left="3208" w:hanging="360"/>
      </w:pPr>
    </w:lvl>
    <w:lvl w:ilvl="2" w:tplc="0422001B" w:tentative="1">
      <w:start w:val="1"/>
      <w:numFmt w:val="lowerRoman"/>
      <w:lvlText w:val="%3."/>
      <w:lvlJc w:val="right"/>
      <w:pPr>
        <w:ind w:left="3928" w:hanging="180"/>
      </w:pPr>
    </w:lvl>
    <w:lvl w:ilvl="3" w:tplc="0422000F" w:tentative="1">
      <w:start w:val="1"/>
      <w:numFmt w:val="decimal"/>
      <w:lvlText w:val="%4."/>
      <w:lvlJc w:val="left"/>
      <w:pPr>
        <w:ind w:left="4648" w:hanging="360"/>
      </w:pPr>
    </w:lvl>
    <w:lvl w:ilvl="4" w:tplc="04220019" w:tentative="1">
      <w:start w:val="1"/>
      <w:numFmt w:val="lowerLetter"/>
      <w:lvlText w:val="%5."/>
      <w:lvlJc w:val="left"/>
      <w:pPr>
        <w:ind w:left="5368" w:hanging="360"/>
      </w:pPr>
    </w:lvl>
    <w:lvl w:ilvl="5" w:tplc="0422001B" w:tentative="1">
      <w:start w:val="1"/>
      <w:numFmt w:val="lowerRoman"/>
      <w:lvlText w:val="%6."/>
      <w:lvlJc w:val="right"/>
      <w:pPr>
        <w:ind w:left="6088" w:hanging="180"/>
      </w:pPr>
    </w:lvl>
    <w:lvl w:ilvl="6" w:tplc="0422000F" w:tentative="1">
      <w:start w:val="1"/>
      <w:numFmt w:val="decimal"/>
      <w:lvlText w:val="%7."/>
      <w:lvlJc w:val="left"/>
      <w:pPr>
        <w:ind w:left="6808" w:hanging="360"/>
      </w:pPr>
    </w:lvl>
    <w:lvl w:ilvl="7" w:tplc="04220019" w:tentative="1">
      <w:start w:val="1"/>
      <w:numFmt w:val="lowerLetter"/>
      <w:lvlText w:val="%8."/>
      <w:lvlJc w:val="left"/>
      <w:pPr>
        <w:ind w:left="7528" w:hanging="360"/>
      </w:pPr>
    </w:lvl>
    <w:lvl w:ilvl="8" w:tplc="0422001B" w:tentative="1">
      <w:start w:val="1"/>
      <w:numFmt w:val="lowerRoman"/>
      <w:lvlText w:val="%9."/>
      <w:lvlJc w:val="right"/>
      <w:pPr>
        <w:ind w:left="8248" w:hanging="180"/>
      </w:pPr>
    </w:lvl>
  </w:abstractNum>
  <w:num w:numId="1">
    <w:abstractNumId w:val="0"/>
  </w:num>
  <w:num w:numId="2">
    <w:abstractNumId w:val="15"/>
  </w:num>
  <w:num w:numId="3">
    <w:abstractNumId w:val="21"/>
  </w:num>
  <w:num w:numId="4">
    <w:abstractNumId w:val="19"/>
  </w:num>
  <w:num w:numId="5">
    <w:abstractNumId w:val="11"/>
  </w:num>
  <w:num w:numId="6">
    <w:abstractNumId w:val="5"/>
  </w:num>
  <w:num w:numId="7">
    <w:abstractNumId w:val="13"/>
  </w:num>
  <w:num w:numId="8">
    <w:abstractNumId w:val="12"/>
  </w:num>
  <w:num w:numId="9">
    <w:abstractNumId w:val="17"/>
  </w:num>
  <w:num w:numId="10">
    <w:abstractNumId w:val="7"/>
  </w:num>
  <w:num w:numId="11">
    <w:abstractNumId w:val="18"/>
  </w:num>
  <w:num w:numId="12">
    <w:abstractNumId w:val="23"/>
  </w:num>
  <w:num w:numId="13">
    <w:abstractNumId w:val="14"/>
  </w:num>
  <w:num w:numId="14">
    <w:abstractNumId w:val="8"/>
  </w:num>
  <w:num w:numId="15">
    <w:abstractNumId w:val="9"/>
  </w:num>
  <w:num w:numId="16">
    <w:abstractNumId w:val="24"/>
  </w:num>
  <w:num w:numId="17">
    <w:abstractNumId w:val="25"/>
  </w:num>
  <w:num w:numId="18">
    <w:abstractNumId w:val="16"/>
  </w:num>
  <w:num w:numId="19">
    <w:abstractNumId w:val="1"/>
  </w:num>
  <w:num w:numId="20">
    <w:abstractNumId w:val="10"/>
  </w:num>
  <w:num w:numId="21">
    <w:abstractNumId w:val="2"/>
  </w:num>
  <w:num w:numId="22">
    <w:abstractNumId w:val="20"/>
  </w:num>
  <w:num w:numId="23">
    <w:abstractNumId w:val="3"/>
  </w:num>
  <w:num w:numId="24">
    <w:abstractNumId w:val="22"/>
  </w:num>
  <w:num w:numId="25">
    <w:abstractNumId w:val="6"/>
  </w:num>
  <w:num w:numId="26">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1E30"/>
    <w:rsid w:val="00000EC6"/>
    <w:rsid w:val="00002C80"/>
    <w:rsid w:val="0000333F"/>
    <w:rsid w:val="0000354A"/>
    <w:rsid w:val="00003676"/>
    <w:rsid w:val="00003C27"/>
    <w:rsid w:val="00003DEB"/>
    <w:rsid w:val="0000434B"/>
    <w:rsid w:val="00004731"/>
    <w:rsid w:val="00004B98"/>
    <w:rsid w:val="00004E4A"/>
    <w:rsid w:val="000052F8"/>
    <w:rsid w:val="00005630"/>
    <w:rsid w:val="00005714"/>
    <w:rsid w:val="000058EB"/>
    <w:rsid w:val="00005D5F"/>
    <w:rsid w:val="00006EC0"/>
    <w:rsid w:val="00007609"/>
    <w:rsid w:val="00007E3C"/>
    <w:rsid w:val="0001000D"/>
    <w:rsid w:val="00010762"/>
    <w:rsid w:val="00010870"/>
    <w:rsid w:val="00010BC4"/>
    <w:rsid w:val="00010E58"/>
    <w:rsid w:val="00012AEC"/>
    <w:rsid w:val="00012C08"/>
    <w:rsid w:val="0001414D"/>
    <w:rsid w:val="00014827"/>
    <w:rsid w:val="00015167"/>
    <w:rsid w:val="00015796"/>
    <w:rsid w:val="00016DCE"/>
    <w:rsid w:val="00020B53"/>
    <w:rsid w:val="00021ADD"/>
    <w:rsid w:val="00021E69"/>
    <w:rsid w:val="00022175"/>
    <w:rsid w:val="0002262A"/>
    <w:rsid w:val="00022D51"/>
    <w:rsid w:val="00023367"/>
    <w:rsid w:val="000235C8"/>
    <w:rsid w:val="000236B3"/>
    <w:rsid w:val="00023DE8"/>
    <w:rsid w:val="00024FC1"/>
    <w:rsid w:val="0002509A"/>
    <w:rsid w:val="0002647D"/>
    <w:rsid w:val="00026909"/>
    <w:rsid w:val="00026CAB"/>
    <w:rsid w:val="00027AAE"/>
    <w:rsid w:val="00027F72"/>
    <w:rsid w:val="000304B8"/>
    <w:rsid w:val="00030B6C"/>
    <w:rsid w:val="000330A0"/>
    <w:rsid w:val="000334DB"/>
    <w:rsid w:val="00033BB1"/>
    <w:rsid w:val="00033CCD"/>
    <w:rsid w:val="00034797"/>
    <w:rsid w:val="00036665"/>
    <w:rsid w:val="00036CA7"/>
    <w:rsid w:val="00037BA4"/>
    <w:rsid w:val="0004087C"/>
    <w:rsid w:val="00040964"/>
    <w:rsid w:val="00040D87"/>
    <w:rsid w:val="00042235"/>
    <w:rsid w:val="00042389"/>
    <w:rsid w:val="00043488"/>
    <w:rsid w:val="00043726"/>
    <w:rsid w:val="000438F5"/>
    <w:rsid w:val="00044079"/>
    <w:rsid w:val="00044486"/>
    <w:rsid w:val="000446B9"/>
    <w:rsid w:val="00044D14"/>
    <w:rsid w:val="00044D67"/>
    <w:rsid w:val="00050544"/>
    <w:rsid w:val="00050E2D"/>
    <w:rsid w:val="000513D6"/>
    <w:rsid w:val="0005219E"/>
    <w:rsid w:val="00052C93"/>
    <w:rsid w:val="00052E4C"/>
    <w:rsid w:val="00052FFD"/>
    <w:rsid w:val="0005431B"/>
    <w:rsid w:val="000549A8"/>
    <w:rsid w:val="00054A0C"/>
    <w:rsid w:val="000551FE"/>
    <w:rsid w:val="000557EC"/>
    <w:rsid w:val="0005764B"/>
    <w:rsid w:val="000600B9"/>
    <w:rsid w:val="00060A0F"/>
    <w:rsid w:val="00061F4F"/>
    <w:rsid w:val="00062180"/>
    <w:rsid w:val="00062223"/>
    <w:rsid w:val="00062B41"/>
    <w:rsid w:val="00062C24"/>
    <w:rsid w:val="00063D28"/>
    <w:rsid w:val="000642EA"/>
    <w:rsid w:val="0006493D"/>
    <w:rsid w:val="00065995"/>
    <w:rsid w:val="000662AE"/>
    <w:rsid w:val="00066CED"/>
    <w:rsid w:val="00066F14"/>
    <w:rsid w:val="00067576"/>
    <w:rsid w:val="000675D1"/>
    <w:rsid w:val="0007213C"/>
    <w:rsid w:val="00072208"/>
    <w:rsid w:val="00072584"/>
    <w:rsid w:val="00073808"/>
    <w:rsid w:val="00073EB6"/>
    <w:rsid w:val="00073FAF"/>
    <w:rsid w:val="0007473A"/>
    <w:rsid w:val="000751B3"/>
    <w:rsid w:val="00076006"/>
    <w:rsid w:val="000766D6"/>
    <w:rsid w:val="00076A8A"/>
    <w:rsid w:val="0007769E"/>
    <w:rsid w:val="00077AD6"/>
    <w:rsid w:val="000808F2"/>
    <w:rsid w:val="00082346"/>
    <w:rsid w:val="000824C0"/>
    <w:rsid w:val="00082D8A"/>
    <w:rsid w:val="00083198"/>
    <w:rsid w:val="00083251"/>
    <w:rsid w:val="000842B7"/>
    <w:rsid w:val="000843BA"/>
    <w:rsid w:val="0008619B"/>
    <w:rsid w:val="00086D04"/>
    <w:rsid w:val="0008743B"/>
    <w:rsid w:val="000908FF"/>
    <w:rsid w:val="00090979"/>
    <w:rsid w:val="00090EDF"/>
    <w:rsid w:val="00091A61"/>
    <w:rsid w:val="000920B3"/>
    <w:rsid w:val="000922D5"/>
    <w:rsid w:val="0009297E"/>
    <w:rsid w:val="00093181"/>
    <w:rsid w:val="00094B05"/>
    <w:rsid w:val="00095E54"/>
    <w:rsid w:val="000960B7"/>
    <w:rsid w:val="00096C49"/>
    <w:rsid w:val="00096CF6"/>
    <w:rsid w:val="00097A48"/>
    <w:rsid w:val="000A008A"/>
    <w:rsid w:val="000A0C58"/>
    <w:rsid w:val="000A0D06"/>
    <w:rsid w:val="000A0E5D"/>
    <w:rsid w:val="000A1246"/>
    <w:rsid w:val="000A1364"/>
    <w:rsid w:val="000A1661"/>
    <w:rsid w:val="000A1CE3"/>
    <w:rsid w:val="000A3591"/>
    <w:rsid w:val="000A3BD4"/>
    <w:rsid w:val="000A44E4"/>
    <w:rsid w:val="000A45D5"/>
    <w:rsid w:val="000A469A"/>
    <w:rsid w:val="000A4E3E"/>
    <w:rsid w:val="000A594B"/>
    <w:rsid w:val="000A652A"/>
    <w:rsid w:val="000A7BD9"/>
    <w:rsid w:val="000B0015"/>
    <w:rsid w:val="000B042D"/>
    <w:rsid w:val="000B063F"/>
    <w:rsid w:val="000B31CF"/>
    <w:rsid w:val="000B4249"/>
    <w:rsid w:val="000B4E48"/>
    <w:rsid w:val="000B63A6"/>
    <w:rsid w:val="000B6792"/>
    <w:rsid w:val="000B7277"/>
    <w:rsid w:val="000B7898"/>
    <w:rsid w:val="000C042A"/>
    <w:rsid w:val="000C0750"/>
    <w:rsid w:val="000C1B45"/>
    <w:rsid w:val="000C1BF3"/>
    <w:rsid w:val="000C1CC9"/>
    <w:rsid w:val="000C1E83"/>
    <w:rsid w:val="000C263E"/>
    <w:rsid w:val="000C271C"/>
    <w:rsid w:val="000C29B8"/>
    <w:rsid w:val="000C2B05"/>
    <w:rsid w:val="000C2DD6"/>
    <w:rsid w:val="000C358F"/>
    <w:rsid w:val="000C35B4"/>
    <w:rsid w:val="000C35EB"/>
    <w:rsid w:val="000C3B18"/>
    <w:rsid w:val="000C3D2E"/>
    <w:rsid w:val="000C3D6D"/>
    <w:rsid w:val="000C53B0"/>
    <w:rsid w:val="000C5880"/>
    <w:rsid w:val="000C5CA0"/>
    <w:rsid w:val="000C5DAB"/>
    <w:rsid w:val="000D138C"/>
    <w:rsid w:val="000D22FF"/>
    <w:rsid w:val="000D24FC"/>
    <w:rsid w:val="000D45F3"/>
    <w:rsid w:val="000D53E8"/>
    <w:rsid w:val="000D5BDC"/>
    <w:rsid w:val="000D6843"/>
    <w:rsid w:val="000D687F"/>
    <w:rsid w:val="000D6D09"/>
    <w:rsid w:val="000D769D"/>
    <w:rsid w:val="000D7B01"/>
    <w:rsid w:val="000E101F"/>
    <w:rsid w:val="000E123F"/>
    <w:rsid w:val="000E1F52"/>
    <w:rsid w:val="000E2AA4"/>
    <w:rsid w:val="000E39D6"/>
    <w:rsid w:val="000E4307"/>
    <w:rsid w:val="000E45C2"/>
    <w:rsid w:val="000E4A86"/>
    <w:rsid w:val="000E5025"/>
    <w:rsid w:val="000E6121"/>
    <w:rsid w:val="000E6750"/>
    <w:rsid w:val="000E68A8"/>
    <w:rsid w:val="000E6FFC"/>
    <w:rsid w:val="000F08A1"/>
    <w:rsid w:val="000F12F9"/>
    <w:rsid w:val="000F1D5F"/>
    <w:rsid w:val="000F1E30"/>
    <w:rsid w:val="000F32F3"/>
    <w:rsid w:val="000F3752"/>
    <w:rsid w:val="000F3E03"/>
    <w:rsid w:val="000F3E22"/>
    <w:rsid w:val="000F4161"/>
    <w:rsid w:val="000F4220"/>
    <w:rsid w:val="000F4B93"/>
    <w:rsid w:val="000F4CEB"/>
    <w:rsid w:val="000F54A9"/>
    <w:rsid w:val="000F5F30"/>
    <w:rsid w:val="000F67FA"/>
    <w:rsid w:val="000F720C"/>
    <w:rsid w:val="001001BE"/>
    <w:rsid w:val="001007AF"/>
    <w:rsid w:val="00101597"/>
    <w:rsid w:val="00101A7C"/>
    <w:rsid w:val="00101E31"/>
    <w:rsid w:val="0010407C"/>
    <w:rsid w:val="001047FC"/>
    <w:rsid w:val="0010557B"/>
    <w:rsid w:val="00105A68"/>
    <w:rsid w:val="00106416"/>
    <w:rsid w:val="001066BA"/>
    <w:rsid w:val="0010682C"/>
    <w:rsid w:val="00106AB5"/>
    <w:rsid w:val="00106EFA"/>
    <w:rsid w:val="0010755C"/>
    <w:rsid w:val="001077A3"/>
    <w:rsid w:val="00107A4D"/>
    <w:rsid w:val="001108CA"/>
    <w:rsid w:val="0011127D"/>
    <w:rsid w:val="00111734"/>
    <w:rsid w:val="00112116"/>
    <w:rsid w:val="0011307D"/>
    <w:rsid w:val="001141EB"/>
    <w:rsid w:val="00114206"/>
    <w:rsid w:val="001145DF"/>
    <w:rsid w:val="001155FD"/>
    <w:rsid w:val="00115B36"/>
    <w:rsid w:val="00115FFD"/>
    <w:rsid w:val="001160D9"/>
    <w:rsid w:val="001163FB"/>
    <w:rsid w:val="00116CF8"/>
    <w:rsid w:val="00116F6F"/>
    <w:rsid w:val="00117706"/>
    <w:rsid w:val="0011770F"/>
    <w:rsid w:val="00120649"/>
    <w:rsid w:val="001206AA"/>
    <w:rsid w:val="001212CE"/>
    <w:rsid w:val="00121C52"/>
    <w:rsid w:val="00121E98"/>
    <w:rsid w:val="001226C9"/>
    <w:rsid w:val="00122E25"/>
    <w:rsid w:val="0012336B"/>
    <w:rsid w:val="00123FF9"/>
    <w:rsid w:val="00124341"/>
    <w:rsid w:val="00124723"/>
    <w:rsid w:val="00124791"/>
    <w:rsid w:val="00124827"/>
    <w:rsid w:val="0012486F"/>
    <w:rsid w:val="00124D16"/>
    <w:rsid w:val="001251CC"/>
    <w:rsid w:val="0012623B"/>
    <w:rsid w:val="00126760"/>
    <w:rsid w:val="00126E0A"/>
    <w:rsid w:val="001270D1"/>
    <w:rsid w:val="00127AD5"/>
    <w:rsid w:val="00127BBC"/>
    <w:rsid w:val="00127D53"/>
    <w:rsid w:val="00130F48"/>
    <w:rsid w:val="001312C3"/>
    <w:rsid w:val="00133891"/>
    <w:rsid w:val="00133C87"/>
    <w:rsid w:val="00133D9E"/>
    <w:rsid w:val="00133F3A"/>
    <w:rsid w:val="00134351"/>
    <w:rsid w:val="00134577"/>
    <w:rsid w:val="0013614B"/>
    <w:rsid w:val="00136341"/>
    <w:rsid w:val="00140B9B"/>
    <w:rsid w:val="001413AD"/>
    <w:rsid w:val="001420E5"/>
    <w:rsid w:val="00142698"/>
    <w:rsid w:val="00143C2C"/>
    <w:rsid w:val="0014450F"/>
    <w:rsid w:val="001446D7"/>
    <w:rsid w:val="00147986"/>
    <w:rsid w:val="0015052E"/>
    <w:rsid w:val="00151031"/>
    <w:rsid w:val="001524DD"/>
    <w:rsid w:val="00153577"/>
    <w:rsid w:val="00154C21"/>
    <w:rsid w:val="00155706"/>
    <w:rsid w:val="00155B54"/>
    <w:rsid w:val="00156490"/>
    <w:rsid w:val="001572EC"/>
    <w:rsid w:val="00157373"/>
    <w:rsid w:val="001579B0"/>
    <w:rsid w:val="00161A74"/>
    <w:rsid w:val="001622DD"/>
    <w:rsid w:val="00162372"/>
    <w:rsid w:val="00162CD0"/>
    <w:rsid w:val="00163305"/>
    <w:rsid w:val="00163956"/>
    <w:rsid w:val="001644B7"/>
    <w:rsid w:val="00164872"/>
    <w:rsid w:val="00164891"/>
    <w:rsid w:val="00165E7E"/>
    <w:rsid w:val="0016663C"/>
    <w:rsid w:val="001669BF"/>
    <w:rsid w:val="00166C2C"/>
    <w:rsid w:val="001709EF"/>
    <w:rsid w:val="00171013"/>
    <w:rsid w:val="001712BB"/>
    <w:rsid w:val="00172720"/>
    <w:rsid w:val="00172CA3"/>
    <w:rsid w:val="001732A0"/>
    <w:rsid w:val="00174254"/>
    <w:rsid w:val="00174715"/>
    <w:rsid w:val="001748F5"/>
    <w:rsid w:val="001751F0"/>
    <w:rsid w:val="0017570C"/>
    <w:rsid w:val="0017576C"/>
    <w:rsid w:val="00176B98"/>
    <w:rsid w:val="00180E0A"/>
    <w:rsid w:val="0018161D"/>
    <w:rsid w:val="001831A3"/>
    <w:rsid w:val="00183DD3"/>
    <w:rsid w:val="00184507"/>
    <w:rsid w:val="0018455A"/>
    <w:rsid w:val="00184728"/>
    <w:rsid w:val="00185EE5"/>
    <w:rsid w:val="00190516"/>
    <w:rsid w:val="00190604"/>
    <w:rsid w:val="00192587"/>
    <w:rsid w:val="00192EEA"/>
    <w:rsid w:val="0019370A"/>
    <w:rsid w:val="001939E5"/>
    <w:rsid w:val="00193C3E"/>
    <w:rsid w:val="00193FE4"/>
    <w:rsid w:val="001943A6"/>
    <w:rsid w:val="001947D2"/>
    <w:rsid w:val="00195A47"/>
    <w:rsid w:val="00195D17"/>
    <w:rsid w:val="00196204"/>
    <w:rsid w:val="0019644F"/>
    <w:rsid w:val="0019719A"/>
    <w:rsid w:val="001A0CDA"/>
    <w:rsid w:val="001A1DA3"/>
    <w:rsid w:val="001A2C81"/>
    <w:rsid w:val="001A32A6"/>
    <w:rsid w:val="001A3A15"/>
    <w:rsid w:val="001A3EB3"/>
    <w:rsid w:val="001A4E8E"/>
    <w:rsid w:val="001A51BC"/>
    <w:rsid w:val="001A54BF"/>
    <w:rsid w:val="001A6D13"/>
    <w:rsid w:val="001A7138"/>
    <w:rsid w:val="001A7A70"/>
    <w:rsid w:val="001A7B22"/>
    <w:rsid w:val="001B0496"/>
    <w:rsid w:val="001B1332"/>
    <w:rsid w:val="001B2D6F"/>
    <w:rsid w:val="001B3CEE"/>
    <w:rsid w:val="001B46D7"/>
    <w:rsid w:val="001B4865"/>
    <w:rsid w:val="001B62B3"/>
    <w:rsid w:val="001B6891"/>
    <w:rsid w:val="001B78DB"/>
    <w:rsid w:val="001B7ED4"/>
    <w:rsid w:val="001B7F23"/>
    <w:rsid w:val="001C0464"/>
    <w:rsid w:val="001C04CB"/>
    <w:rsid w:val="001C059C"/>
    <w:rsid w:val="001C0817"/>
    <w:rsid w:val="001C09FF"/>
    <w:rsid w:val="001C0A69"/>
    <w:rsid w:val="001C1205"/>
    <w:rsid w:val="001C1976"/>
    <w:rsid w:val="001C1D18"/>
    <w:rsid w:val="001C1ED9"/>
    <w:rsid w:val="001C2F09"/>
    <w:rsid w:val="001C3E61"/>
    <w:rsid w:val="001C3ED9"/>
    <w:rsid w:val="001C4A44"/>
    <w:rsid w:val="001C4AE4"/>
    <w:rsid w:val="001C5176"/>
    <w:rsid w:val="001C6707"/>
    <w:rsid w:val="001D1104"/>
    <w:rsid w:val="001D16F8"/>
    <w:rsid w:val="001D1912"/>
    <w:rsid w:val="001D19AA"/>
    <w:rsid w:val="001D1D54"/>
    <w:rsid w:val="001D1F4B"/>
    <w:rsid w:val="001D30D4"/>
    <w:rsid w:val="001D5469"/>
    <w:rsid w:val="001D5920"/>
    <w:rsid w:val="001D5925"/>
    <w:rsid w:val="001D5CCF"/>
    <w:rsid w:val="001D5CDE"/>
    <w:rsid w:val="001D68F0"/>
    <w:rsid w:val="001D6CFE"/>
    <w:rsid w:val="001D738A"/>
    <w:rsid w:val="001D7489"/>
    <w:rsid w:val="001D7656"/>
    <w:rsid w:val="001D7D43"/>
    <w:rsid w:val="001E027E"/>
    <w:rsid w:val="001E0B3B"/>
    <w:rsid w:val="001E119B"/>
    <w:rsid w:val="001E11FF"/>
    <w:rsid w:val="001E1A78"/>
    <w:rsid w:val="001E1E75"/>
    <w:rsid w:val="001E2137"/>
    <w:rsid w:val="001E3311"/>
    <w:rsid w:val="001E42A2"/>
    <w:rsid w:val="001E474F"/>
    <w:rsid w:val="001E4AAF"/>
    <w:rsid w:val="001E4CE4"/>
    <w:rsid w:val="001E572F"/>
    <w:rsid w:val="001E57F4"/>
    <w:rsid w:val="001E5C7D"/>
    <w:rsid w:val="001E634F"/>
    <w:rsid w:val="001E7EF6"/>
    <w:rsid w:val="001F068D"/>
    <w:rsid w:val="001F085F"/>
    <w:rsid w:val="001F1608"/>
    <w:rsid w:val="001F16FD"/>
    <w:rsid w:val="001F27DF"/>
    <w:rsid w:val="001F2BFB"/>
    <w:rsid w:val="001F455C"/>
    <w:rsid w:val="001F4D55"/>
    <w:rsid w:val="001F5436"/>
    <w:rsid w:val="001F624D"/>
    <w:rsid w:val="001F7D20"/>
    <w:rsid w:val="0020079F"/>
    <w:rsid w:val="002024DD"/>
    <w:rsid w:val="00202722"/>
    <w:rsid w:val="002030FC"/>
    <w:rsid w:val="002045E0"/>
    <w:rsid w:val="00204AB1"/>
    <w:rsid w:val="00204B84"/>
    <w:rsid w:val="002059A5"/>
    <w:rsid w:val="00205D32"/>
    <w:rsid w:val="0020680F"/>
    <w:rsid w:val="00207066"/>
    <w:rsid w:val="00207232"/>
    <w:rsid w:val="00207901"/>
    <w:rsid w:val="00210950"/>
    <w:rsid w:val="00210C5C"/>
    <w:rsid w:val="00212EC1"/>
    <w:rsid w:val="002138EF"/>
    <w:rsid w:val="00213C26"/>
    <w:rsid w:val="00213D89"/>
    <w:rsid w:val="002144F0"/>
    <w:rsid w:val="00214F46"/>
    <w:rsid w:val="00216240"/>
    <w:rsid w:val="00216DF4"/>
    <w:rsid w:val="00217CAC"/>
    <w:rsid w:val="00217EB9"/>
    <w:rsid w:val="0022042A"/>
    <w:rsid w:val="0022064B"/>
    <w:rsid w:val="002206D0"/>
    <w:rsid w:val="00221B33"/>
    <w:rsid w:val="00221BC7"/>
    <w:rsid w:val="00221E44"/>
    <w:rsid w:val="002220E0"/>
    <w:rsid w:val="0022266B"/>
    <w:rsid w:val="002226F0"/>
    <w:rsid w:val="00222BC6"/>
    <w:rsid w:val="00222D14"/>
    <w:rsid w:val="00223393"/>
    <w:rsid w:val="00223CBF"/>
    <w:rsid w:val="00224027"/>
    <w:rsid w:val="00224386"/>
    <w:rsid w:val="00224519"/>
    <w:rsid w:val="0022468F"/>
    <w:rsid w:val="00225C0C"/>
    <w:rsid w:val="0022642F"/>
    <w:rsid w:val="00227C25"/>
    <w:rsid w:val="00232A87"/>
    <w:rsid w:val="00233078"/>
    <w:rsid w:val="002332D3"/>
    <w:rsid w:val="00233BED"/>
    <w:rsid w:val="002351A1"/>
    <w:rsid w:val="00237DD6"/>
    <w:rsid w:val="002404EC"/>
    <w:rsid w:val="0024132B"/>
    <w:rsid w:val="00241C28"/>
    <w:rsid w:val="00242C79"/>
    <w:rsid w:val="00243543"/>
    <w:rsid w:val="00244CAC"/>
    <w:rsid w:val="00245163"/>
    <w:rsid w:val="002456E7"/>
    <w:rsid w:val="00245701"/>
    <w:rsid w:val="00245955"/>
    <w:rsid w:val="00246040"/>
    <w:rsid w:val="0024629E"/>
    <w:rsid w:val="00246C2F"/>
    <w:rsid w:val="00247CE4"/>
    <w:rsid w:val="00247CEF"/>
    <w:rsid w:val="00247D02"/>
    <w:rsid w:val="00250670"/>
    <w:rsid w:val="002509EC"/>
    <w:rsid w:val="00250D84"/>
    <w:rsid w:val="002514C5"/>
    <w:rsid w:val="00251C23"/>
    <w:rsid w:val="00252C32"/>
    <w:rsid w:val="00253654"/>
    <w:rsid w:val="002539FE"/>
    <w:rsid w:val="00253EE5"/>
    <w:rsid w:val="00254453"/>
    <w:rsid w:val="00254739"/>
    <w:rsid w:val="00254C29"/>
    <w:rsid w:val="00255696"/>
    <w:rsid w:val="00255997"/>
    <w:rsid w:val="00256A9C"/>
    <w:rsid w:val="0025742F"/>
    <w:rsid w:val="00257B19"/>
    <w:rsid w:val="00257DFF"/>
    <w:rsid w:val="00260ED1"/>
    <w:rsid w:val="002619CF"/>
    <w:rsid w:val="00261E23"/>
    <w:rsid w:val="00261F83"/>
    <w:rsid w:val="00262798"/>
    <w:rsid w:val="00262C3E"/>
    <w:rsid w:val="00262EDB"/>
    <w:rsid w:val="00263140"/>
    <w:rsid w:val="00263BF3"/>
    <w:rsid w:val="00264759"/>
    <w:rsid w:val="00264C33"/>
    <w:rsid w:val="00265690"/>
    <w:rsid w:val="00265818"/>
    <w:rsid w:val="0026586C"/>
    <w:rsid w:val="00266285"/>
    <w:rsid w:val="00267636"/>
    <w:rsid w:val="00267FD0"/>
    <w:rsid w:val="0027022F"/>
    <w:rsid w:val="002708B7"/>
    <w:rsid w:val="00271BB3"/>
    <w:rsid w:val="00273A93"/>
    <w:rsid w:val="00274353"/>
    <w:rsid w:val="00274B31"/>
    <w:rsid w:val="00274DB1"/>
    <w:rsid w:val="002753FD"/>
    <w:rsid w:val="00275B3F"/>
    <w:rsid w:val="00275BA0"/>
    <w:rsid w:val="002763E2"/>
    <w:rsid w:val="0027664E"/>
    <w:rsid w:val="00276771"/>
    <w:rsid w:val="00277184"/>
    <w:rsid w:val="00277A78"/>
    <w:rsid w:val="002803C4"/>
    <w:rsid w:val="00280531"/>
    <w:rsid w:val="00280B4F"/>
    <w:rsid w:val="00281ACB"/>
    <w:rsid w:val="00282062"/>
    <w:rsid w:val="00282AB2"/>
    <w:rsid w:val="00283452"/>
    <w:rsid w:val="00283531"/>
    <w:rsid w:val="0028363C"/>
    <w:rsid w:val="0028379B"/>
    <w:rsid w:val="00283E10"/>
    <w:rsid w:val="00284393"/>
    <w:rsid w:val="00284A3D"/>
    <w:rsid w:val="002854F0"/>
    <w:rsid w:val="0028635D"/>
    <w:rsid w:val="0028657A"/>
    <w:rsid w:val="00286896"/>
    <w:rsid w:val="00286925"/>
    <w:rsid w:val="00286F2B"/>
    <w:rsid w:val="00287058"/>
    <w:rsid w:val="00290A41"/>
    <w:rsid w:val="0029126C"/>
    <w:rsid w:val="00291344"/>
    <w:rsid w:val="00291C31"/>
    <w:rsid w:val="0029258A"/>
    <w:rsid w:val="00293CED"/>
    <w:rsid w:val="0029420B"/>
    <w:rsid w:val="00297336"/>
    <w:rsid w:val="0029745A"/>
    <w:rsid w:val="002A08E0"/>
    <w:rsid w:val="002A11A7"/>
    <w:rsid w:val="002A1D5A"/>
    <w:rsid w:val="002A22AA"/>
    <w:rsid w:val="002A3BE4"/>
    <w:rsid w:val="002A3D29"/>
    <w:rsid w:val="002A4B7F"/>
    <w:rsid w:val="002A4C59"/>
    <w:rsid w:val="002A5829"/>
    <w:rsid w:val="002A5999"/>
    <w:rsid w:val="002A5B8F"/>
    <w:rsid w:val="002A5CE7"/>
    <w:rsid w:val="002A61C9"/>
    <w:rsid w:val="002A6765"/>
    <w:rsid w:val="002A6A48"/>
    <w:rsid w:val="002A6D41"/>
    <w:rsid w:val="002A74CA"/>
    <w:rsid w:val="002B0CFF"/>
    <w:rsid w:val="002B0EED"/>
    <w:rsid w:val="002B0F0A"/>
    <w:rsid w:val="002B2476"/>
    <w:rsid w:val="002B2B9D"/>
    <w:rsid w:val="002B35F3"/>
    <w:rsid w:val="002B3741"/>
    <w:rsid w:val="002B3C03"/>
    <w:rsid w:val="002B408A"/>
    <w:rsid w:val="002B4269"/>
    <w:rsid w:val="002B4764"/>
    <w:rsid w:val="002B59BB"/>
    <w:rsid w:val="002B5A09"/>
    <w:rsid w:val="002B7175"/>
    <w:rsid w:val="002B7307"/>
    <w:rsid w:val="002B7B8F"/>
    <w:rsid w:val="002C05B2"/>
    <w:rsid w:val="002C0C25"/>
    <w:rsid w:val="002C1B62"/>
    <w:rsid w:val="002C2023"/>
    <w:rsid w:val="002C203D"/>
    <w:rsid w:val="002C2046"/>
    <w:rsid w:val="002C3BAE"/>
    <w:rsid w:val="002C3F0E"/>
    <w:rsid w:val="002C4B7E"/>
    <w:rsid w:val="002C4D26"/>
    <w:rsid w:val="002C4D30"/>
    <w:rsid w:val="002C4D77"/>
    <w:rsid w:val="002C4E55"/>
    <w:rsid w:val="002C51BA"/>
    <w:rsid w:val="002C54AF"/>
    <w:rsid w:val="002C59E0"/>
    <w:rsid w:val="002C6EBB"/>
    <w:rsid w:val="002D0C81"/>
    <w:rsid w:val="002D1061"/>
    <w:rsid w:val="002D233C"/>
    <w:rsid w:val="002D2A75"/>
    <w:rsid w:val="002D2AB8"/>
    <w:rsid w:val="002D37B2"/>
    <w:rsid w:val="002D3E8C"/>
    <w:rsid w:val="002D4131"/>
    <w:rsid w:val="002D41D7"/>
    <w:rsid w:val="002D47FC"/>
    <w:rsid w:val="002D57A8"/>
    <w:rsid w:val="002D5E8F"/>
    <w:rsid w:val="002D648A"/>
    <w:rsid w:val="002D649F"/>
    <w:rsid w:val="002D71A0"/>
    <w:rsid w:val="002D7C1E"/>
    <w:rsid w:val="002E06F7"/>
    <w:rsid w:val="002E0D86"/>
    <w:rsid w:val="002E2AFD"/>
    <w:rsid w:val="002E2B32"/>
    <w:rsid w:val="002E2F45"/>
    <w:rsid w:val="002E31F1"/>
    <w:rsid w:val="002E33F0"/>
    <w:rsid w:val="002E494B"/>
    <w:rsid w:val="002E49F7"/>
    <w:rsid w:val="002E4CD3"/>
    <w:rsid w:val="002E5F3E"/>
    <w:rsid w:val="002E6060"/>
    <w:rsid w:val="002E6B8D"/>
    <w:rsid w:val="002E755D"/>
    <w:rsid w:val="002E75B7"/>
    <w:rsid w:val="002F0E39"/>
    <w:rsid w:val="002F23A0"/>
    <w:rsid w:val="002F2638"/>
    <w:rsid w:val="002F35AB"/>
    <w:rsid w:val="002F4144"/>
    <w:rsid w:val="002F49A1"/>
    <w:rsid w:val="002F4A70"/>
    <w:rsid w:val="002F4A86"/>
    <w:rsid w:val="002F622C"/>
    <w:rsid w:val="002F686F"/>
    <w:rsid w:val="002F7734"/>
    <w:rsid w:val="002F782E"/>
    <w:rsid w:val="002F7C18"/>
    <w:rsid w:val="002F7F55"/>
    <w:rsid w:val="00300CD4"/>
    <w:rsid w:val="00301157"/>
    <w:rsid w:val="00301394"/>
    <w:rsid w:val="0030207B"/>
    <w:rsid w:val="0030248D"/>
    <w:rsid w:val="00302B42"/>
    <w:rsid w:val="00302DF6"/>
    <w:rsid w:val="003036DF"/>
    <w:rsid w:val="003048D7"/>
    <w:rsid w:val="003053C9"/>
    <w:rsid w:val="00305794"/>
    <w:rsid w:val="00306340"/>
    <w:rsid w:val="00306E62"/>
    <w:rsid w:val="00310009"/>
    <w:rsid w:val="00312A5B"/>
    <w:rsid w:val="00313C9F"/>
    <w:rsid w:val="00314376"/>
    <w:rsid w:val="0031494B"/>
    <w:rsid w:val="00314B24"/>
    <w:rsid w:val="00314C5A"/>
    <w:rsid w:val="003156EB"/>
    <w:rsid w:val="003160E4"/>
    <w:rsid w:val="00316DC3"/>
    <w:rsid w:val="0031705E"/>
    <w:rsid w:val="00317780"/>
    <w:rsid w:val="00317CBB"/>
    <w:rsid w:val="00317FE3"/>
    <w:rsid w:val="0032004B"/>
    <w:rsid w:val="0032036B"/>
    <w:rsid w:val="00320403"/>
    <w:rsid w:val="003215BC"/>
    <w:rsid w:val="003220DE"/>
    <w:rsid w:val="003225D6"/>
    <w:rsid w:val="003225F2"/>
    <w:rsid w:val="003227F2"/>
    <w:rsid w:val="0032283D"/>
    <w:rsid w:val="003235E9"/>
    <w:rsid w:val="00324177"/>
    <w:rsid w:val="0032649E"/>
    <w:rsid w:val="003264D3"/>
    <w:rsid w:val="0032684E"/>
    <w:rsid w:val="00327072"/>
    <w:rsid w:val="00327483"/>
    <w:rsid w:val="00327B0A"/>
    <w:rsid w:val="00327E42"/>
    <w:rsid w:val="00330DB9"/>
    <w:rsid w:val="00330FF2"/>
    <w:rsid w:val="00331C45"/>
    <w:rsid w:val="003320CF"/>
    <w:rsid w:val="00332CC3"/>
    <w:rsid w:val="003332AE"/>
    <w:rsid w:val="00333359"/>
    <w:rsid w:val="003334F6"/>
    <w:rsid w:val="00333C1A"/>
    <w:rsid w:val="00334CB9"/>
    <w:rsid w:val="00334E41"/>
    <w:rsid w:val="00335AF6"/>
    <w:rsid w:val="00335EFC"/>
    <w:rsid w:val="00336851"/>
    <w:rsid w:val="00336C5F"/>
    <w:rsid w:val="00337A0B"/>
    <w:rsid w:val="003401E1"/>
    <w:rsid w:val="003412FF"/>
    <w:rsid w:val="00341512"/>
    <w:rsid w:val="0034192F"/>
    <w:rsid w:val="00342C52"/>
    <w:rsid w:val="00343282"/>
    <w:rsid w:val="00343922"/>
    <w:rsid w:val="00344401"/>
    <w:rsid w:val="0034499E"/>
    <w:rsid w:val="00344B74"/>
    <w:rsid w:val="00344F18"/>
    <w:rsid w:val="003452E8"/>
    <w:rsid w:val="0034558E"/>
    <w:rsid w:val="0034583E"/>
    <w:rsid w:val="00345946"/>
    <w:rsid w:val="003461D2"/>
    <w:rsid w:val="00346590"/>
    <w:rsid w:val="00346F2C"/>
    <w:rsid w:val="003473AE"/>
    <w:rsid w:val="0034777A"/>
    <w:rsid w:val="00347D4F"/>
    <w:rsid w:val="003508AC"/>
    <w:rsid w:val="00350A4F"/>
    <w:rsid w:val="00354E4D"/>
    <w:rsid w:val="003557A3"/>
    <w:rsid w:val="00355BA0"/>
    <w:rsid w:val="00356DD6"/>
    <w:rsid w:val="003577DF"/>
    <w:rsid w:val="00361535"/>
    <w:rsid w:val="0036193D"/>
    <w:rsid w:val="003624C3"/>
    <w:rsid w:val="00362638"/>
    <w:rsid w:val="003628F6"/>
    <w:rsid w:val="003631BD"/>
    <w:rsid w:val="0036388F"/>
    <w:rsid w:val="00364C7C"/>
    <w:rsid w:val="0036541C"/>
    <w:rsid w:val="00365D2F"/>
    <w:rsid w:val="00365E70"/>
    <w:rsid w:val="00365FD2"/>
    <w:rsid w:val="00366216"/>
    <w:rsid w:val="00367233"/>
    <w:rsid w:val="00367608"/>
    <w:rsid w:val="00370BF2"/>
    <w:rsid w:val="00370C35"/>
    <w:rsid w:val="00372173"/>
    <w:rsid w:val="00372201"/>
    <w:rsid w:val="00372221"/>
    <w:rsid w:val="00372A99"/>
    <w:rsid w:val="00372BE2"/>
    <w:rsid w:val="00373963"/>
    <w:rsid w:val="00375CCB"/>
    <w:rsid w:val="00375FF1"/>
    <w:rsid w:val="00377762"/>
    <w:rsid w:val="003807D7"/>
    <w:rsid w:val="003818C8"/>
    <w:rsid w:val="003841C3"/>
    <w:rsid w:val="003850AE"/>
    <w:rsid w:val="003860B2"/>
    <w:rsid w:val="00386D60"/>
    <w:rsid w:val="00386FC7"/>
    <w:rsid w:val="00387426"/>
    <w:rsid w:val="003877BE"/>
    <w:rsid w:val="00387ABE"/>
    <w:rsid w:val="00387AD6"/>
    <w:rsid w:val="00387F88"/>
    <w:rsid w:val="003903B7"/>
    <w:rsid w:val="0039066B"/>
    <w:rsid w:val="0039116A"/>
    <w:rsid w:val="0039140A"/>
    <w:rsid w:val="003915BF"/>
    <w:rsid w:val="00391E37"/>
    <w:rsid w:val="00392955"/>
    <w:rsid w:val="00392D9D"/>
    <w:rsid w:val="00396063"/>
    <w:rsid w:val="003963CF"/>
    <w:rsid w:val="003966B7"/>
    <w:rsid w:val="00396868"/>
    <w:rsid w:val="00397294"/>
    <w:rsid w:val="00397B13"/>
    <w:rsid w:val="00397E23"/>
    <w:rsid w:val="003A019F"/>
    <w:rsid w:val="003A0474"/>
    <w:rsid w:val="003A0E3D"/>
    <w:rsid w:val="003A1050"/>
    <w:rsid w:val="003A1AA7"/>
    <w:rsid w:val="003A2CC0"/>
    <w:rsid w:val="003A3C16"/>
    <w:rsid w:val="003A4360"/>
    <w:rsid w:val="003A4A24"/>
    <w:rsid w:val="003A5748"/>
    <w:rsid w:val="003A5CFC"/>
    <w:rsid w:val="003A6165"/>
    <w:rsid w:val="003A6B58"/>
    <w:rsid w:val="003A6CBE"/>
    <w:rsid w:val="003A6E66"/>
    <w:rsid w:val="003A72C6"/>
    <w:rsid w:val="003A7C8D"/>
    <w:rsid w:val="003A7DE4"/>
    <w:rsid w:val="003B06B2"/>
    <w:rsid w:val="003B0EDB"/>
    <w:rsid w:val="003B0F93"/>
    <w:rsid w:val="003B11C9"/>
    <w:rsid w:val="003B15CA"/>
    <w:rsid w:val="003B1A9F"/>
    <w:rsid w:val="003B1E41"/>
    <w:rsid w:val="003B33F1"/>
    <w:rsid w:val="003B37A1"/>
    <w:rsid w:val="003B4C78"/>
    <w:rsid w:val="003B4FEC"/>
    <w:rsid w:val="003B5153"/>
    <w:rsid w:val="003B6DF0"/>
    <w:rsid w:val="003B710D"/>
    <w:rsid w:val="003C0D06"/>
    <w:rsid w:val="003C269A"/>
    <w:rsid w:val="003C5798"/>
    <w:rsid w:val="003C644F"/>
    <w:rsid w:val="003C6639"/>
    <w:rsid w:val="003C66FB"/>
    <w:rsid w:val="003C78D3"/>
    <w:rsid w:val="003D166B"/>
    <w:rsid w:val="003D2089"/>
    <w:rsid w:val="003D252C"/>
    <w:rsid w:val="003D2950"/>
    <w:rsid w:val="003D37F3"/>
    <w:rsid w:val="003D3B98"/>
    <w:rsid w:val="003D4887"/>
    <w:rsid w:val="003D49C8"/>
    <w:rsid w:val="003D5195"/>
    <w:rsid w:val="003D52F8"/>
    <w:rsid w:val="003D532B"/>
    <w:rsid w:val="003D5C84"/>
    <w:rsid w:val="003D73F6"/>
    <w:rsid w:val="003D79A5"/>
    <w:rsid w:val="003E00B6"/>
    <w:rsid w:val="003E0158"/>
    <w:rsid w:val="003E0173"/>
    <w:rsid w:val="003E099C"/>
    <w:rsid w:val="003E10C9"/>
    <w:rsid w:val="003E1B40"/>
    <w:rsid w:val="003E1F79"/>
    <w:rsid w:val="003E391A"/>
    <w:rsid w:val="003E4A64"/>
    <w:rsid w:val="003E500C"/>
    <w:rsid w:val="003E55C2"/>
    <w:rsid w:val="003E59FA"/>
    <w:rsid w:val="003E5D3A"/>
    <w:rsid w:val="003F0C5E"/>
    <w:rsid w:val="003F1125"/>
    <w:rsid w:val="003F13C6"/>
    <w:rsid w:val="003F1B21"/>
    <w:rsid w:val="003F2261"/>
    <w:rsid w:val="003F2E3D"/>
    <w:rsid w:val="003F350D"/>
    <w:rsid w:val="003F36A6"/>
    <w:rsid w:val="003F3D2E"/>
    <w:rsid w:val="003F4177"/>
    <w:rsid w:val="003F4585"/>
    <w:rsid w:val="003F5B90"/>
    <w:rsid w:val="003F6784"/>
    <w:rsid w:val="003F7843"/>
    <w:rsid w:val="00403DB8"/>
    <w:rsid w:val="0040513C"/>
    <w:rsid w:val="004061E1"/>
    <w:rsid w:val="00406840"/>
    <w:rsid w:val="0040699F"/>
    <w:rsid w:val="0040747A"/>
    <w:rsid w:val="00410633"/>
    <w:rsid w:val="00410769"/>
    <w:rsid w:val="00411FA0"/>
    <w:rsid w:val="004142CA"/>
    <w:rsid w:val="00414593"/>
    <w:rsid w:val="004149B4"/>
    <w:rsid w:val="00415406"/>
    <w:rsid w:val="0041573F"/>
    <w:rsid w:val="00415859"/>
    <w:rsid w:val="00416584"/>
    <w:rsid w:val="0041779B"/>
    <w:rsid w:val="00417C3C"/>
    <w:rsid w:val="00420654"/>
    <w:rsid w:val="004216DD"/>
    <w:rsid w:val="00421BFB"/>
    <w:rsid w:val="00423BD1"/>
    <w:rsid w:val="004242AF"/>
    <w:rsid w:val="00424397"/>
    <w:rsid w:val="0042476C"/>
    <w:rsid w:val="004247DF"/>
    <w:rsid w:val="00425F40"/>
    <w:rsid w:val="00426F5C"/>
    <w:rsid w:val="0042735C"/>
    <w:rsid w:val="0042767D"/>
    <w:rsid w:val="00430708"/>
    <w:rsid w:val="0043082C"/>
    <w:rsid w:val="0043114A"/>
    <w:rsid w:val="004316D4"/>
    <w:rsid w:val="0043272A"/>
    <w:rsid w:val="00433444"/>
    <w:rsid w:val="004354C6"/>
    <w:rsid w:val="004357BC"/>
    <w:rsid w:val="00437135"/>
    <w:rsid w:val="0043729D"/>
    <w:rsid w:val="00437F43"/>
    <w:rsid w:val="00440B2B"/>
    <w:rsid w:val="004414D5"/>
    <w:rsid w:val="00443F41"/>
    <w:rsid w:val="00444372"/>
    <w:rsid w:val="00450228"/>
    <w:rsid w:val="0045111E"/>
    <w:rsid w:val="0045125A"/>
    <w:rsid w:val="004521E5"/>
    <w:rsid w:val="004546CE"/>
    <w:rsid w:val="00454B01"/>
    <w:rsid w:val="00454C37"/>
    <w:rsid w:val="004550FA"/>
    <w:rsid w:val="004551F9"/>
    <w:rsid w:val="00455B4B"/>
    <w:rsid w:val="0045610E"/>
    <w:rsid w:val="0045623F"/>
    <w:rsid w:val="004565A9"/>
    <w:rsid w:val="00456861"/>
    <w:rsid w:val="00456C65"/>
    <w:rsid w:val="00456E15"/>
    <w:rsid w:val="00457C83"/>
    <w:rsid w:val="00460143"/>
    <w:rsid w:val="004606B0"/>
    <w:rsid w:val="004607F3"/>
    <w:rsid w:val="00460811"/>
    <w:rsid w:val="00460BDA"/>
    <w:rsid w:val="00461C8E"/>
    <w:rsid w:val="00461E4D"/>
    <w:rsid w:val="004638C2"/>
    <w:rsid w:val="00463A48"/>
    <w:rsid w:val="00463C4F"/>
    <w:rsid w:val="00464C35"/>
    <w:rsid w:val="00464C92"/>
    <w:rsid w:val="00464EFB"/>
    <w:rsid w:val="00465688"/>
    <w:rsid w:val="004657E4"/>
    <w:rsid w:val="00465D88"/>
    <w:rsid w:val="00466436"/>
    <w:rsid w:val="00467CA1"/>
    <w:rsid w:val="004707D6"/>
    <w:rsid w:val="004710F7"/>
    <w:rsid w:val="00471A05"/>
    <w:rsid w:val="00471DD4"/>
    <w:rsid w:val="00471F45"/>
    <w:rsid w:val="004727C1"/>
    <w:rsid w:val="00474D23"/>
    <w:rsid w:val="00475242"/>
    <w:rsid w:val="00475A38"/>
    <w:rsid w:val="00475D24"/>
    <w:rsid w:val="0047618B"/>
    <w:rsid w:val="00476D34"/>
    <w:rsid w:val="0048048D"/>
    <w:rsid w:val="00481ABC"/>
    <w:rsid w:val="00481C46"/>
    <w:rsid w:val="004824A9"/>
    <w:rsid w:val="004825B7"/>
    <w:rsid w:val="00482D1D"/>
    <w:rsid w:val="004835D9"/>
    <w:rsid w:val="00484152"/>
    <w:rsid w:val="00484746"/>
    <w:rsid w:val="00484813"/>
    <w:rsid w:val="00486174"/>
    <w:rsid w:val="00486A61"/>
    <w:rsid w:val="00486FD0"/>
    <w:rsid w:val="00490420"/>
    <w:rsid w:val="00490754"/>
    <w:rsid w:val="0049097F"/>
    <w:rsid w:val="00490BC6"/>
    <w:rsid w:val="0049108A"/>
    <w:rsid w:val="004917BA"/>
    <w:rsid w:val="004924B2"/>
    <w:rsid w:val="00492D49"/>
    <w:rsid w:val="00493735"/>
    <w:rsid w:val="00493C31"/>
    <w:rsid w:val="004946EA"/>
    <w:rsid w:val="004948C8"/>
    <w:rsid w:val="00494EC9"/>
    <w:rsid w:val="00495447"/>
    <w:rsid w:val="0049570D"/>
    <w:rsid w:val="0049629D"/>
    <w:rsid w:val="00496E4D"/>
    <w:rsid w:val="004975CA"/>
    <w:rsid w:val="004A0AC5"/>
    <w:rsid w:val="004A0BB0"/>
    <w:rsid w:val="004A19B9"/>
    <w:rsid w:val="004A25A6"/>
    <w:rsid w:val="004A26EB"/>
    <w:rsid w:val="004A2B24"/>
    <w:rsid w:val="004A2D93"/>
    <w:rsid w:val="004A3235"/>
    <w:rsid w:val="004A4455"/>
    <w:rsid w:val="004A4537"/>
    <w:rsid w:val="004A454D"/>
    <w:rsid w:val="004A4AEC"/>
    <w:rsid w:val="004A4CEB"/>
    <w:rsid w:val="004A5A7C"/>
    <w:rsid w:val="004A5CA3"/>
    <w:rsid w:val="004A6C52"/>
    <w:rsid w:val="004A7426"/>
    <w:rsid w:val="004A77E9"/>
    <w:rsid w:val="004A7BC0"/>
    <w:rsid w:val="004B010E"/>
    <w:rsid w:val="004B021C"/>
    <w:rsid w:val="004B0657"/>
    <w:rsid w:val="004B073B"/>
    <w:rsid w:val="004B073E"/>
    <w:rsid w:val="004B0901"/>
    <w:rsid w:val="004B14E1"/>
    <w:rsid w:val="004B1E64"/>
    <w:rsid w:val="004B33E0"/>
    <w:rsid w:val="004B374D"/>
    <w:rsid w:val="004B3772"/>
    <w:rsid w:val="004B3825"/>
    <w:rsid w:val="004B3F21"/>
    <w:rsid w:val="004B53C5"/>
    <w:rsid w:val="004B5D74"/>
    <w:rsid w:val="004B6255"/>
    <w:rsid w:val="004B63F2"/>
    <w:rsid w:val="004B64F5"/>
    <w:rsid w:val="004B6C49"/>
    <w:rsid w:val="004B7036"/>
    <w:rsid w:val="004C007A"/>
    <w:rsid w:val="004C035F"/>
    <w:rsid w:val="004C15CE"/>
    <w:rsid w:val="004C1F16"/>
    <w:rsid w:val="004C252C"/>
    <w:rsid w:val="004C318F"/>
    <w:rsid w:val="004C325C"/>
    <w:rsid w:val="004C34CB"/>
    <w:rsid w:val="004C3B65"/>
    <w:rsid w:val="004C472E"/>
    <w:rsid w:val="004C4B78"/>
    <w:rsid w:val="004C579B"/>
    <w:rsid w:val="004C6250"/>
    <w:rsid w:val="004C7E7A"/>
    <w:rsid w:val="004D002C"/>
    <w:rsid w:val="004D0E4A"/>
    <w:rsid w:val="004D2A7D"/>
    <w:rsid w:val="004D309F"/>
    <w:rsid w:val="004D3DD0"/>
    <w:rsid w:val="004D53A0"/>
    <w:rsid w:val="004D5708"/>
    <w:rsid w:val="004D60FB"/>
    <w:rsid w:val="004D7E03"/>
    <w:rsid w:val="004D7F4A"/>
    <w:rsid w:val="004E08BE"/>
    <w:rsid w:val="004E0E11"/>
    <w:rsid w:val="004E1202"/>
    <w:rsid w:val="004E2FFC"/>
    <w:rsid w:val="004E3329"/>
    <w:rsid w:val="004E3DA1"/>
    <w:rsid w:val="004E40C4"/>
    <w:rsid w:val="004E4A9B"/>
    <w:rsid w:val="004E4C1F"/>
    <w:rsid w:val="004E501A"/>
    <w:rsid w:val="004E563F"/>
    <w:rsid w:val="004E6228"/>
    <w:rsid w:val="004E6A17"/>
    <w:rsid w:val="004F0B62"/>
    <w:rsid w:val="004F1855"/>
    <w:rsid w:val="004F1D65"/>
    <w:rsid w:val="004F2416"/>
    <w:rsid w:val="004F277F"/>
    <w:rsid w:val="004F3CD0"/>
    <w:rsid w:val="004F3D4F"/>
    <w:rsid w:val="004F412A"/>
    <w:rsid w:val="004F4468"/>
    <w:rsid w:val="004F6966"/>
    <w:rsid w:val="004F6E4A"/>
    <w:rsid w:val="004F7DFC"/>
    <w:rsid w:val="004F7EF9"/>
    <w:rsid w:val="00500002"/>
    <w:rsid w:val="0050122A"/>
    <w:rsid w:val="00501883"/>
    <w:rsid w:val="005018D7"/>
    <w:rsid w:val="00501D8F"/>
    <w:rsid w:val="00502274"/>
    <w:rsid w:val="0050307E"/>
    <w:rsid w:val="00503DDC"/>
    <w:rsid w:val="00504547"/>
    <w:rsid w:val="0050473D"/>
    <w:rsid w:val="00504910"/>
    <w:rsid w:val="00507A16"/>
    <w:rsid w:val="00507C1D"/>
    <w:rsid w:val="00507DD6"/>
    <w:rsid w:val="005101F2"/>
    <w:rsid w:val="005109B6"/>
    <w:rsid w:val="00511A28"/>
    <w:rsid w:val="00511FA7"/>
    <w:rsid w:val="005123FD"/>
    <w:rsid w:val="0051268C"/>
    <w:rsid w:val="00513CAE"/>
    <w:rsid w:val="00513E66"/>
    <w:rsid w:val="00514C1B"/>
    <w:rsid w:val="00516968"/>
    <w:rsid w:val="005172C4"/>
    <w:rsid w:val="00517DB3"/>
    <w:rsid w:val="00517F69"/>
    <w:rsid w:val="005210A3"/>
    <w:rsid w:val="0052157D"/>
    <w:rsid w:val="0052467F"/>
    <w:rsid w:val="00524F31"/>
    <w:rsid w:val="0052593D"/>
    <w:rsid w:val="00527C2A"/>
    <w:rsid w:val="005311CD"/>
    <w:rsid w:val="0053120B"/>
    <w:rsid w:val="005323CE"/>
    <w:rsid w:val="005336A7"/>
    <w:rsid w:val="00533971"/>
    <w:rsid w:val="00533C9B"/>
    <w:rsid w:val="005345CF"/>
    <w:rsid w:val="00535B23"/>
    <w:rsid w:val="00536955"/>
    <w:rsid w:val="005372F5"/>
    <w:rsid w:val="005402ED"/>
    <w:rsid w:val="00540875"/>
    <w:rsid w:val="0054142E"/>
    <w:rsid w:val="00543B15"/>
    <w:rsid w:val="0054400F"/>
    <w:rsid w:val="00544759"/>
    <w:rsid w:val="005447B0"/>
    <w:rsid w:val="0054593C"/>
    <w:rsid w:val="00545955"/>
    <w:rsid w:val="00546F17"/>
    <w:rsid w:val="0054768C"/>
    <w:rsid w:val="0055038F"/>
    <w:rsid w:val="00550762"/>
    <w:rsid w:val="0055079B"/>
    <w:rsid w:val="005508C2"/>
    <w:rsid w:val="00550912"/>
    <w:rsid w:val="00550973"/>
    <w:rsid w:val="00550DDB"/>
    <w:rsid w:val="00551833"/>
    <w:rsid w:val="00551A34"/>
    <w:rsid w:val="00553C1A"/>
    <w:rsid w:val="00553ED4"/>
    <w:rsid w:val="00553F4F"/>
    <w:rsid w:val="005543F2"/>
    <w:rsid w:val="00554447"/>
    <w:rsid w:val="00555180"/>
    <w:rsid w:val="0055519B"/>
    <w:rsid w:val="005565C9"/>
    <w:rsid w:val="00557721"/>
    <w:rsid w:val="005579E3"/>
    <w:rsid w:val="00560A53"/>
    <w:rsid w:val="00561441"/>
    <w:rsid w:val="005614FD"/>
    <w:rsid w:val="00561B43"/>
    <w:rsid w:val="0056214F"/>
    <w:rsid w:val="0056302F"/>
    <w:rsid w:val="0056303B"/>
    <w:rsid w:val="0056322A"/>
    <w:rsid w:val="005641B0"/>
    <w:rsid w:val="00564429"/>
    <w:rsid w:val="00564881"/>
    <w:rsid w:val="00564E2B"/>
    <w:rsid w:val="00566398"/>
    <w:rsid w:val="005668E8"/>
    <w:rsid w:val="00567B19"/>
    <w:rsid w:val="00570D11"/>
    <w:rsid w:val="00571C3F"/>
    <w:rsid w:val="005734B0"/>
    <w:rsid w:val="00574835"/>
    <w:rsid w:val="00574D13"/>
    <w:rsid w:val="0057534C"/>
    <w:rsid w:val="00576000"/>
    <w:rsid w:val="00576B44"/>
    <w:rsid w:val="005805C5"/>
    <w:rsid w:val="00580F3E"/>
    <w:rsid w:val="00582187"/>
    <w:rsid w:val="00582212"/>
    <w:rsid w:val="00583629"/>
    <w:rsid w:val="00584B5D"/>
    <w:rsid w:val="00584F92"/>
    <w:rsid w:val="005869CB"/>
    <w:rsid w:val="00586E11"/>
    <w:rsid w:val="00587DB3"/>
    <w:rsid w:val="00590073"/>
    <w:rsid w:val="0059067C"/>
    <w:rsid w:val="005906A7"/>
    <w:rsid w:val="00591033"/>
    <w:rsid w:val="00591845"/>
    <w:rsid w:val="0059228B"/>
    <w:rsid w:val="00593E32"/>
    <w:rsid w:val="00595846"/>
    <w:rsid w:val="00595ACE"/>
    <w:rsid w:val="00597930"/>
    <w:rsid w:val="005A1958"/>
    <w:rsid w:val="005A1C0B"/>
    <w:rsid w:val="005A1F62"/>
    <w:rsid w:val="005A2436"/>
    <w:rsid w:val="005A27FB"/>
    <w:rsid w:val="005A326C"/>
    <w:rsid w:val="005A58C5"/>
    <w:rsid w:val="005A5B1B"/>
    <w:rsid w:val="005A6B84"/>
    <w:rsid w:val="005A6C88"/>
    <w:rsid w:val="005B013D"/>
    <w:rsid w:val="005B02EB"/>
    <w:rsid w:val="005B208B"/>
    <w:rsid w:val="005B25D6"/>
    <w:rsid w:val="005B260D"/>
    <w:rsid w:val="005B2A39"/>
    <w:rsid w:val="005B2C17"/>
    <w:rsid w:val="005B2C5D"/>
    <w:rsid w:val="005B5554"/>
    <w:rsid w:val="005B5E1D"/>
    <w:rsid w:val="005B6BBD"/>
    <w:rsid w:val="005B6F4F"/>
    <w:rsid w:val="005B746A"/>
    <w:rsid w:val="005C0537"/>
    <w:rsid w:val="005C0AC9"/>
    <w:rsid w:val="005C1231"/>
    <w:rsid w:val="005C2914"/>
    <w:rsid w:val="005C3056"/>
    <w:rsid w:val="005C373C"/>
    <w:rsid w:val="005C3AD1"/>
    <w:rsid w:val="005C41EC"/>
    <w:rsid w:val="005C4843"/>
    <w:rsid w:val="005C52E9"/>
    <w:rsid w:val="005C61D1"/>
    <w:rsid w:val="005C6E85"/>
    <w:rsid w:val="005C6FDC"/>
    <w:rsid w:val="005C78AB"/>
    <w:rsid w:val="005D0529"/>
    <w:rsid w:val="005D100C"/>
    <w:rsid w:val="005D1A69"/>
    <w:rsid w:val="005D20B3"/>
    <w:rsid w:val="005D2D22"/>
    <w:rsid w:val="005D30D7"/>
    <w:rsid w:val="005D31B3"/>
    <w:rsid w:val="005D3587"/>
    <w:rsid w:val="005D4483"/>
    <w:rsid w:val="005D49D1"/>
    <w:rsid w:val="005D4D21"/>
    <w:rsid w:val="005D508B"/>
    <w:rsid w:val="005D580D"/>
    <w:rsid w:val="005D5C86"/>
    <w:rsid w:val="005D6D84"/>
    <w:rsid w:val="005D7908"/>
    <w:rsid w:val="005E017D"/>
    <w:rsid w:val="005E1873"/>
    <w:rsid w:val="005E1D99"/>
    <w:rsid w:val="005E22F3"/>
    <w:rsid w:val="005E2A2A"/>
    <w:rsid w:val="005E3BA3"/>
    <w:rsid w:val="005E46DF"/>
    <w:rsid w:val="005E573A"/>
    <w:rsid w:val="005E5EB5"/>
    <w:rsid w:val="005E66A8"/>
    <w:rsid w:val="005E6904"/>
    <w:rsid w:val="005E699D"/>
    <w:rsid w:val="005E70CB"/>
    <w:rsid w:val="005F0799"/>
    <w:rsid w:val="005F1D2B"/>
    <w:rsid w:val="005F2410"/>
    <w:rsid w:val="005F2D3B"/>
    <w:rsid w:val="005F3B30"/>
    <w:rsid w:val="005F423A"/>
    <w:rsid w:val="005F426B"/>
    <w:rsid w:val="005F4702"/>
    <w:rsid w:val="005F4949"/>
    <w:rsid w:val="005F5DC2"/>
    <w:rsid w:val="005F5FB1"/>
    <w:rsid w:val="005F5FC0"/>
    <w:rsid w:val="005F6BB0"/>
    <w:rsid w:val="0060082B"/>
    <w:rsid w:val="0060116E"/>
    <w:rsid w:val="00601C50"/>
    <w:rsid w:val="006024A0"/>
    <w:rsid w:val="00602538"/>
    <w:rsid w:val="00602FFD"/>
    <w:rsid w:val="006030FE"/>
    <w:rsid w:val="00603ABA"/>
    <w:rsid w:val="00604DEB"/>
    <w:rsid w:val="0060641F"/>
    <w:rsid w:val="0060678F"/>
    <w:rsid w:val="00610C19"/>
    <w:rsid w:val="00610D2C"/>
    <w:rsid w:val="006121A0"/>
    <w:rsid w:val="00612B23"/>
    <w:rsid w:val="00612C6E"/>
    <w:rsid w:val="00612EE7"/>
    <w:rsid w:val="00613E0F"/>
    <w:rsid w:val="00613FD2"/>
    <w:rsid w:val="00614227"/>
    <w:rsid w:val="006149CF"/>
    <w:rsid w:val="00615583"/>
    <w:rsid w:val="0061668A"/>
    <w:rsid w:val="0061714A"/>
    <w:rsid w:val="00617C98"/>
    <w:rsid w:val="00620461"/>
    <w:rsid w:val="00620496"/>
    <w:rsid w:val="00620780"/>
    <w:rsid w:val="006215F8"/>
    <w:rsid w:val="0062259F"/>
    <w:rsid w:val="00623EE6"/>
    <w:rsid w:val="0062488D"/>
    <w:rsid w:val="00624C9B"/>
    <w:rsid w:val="00624DDF"/>
    <w:rsid w:val="006259D8"/>
    <w:rsid w:val="0062633F"/>
    <w:rsid w:val="00626446"/>
    <w:rsid w:val="00626631"/>
    <w:rsid w:val="00626887"/>
    <w:rsid w:val="00626B2D"/>
    <w:rsid w:val="006313B7"/>
    <w:rsid w:val="00631BFA"/>
    <w:rsid w:val="006325B9"/>
    <w:rsid w:val="006326C6"/>
    <w:rsid w:val="00632F03"/>
    <w:rsid w:val="0063330F"/>
    <w:rsid w:val="00633AC4"/>
    <w:rsid w:val="006344B3"/>
    <w:rsid w:val="00634FD6"/>
    <w:rsid w:val="00636AA1"/>
    <w:rsid w:val="00637A29"/>
    <w:rsid w:val="0064007F"/>
    <w:rsid w:val="00640B80"/>
    <w:rsid w:val="00641EF3"/>
    <w:rsid w:val="0064220E"/>
    <w:rsid w:val="00642C74"/>
    <w:rsid w:val="00643999"/>
    <w:rsid w:val="00643E2D"/>
    <w:rsid w:val="00643EEB"/>
    <w:rsid w:val="006440BC"/>
    <w:rsid w:val="00644562"/>
    <w:rsid w:val="006449A7"/>
    <w:rsid w:val="00645AE8"/>
    <w:rsid w:val="00645CDE"/>
    <w:rsid w:val="006469C4"/>
    <w:rsid w:val="0064701B"/>
    <w:rsid w:val="0064711F"/>
    <w:rsid w:val="00647DA6"/>
    <w:rsid w:val="00647DDE"/>
    <w:rsid w:val="006507D5"/>
    <w:rsid w:val="00650A43"/>
    <w:rsid w:val="00652B73"/>
    <w:rsid w:val="00652D1F"/>
    <w:rsid w:val="006530C2"/>
    <w:rsid w:val="00653681"/>
    <w:rsid w:val="00653E27"/>
    <w:rsid w:val="00653FB3"/>
    <w:rsid w:val="006551CF"/>
    <w:rsid w:val="0065549E"/>
    <w:rsid w:val="006564B5"/>
    <w:rsid w:val="00656892"/>
    <w:rsid w:val="00656FC2"/>
    <w:rsid w:val="0065706E"/>
    <w:rsid w:val="006578C2"/>
    <w:rsid w:val="006600D0"/>
    <w:rsid w:val="006612CF"/>
    <w:rsid w:val="006618B5"/>
    <w:rsid w:val="00661983"/>
    <w:rsid w:val="00661CEC"/>
    <w:rsid w:val="006622BD"/>
    <w:rsid w:val="00662A96"/>
    <w:rsid w:val="006630FD"/>
    <w:rsid w:val="00663609"/>
    <w:rsid w:val="0066368D"/>
    <w:rsid w:val="00664110"/>
    <w:rsid w:val="0066533F"/>
    <w:rsid w:val="006658CA"/>
    <w:rsid w:val="00665FEE"/>
    <w:rsid w:val="00666B84"/>
    <w:rsid w:val="00667604"/>
    <w:rsid w:val="00667EE6"/>
    <w:rsid w:val="006706A8"/>
    <w:rsid w:val="00671596"/>
    <w:rsid w:val="0067207D"/>
    <w:rsid w:val="006743CF"/>
    <w:rsid w:val="00674541"/>
    <w:rsid w:val="0067471B"/>
    <w:rsid w:val="006752A0"/>
    <w:rsid w:val="00675AA8"/>
    <w:rsid w:val="00675CAF"/>
    <w:rsid w:val="00675FFB"/>
    <w:rsid w:val="00677AF4"/>
    <w:rsid w:val="0068129E"/>
    <w:rsid w:val="006822DA"/>
    <w:rsid w:val="0068236E"/>
    <w:rsid w:val="006824C9"/>
    <w:rsid w:val="00683200"/>
    <w:rsid w:val="00683278"/>
    <w:rsid w:val="006834BF"/>
    <w:rsid w:val="00683627"/>
    <w:rsid w:val="0068396A"/>
    <w:rsid w:val="00683A6E"/>
    <w:rsid w:val="0068514B"/>
    <w:rsid w:val="00685CDB"/>
    <w:rsid w:val="00686051"/>
    <w:rsid w:val="00686C4E"/>
    <w:rsid w:val="00686E0E"/>
    <w:rsid w:val="006876C1"/>
    <w:rsid w:val="006902E5"/>
    <w:rsid w:val="006909CF"/>
    <w:rsid w:val="00690FAE"/>
    <w:rsid w:val="00691532"/>
    <w:rsid w:val="006916B1"/>
    <w:rsid w:val="00691A7C"/>
    <w:rsid w:val="006930D4"/>
    <w:rsid w:val="00693300"/>
    <w:rsid w:val="0069350D"/>
    <w:rsid w:val="006935F8"/>
    <w:rsid w:val="00694100"/>
    <w:rsid w:val="00694D21"/>
    <w:rsid w:val="006A00F1"/>
    <w:rsid w:val="006A0478"/>
    <w:rsid w:val="006A06A8"/>
    <w:rsid w:val="006A0D7A"/>
    <w:rsid w:val="006A21A7"/>
    <w:rsid w:val="006A23B5"/>
    <w:rsid w:val="006A2493"/>
    <w:rsid w:val="006A395B"/>
    <w:rsid w:val="006A47E2"/>
    <w:rsid w:val="006A4B88"/>
    <w:rsid w:val="006A675F"/>
    <w:rsid w:val="006A6BA5"/>
    <w:rsid w:val="006A7738"/>
    <w:rsid w:val="006A78C7"/>
    <w:rsid w:val="006B0400"/>
    <w:rsid w:val="006B0878"/>
    <w:rsid w:val="006B213F"/>
    <w:rsid w:val="006B2CF8"/>
    <w:rsid w:val="006B2F7D"/>
    <w:rsid w:val="006B369A"/>
    <w:rsid w:val="006B3BFF"/>
    <w:rsid w:val="006B4E35"/>
    <w:rsid w:val="006B5EC9"/>
    <w:rsid w:val="006B60F3"/>
    <w:rsid w:val="006B6880"/>
    <w:rsid w:val="006B76E6"/>
    <w:rsid w:val="006B7756"/>
    <w:rsid w:val="006B7AD9"/>
    <w:rsid w:val="006C0613"/>
    <w:rsid w:val="006C0F89"/>
    <w:rsid w:val="006C1E32"/>
    <w:rsid w:val="006C20B5"/>
    <w:rsid w:val="006C28B6"/>
    <w:rsid w:val="006C2C44"/>
    <w:rsid w:val="006C2D11"/>
    <w:rsid w:val="006C4977"/>
    <w:rsid w:val="006C5870"/>
    <w:rsid w:val="006C5B8A"/>
    <w:rsid w:val="006C7055"/>
    <w:rsid w:val="006C73B7"/>
    <w:rsid w:val="006D02FF"/>
    <w:rsid w:val="006D1609"/>
    <w:rsid w:val="006D2793"/>
    <w:rsid w:val="006D2FC0"/>
    <w:rsid w:val="006D3395"/>
    <w:rsid w:val="006D3A4E"/>
    <w:rsid w:val="006D3B6C"/>
    <w:rsid w:val="006D3D58"/>
    <w:rsid w:val="006D4FD5"/>
    <w:rsid w:val="006D570C"/>
    <w:rsid w:val="006D73C3"/>
    <w:rsid w:val="006E2ED0"/>
    <w:rsid w:val="006E3310"/>
    <w:rsid w:val="006E3A00"/>
    <w:rsid w:val="006E3C19"/>
    <w:rsid w:val="006E46F9"/>
    <w:rsid w:val="006E4E85"/>
    <w:rsid w:val="006E50F7"/>
    <w:rsid w:val="006E545A"/>
    <w:rsid w:val="006E62D2"/>
    <w:rsid w:val="006E67A2"/>
    <w:rsid w:val="006E72D1"/>
    <w:rsid w:val="006E7361"/>
    <w:rsid w:val="006F01E4"/>
    <w:rsid w:val="006F0F66"/>
    <w:rsid w:val="006F1E9D"/>
    <w:rsid w:val="006F1FE0"/>
    <w:rsid w:val="006F2C1B"/>
    <w:rsid w:val="006F37CB"/>
    <w:rsid w:val="006F3D26"/>
    <w:rsid w:val="006F3FC0"/>
    <w:rsid w:val="006F42C8"/>
    <w:rsid w:val="006F525B"/>
    <w:rsid w:val="006F5FE2"/>
    <w:rsid w:val="006F688B"/>
    <w:rsid w:val="007003ED"/>
    <w:rsid w:val="00701B80"/>
    <w:rsid w:val="00702B44"/>
    <w:rsid w:val="0070335C"/>
    <w:rsid w:val="0070338E"/>
    <w:rsid w:val="0070410E"/>
    <w:rsid w:val="00704342"/>
    <w:rsid w:val="00705615"/>
    <w:rsid w:val="00705A59"/>
    <w:rsid w:val="00705CCA"/>
    <w:rsid w:val="00706AA9"/>
    <w:rsid w:val="00706CEC"/>
    <w:rsid w:val="00707067"/>
    <w:rsid w:val="00707146"/>
    <w:rsid w:val="00707871"/>
    <w:rsid w:val="00710187"/>
    <w:rsid w:val="00710BB3"/>
    <w:rsid w:val="00710C80"/>
    <w:rsid w:val="00713F9D"/>
    <w:rsid w:val="0071415E"/>
    <w:rsid w:val="007154CE"/>
    <w:rsid w:val="00716CB8"/>
    <w:rsid w:val="00717A49"/>
    <w:rsid w:val="0072220D"/>
    <w:rsid w:val="00722428"/>
    <w:rsid w:val="00722702"/>
    <w:rsid w:val="0072294B"/>
    <w:rsid w:val="00722D83"/>
    <w:rsid w:val="00722E2A"/>
    <w:rsid w:val="007234B4"/>
    <w:rsid w:val="00723C2F"/>
    <w:rsid w:val="0072560D"/>
    <w:rsid w:val="0072582D"/>
    <w:rsid w:val="0072590E"/>
    <w:rsid w:val="00725B41"/>
    <w:rsid w:val="007266A9"/>
    <w:rsid w:val="00726F39"/>
    <w:rsid w:val="00727055"/>
    <w:rsid w:val="007271FD"/>
    <w:rsid w:val="007274CB"/>
    <w:rsid w:val="00727E0A"/>
    <w:rsid w:val="00730438"/>
    <w:rsid w:val="00730861"/>
    <w:rsid w:val="00731233"/>
    <w:rsid w:val="0073176E"/>
    <w:rsid w:val="00731C34"/>
    <w:rsid w:val="0073228D"/>
    <w:rsid w:val="00732861"/>
    <w:rsid w:val="007328BF"/>
    <w:rsid w:val="00732D5B"/>
    <w:rsid w:val="00733328"/>
    <w:rsid w:val="007335C1"/>
    <w:rsid w:val="00733610"/>
    <w:rsid w:val="00733E52"/>
    <w:rsid w:val="00734209"/>
    <w:rsid w:val="0073434D"/>
    <w:rsid w:val="00734F19"/>
    <w:rsid w:val="007356ED"/>
    <w:rsid w:val="00735CA5"/>
    <w:rsid w:val="00735DCE"/>
    <w:rsid w:val="00735F6D"/>
    <w:rsid w:val="007363E1"/>
    <w:rsid w:val="007364AF"/>
    <w:rsid w:val="00736763"/>
    <w:rsid w:val="00736D94"/>
    <w:rsid w:val="00740697"/>
    <w:rsid w:val="00741686"/>
    <w:rsid w:val="00741A1C"/>
    <w:rsid w:val="00744629"/>
    <w:rsid w:val="00744AAE"/>
    <w:rsid w:val="00744AF1"/>
    <w:rsid w:val="007452FF"/>
    <w:rsid w:val="0074622D"/>
    <w:rsid w:val="0074699B"/>
    <w:rsid w:val="00746D9E"/>
    <w:rsid w:val="00747B14"/>
    <w:rsid w:val="00747FA5"/>
    <w:rsid w:val="00751C68"/>
    <w:rsid w:val="007520AD"/>
    <w:rsid w:val="00752266"/>
    <w:rsid w:val="0075293E"/>
    <w:rsid w:val="0075348E"/>
    <w:rsid w:val="0075375B"/>
    <w:rsid w:val="007539A8"/>
    <w:rsid w:val="00753F29"/>
    <w:rsid w:val="0075496E"/>
    <w:rsid w:val="00755A2F"/>
    <w:rsid w:val="00756320"/>
    <w:rsid w:val="007570E7"/>
    <w:rsid w:val="00757724"/>
    <w:rsid w:val="007579B6"/>
    <w:rsid w:val="00757B8B"/>
    <w:rsid w:val="00761175"/>
    <w:rsid w:val="00761302"/>
    <w:rsid w:val="00761734"/>
    <w:rsid w:val="00762E4D"/>
    <w:rsid w:val="00763C45"/>
    <w:rsid w:val="00764740"/>
    <w:rsid w:val="007647C1"/>
    <w:rsid w:val="0076480F"/>
    <w:rsid w:val="0076507D"/>
    <w:rsid w:val="007652E2"/>
    <w:rsid w:val="007668E4"/>
    <w:rsid w:val="00766AE7"/>
    <w:rsid w:val="00770065"/>
    <w:rsid w:val="00770626"/>
    <w:rsid w:val="00771182"/>
    <w:rsid w:val="00772097"/>
    <w:rsid w:val="00772823"/>
    <w:rsid w:val="00773358"/>
    <w:rsid w:val="00773622"/>
    <w:rsid w:val="00774045"/>
    <w:rsid w:val="00774054"/>
    <w:rsid w:val="00774D17"/>
    <w:rsid w:val="00774F8A"/>
    <w:rsid w:val="00775688"/>
    <w:rsid w:val="007768E9"/>
    <w:rsid w:val="00776B83"/>
    <w:rsid w:val="00777085"/>
    <w:rsid w:val="00777118"/>
    <w:rsid w:val="007777A6"/>
    <w:rsid w:val="0078012D"/>
    <w:rsid w:val="00780A1D"/>
    <w:rsid w:val="00780AC8"/>
    <w:rsid w:val="00780C8E"/>
    <w:rsid w:val="0078139A"/>
    <w:rsid w:val="007817B6"/>
    <w:rsid w:val="007820D7"/>
    <w:rsid w:val="00782839"/>
    <w:rsid w:val="00782CAD"/>
    <w:rsid w:val="00782E61"/>
    <w:rsid w:val="00784D00"/>
    <w:rsid w:val="00785412"/>
    <w:rsid w:val="00785D49"/>
    <w:rsid w:val="00786238"/>
    <w:rsid w:val="00786B04"/>
    <w:rsid w:val="00787019"/>
    <w:rsid w:val="00787E38"/>
    <w:rsid w:val="0079031D"/>
    <w:rsid w:val="00790DE4"/>
    <w:rsid w:val="00791893"/>
    <w:rsid w:val="00791A1A"/>
    <w:rsid w:val="007923C7"/>
    <w:rsid w:val="007923D9"/>
    <w:rsid w:val="0079329F"/>
    <w:rsid w:val="0079377C"/>
    <w:rsid w:val="00794DFD"/>
    <w:rsid w:val="0079607B"/>
    <w:rsid w:val="007971BD"/>
    <w:rsid w:val="00797D72"/>
    <w:rsid w:val="007A1068"/>
    <w:rsid w:val="007A1163"/>
    <w:rsid w:val="007A1E8C"/>
    <w:rsid w:val="007A2B7E"/>
    <w:rsid w:val="007A453E"/>
    <w:rsid w:val="007A5284"/>
    <w:rsid w:val="007A54A2"/>
    <w:rsid w:val="007A61C1"/>
    <w:rsid w:val="007A7FF0"/>
    <w:rsid w:val="007B02E2"/>
    <w:rsid w:val="007B0370"/>
    <w:rsid w:val="007B051F"/>
    <w:rsid w:val="007B0568"/>
    <w:rsid w:val="007B0B45"/>
    <w:rsid w:val="007B2703"/>
    <w:rsid w:val="007B2715"/>
    <w:rsid w:val="007B3706"/>
    <w:rsid w:val="007B4754"/>
    <w:rsid w:val="007B4965"/>
    <w:rsid w:val="007B6A2C"/>
    <w:rsid w:val="007B7B27"/>
    <w:rsid w:val="007C03CA"/>
    <w:rsid w:val="007C08D8"/>
    <w:rsid w:val="007C10AF"/>
    <w:rsid w:val="007C1B0B"/>
    <w:rsid w:val="007C285A"/>
    <w:rsid w:val="007C32CA"/>
    <w:rsid w:val="007C3663"/>
    <w:rsid w:val="007C39EA"/>
    <w:rsid w:val="007C3ED4"/>
    <w:rsid w:val="007C435E"/>
    <w:rsid w:val="007C44CE"/>
    <w:rsid w:val="007C5380"/>
    <w:rsid w:val="007C5B2E"/>
    <w:rsid w:val="007C5BD4"/>
    <w:rsid w:val="007C6563"/>
    <w:rsid w:val="007C6FDA"/>
    <w:rsid w:val="007D0A69"/>
    <w:rsid w:val="007D0A87"/>
    <w:rsid w:val="007D1B19"/>
    <w:rsid w:val="007D2018"/>
    <w:rsid w:val="007D284E"/>
    <w:rsid w:val="007D31C0"/>
    <w:rsid w:val="007D4953"/>
    <w:rsid w:val="007D4EB6"/>
    <w:rsid w:val="007D59C6"/>
    <w:rsid w:val="007D64B5"/>
    <w:rsid w:val="007D6760"/>
    <w:rsid w:val="007D68F4"/>
    <w:rsid w:val="007D6997"/>
    <w:rsid w:val="007D6FC0"/>
    <w:rsid w:val="007E0B72"/>
    <w:rsid w:val="007E1064"/>
    <w:rsid w:val="007E1291"/>
    <w:rsid w:val="007E1838"/>
    <w:rsid w:val="007E33E0"/>
    <w:rsid w:val="007E49AF"/>
    <w:rsid w:val="007E4FA6"/>
    <w:rsid w:val="007E5486"/>
    <w:rsid w:val="007E584E"/>
    <w:rsid w:val="007E69ED"/>
    <w:rsid w:val="007E6FAE"/>
    <w:rsid w:val="007E7208"/>
    <w:rsid w:val="007E79D2"/>
    <w:rsid w:val="007E79ED"/>
    <w:rsid w:val="007E7AB2"/>
    <w:rsid w:val="007F0276"/>
    <w:rsid w:val="007F1AA3"/>
    <w:rsid w:val="007F2523"/>
    <w:rsid w:val="007F34A9"/>
    <w:rsid w:val="007F3DDB"/>
    <w:rsid w:val="007F3DE0"/>
    <w:rsid w:val="007F41B6"/>
    <w:rsid w:val="007F4389"/>
    <w:rsid w:val="007F5952"/>
    <w:rsid w:val="007F5D02"/>
    <w:rsid w:val="007F5DC1"/>
    <w:rsid w:val="007F6C6B"/>
    <w:rsid w:val="00801766"/>
    <w:rsid w:val="00802032"/>
    <w:rsid w:val="008028B0"/>
    <w:rsid w:val="00802FDA"/>
    <w:rsid w:val="00804246"/>
    <w:rsid w:val="00806402"/>
    <w:rsid w:val="008064B2"/>
    <w:rsid w:val="008067FE"/>
    <w:rsid w:val="0080737E"/>
    <w:rsid w:val="008118DD"/>
    <w:rsid w:val="00811A15"/>
    <w:rsid w:val="008126A1"/>
    <w:rsid w:val="008130D5"/>
    <w:rsid w:val="00813D8C"/>
    <w:rsid w:val="00814A33"/>
    <w:rsid w:val="0081534B"/>
    <w:rsid w:val="008162DF"/>
    <w:rsid w:val="00816FED"/>
    <w:rsid w:val="00817DB8"/>
    <w:rsid w:val="00820524"/>
    <w:rsid w:val="00820E8C"/>
    <w:rsid w:val="00821527"/>
    <w:rsid w:val="00821648"/>
    <w:rsid w:val="00822A5F"/>
    <w:rsid w:val="00822B93"/>
    <w:rsid w:val="00823FFD"/>
    <w:rsid w:val="00824E4D"/>
    <w:rsid w:val="00825327"/>
    <w:rsid w:val="0082543D"/>
    <w:rsid w:val="00826B7E"/>
    <w:rsid w:val="00827A29"/>
    <w:rsid w:val="00827A65"/>
    <w:rsid w:val="00830029"/>
    <w:rsid w:val="00831C92"/>
    <w:rsid w:val="00832731"/>
    <w:rsid w:val="00832BC3"/>
    <w:rsid w:val="00834A82"/>
    <w:rsid w:val="00834DC0"/>
    <w:rsid w:val="008357E0"/>
    <w:rsid w:val="008360DD"/>
    <w:rsid w:val="0083654C"/>
    <w:rsid w:val="008367B7"/>
    <w:rsid w:val="008371EB"/>
    <w:rsid w:val="00840373"/>
    <w:rsid w:val="008403B4"/>
    <w:rsid w:val="0084120B"/>
    <w:rsid w:val="00842669"/>
    <w:rsid w:val="00842B67"/>
    <w:rsid w:val="008441FF"/>
    <w:rsid w:val="00844D52"/>
    <w:rsid w:val="00844ECD"/>
    <w:rsid w:val="008458CF"/>
    <w:rsid w:val="008467AD"/>
    <w:rsid w:val="00847B50"/>
    <w:rsid w:val="008502D0"/>
    <w:rsid w:val="008513F1"/>
    <w:rsid w:val="0085258E"/>
    <w:rsid w:val="00852A63"/>
    <w:rsid w:val="00853FB6"/>
    <w:rsid w:val="00854395"/>
    <w:rsid w:val="00854D96"/>
    <w:rsid w:val="008560F9"/>
    <w:rsid w:val="00856276"/>
    <w:rsid w:val="00856F87"/>
    <w:rsid w:val="008574CD"/>
    <w:rsid w:val="008576F2"/>
    <w:rsid w:val="008576F7"/>
    <w:rsid w:val="0085789A"/>
    <w:rsid w:val="00857AE4"/>
    <w:rsid w:val="008619BE"/>
    <w:rsid w:val="00861A42"/>
    <w:rsid w:val="008626E4"/>
    <w:rsid w:val="00862A43"/>
    <w:rsid w:val="00863163"/>
    <w:rsid w:val="00864332"/>
    <w:rsid w:val="008644E0"/>
    <w:rsid w:val="008653EE"/>
    <w:rsid w:val="008655FC"/>
    <w:rsid w:val="00865CDA"/>
    <w:rsid w:val="008661BD"/>
    <w:rsid w:val="00867C8E"/>
    <w:rsid w:val="0087003B"/>
    <w:rsid w:val="00870259"/>
    <w:rsid w:val="00870723"/>
    <w:rsid w:val="00870B80"/>
    <w:rsid w:val="0087293C"/>
    <w:rsid w:val="00873B16"/>
    <w:rsid w:val="00875222"/>
    <w:rsid w:val="0087561A"/>
    <w:rsid w:val="0087597D"/>
    <w:rsid w:val="00875F9A"/>
    <w:rsid w:val="00876B2C"/>
    <w:rsid w:val="00877A16"/>
    <w:rsid w:val="00880B81"/>
    <w:rsid w:val="0088114B"/>
    <w:rsid w:val="00881664"/>
    <w:rsid w:val="008817C5"/>
    <w:rsid w:val="00881E1E"/>
    <w:rsid w:val="008823CC"/>
    <w:rsid w:val="00882652"/>
    <w:rsid w:val="00882BA8"/>
    <w:rsid w:val="008842A9"/>
    <w:rsid w:val="00885C5C"/>
    <w:rsid w:val="00886951"/>
    <w:rsid w:val="00887F32"/>
    <w:rsid w:val="0089158D"/>
    <w:rsid w:val="00891C67"/>
    <w:rsid w:val="00892548"/>
    <w:rsid w:val="00892C5E"/>
    <w:rsid w:val="00893627"/>
    <w:rsid w:val="00893F54"/>
    <w:rsid w:val="0089417D"/>
    <w:rsid w:val="00894ECB"/>
    <w:rsid w:val="00894F56"/>
    <w:rsid w:val="008956C7"/>
    <w:rsid w:val="0089603C"/>
    <w:rsid w:val="0089643D"/>
    <w:rsid w:val="0089688F"/>
    <w:rsid w:val="008A0B98"/>
    <w:rsid w:val="008A13C4"/>
    <w:rsid w:val="008A1E04"/>
    <w:rsid w:val="008A23C3"/>
    <w:rsid w:val="008A2DD8"/>
    <w:rsid w:val="008A404F"/>
    <w:rsid w:val="008A4793"/>
    <w:rsid w:val="008A5071"/>
    <w:rsid w:val="008A637F"/>
    <w:rsid w:val="008A6DF6"/>
    <w:rsid w:val="008A7C51"/>
    <w:rsid w:val="008B03FD"/>
    <w:rsid w:val="008B051D"/>
    <w:rsid w:val="008B0AB6"/>
    <w:rsid w:val="008B19D6"/>
    <w:rsid w:val="008B224C"/>
    <w:rsid w:val="008B2455"/>
    <w:rsid w:val="008B2664"/>
    <w:rsid w:val="008B3219"/>
    <w:rsid w:val="008B38D4"/>
    <w:rsid w:val="008B3C16"/>
    <w:rsid w:val="008B4505"/>
    <w:rsid w:val="008B6A93"/>
    <w:rsid w:val="008B6AC4"/>
    <w:rsid w:val="008B6E28"/>
    <w:rsid w:val="008B77EF"/>
    <w:rsid w:val="008B7EAC"/>
    <w:rsid w:val="008C0025"/>
    <w:rsid w:val="008C0700"/>
    <w:rsid w:val="008C11E4"/>
    <w:rsid w:val="008C41EA"/>
    <w:rsid w:val="008C4261"/>
    <w:rsid w:val="008C457D"/>
    <w:rsid w:val="008C4BDD"/>
    <w:rsid w:val="008C61AC"/>
    <w:rsid w:val="008C66A9"/>
    <w:rsid w:val="008C6860"/>
    <w:rsid w:val="008C6864"/>
    <w:rsid w:val="008C6B03"/>
    <w:rsid w:val="008C6B5C"/>
    <w:rsid w:val="008D099F"/>
    <w:rsid w:val="008D1160"/>
    <w:rsid w:val="008D1801"/>
    <w:rsid w:val="008D2134"/>
    <w:rsid w:val="008D2905"/>
    <w:rsid w:val="008D3771"/>
    <w:rsid w:val="008D3F2B"/>
    <w:rsid w:val="008D4274"/>
    <w:rsid w:val="008D5258"/>
    <w:rsid w:val="008D59BE"/>
    <w:rsid w:val="008D6BE9"/>
    <w:rsid w:val="008D7100"/>
    <w:rsid w:val="008D79EE"/>
    <w:rsid w:val="008E023D"/>
    <w:rsid w:val="008E032B"/>
    <w:rsid w:val="008E0A65"/>
    <w:rsid w:val="008E1CDD"/>
    <w:rsid w:val="008E24D5"/>
    <w:rsid w:val="008E26AE"/>
    <w:rsid w:val="008E2929"/>
    <w:rsid w:val="008E2EBD"/>
    <w:rsid w:val="008E30B4"/>
    <w:rsid w:val="008E494D"/>
    <w:rsid w:val="008E54B9"/>
    <w:rsid w:val="008E6195"/>
    <w:rsid w:val="008E70C5"/>
    <w:rsid w:val="008E75BA"/>
    <w:rsid w:val="008E7C6C"/>
    <w:rsid w:val="008E7E69"/>
    <w:rsid w:val="008F17A6"/>
    <w:rsid w:val="008F19A6"/>
    <w:rsid w:val="008F2414"/>
    <w:rsid w:val="008F2B51"/>
    <w:rsid w:val="008F498A"/>
    <w:rsid w:val="008F58DB"/>
    <w:rsid w:val="008F5EC8"/>
    <w:rsid w:val="008F61EE"/>
    <w:rsid w:val="00903081"/>
    <w:rsid w:val="00903BE6"/>
    <w:rsid w:val="00904D5A"/>
    <w:rsid w:val="00904F3F"/>
    <w:rsid w:val="009056A6"/>
    <w:rsid w:val="00905DDC"/>
    <w:rsid w:val="009065BC"/>
    <w:rsid w:val="00906F0C"/>
    <w:rsid w:val="00906F6A"/>
    <w:rsid w:val="00907C64"/>
    <w:rsid w:val="00910376"/>
    <w:rsid w:val="0091182C"/>
    <w:rsid w:val="00912B48"/>
    <w:rsid w:val="00912D60"/>
    <w:rsid w:val="00912DE4"/>
    <w:rsid w:val="0091369C"/>
    <w:rsid w:val="009137DA"/>
    <w:rsid w:val="009137FF"/>
    <w:rsid w:val="0091425B"/>
    <w:rsid w:val="0091448E"/>
    <w:rsid w:val="009150DF"/>
    <w:rsid w:val="009155BB"/>
    <w:rsid w:val="00915E86"/>
    <w:rsid w:val="00916077"/>
    <w:rsid w:val="00916135"/>
    <w:rsid w:val="009166BC"/>
    <w:rsid w:val="009206D4"/>
    <w:rsid w:val="00921315"/>
    <w:rsid w:val="00921E0C"/>
    <w:rsid w:val="00922CAA"/>
    <w:rsid w:val="0092359F"/>
    <w:rsid w:val="009236C7"/>
    <w:rsid w:val="00924C31"/>
    <w:rsid w:val="00925928"/>
    <w:rsid w:val="0092593E"/>
    <w:rsid w:val="00926413"/>
    <w:rsid w:val="0092667C"/>
    <w:rsid w:val="00926DA1"/>
    <w:rsid w:val="00927C0B"/>
    <w:rsid w:val="00927CE6"/>
    <w:rsid w:val="00927D0C"/>
    <w:rsid w:val="00930073"/>
    <w:rsid w:val="00930D79"/>
    <w:rsid w:val="009313EA"/>
    <w:rsid w:val="009317A4"/>
    <w:rsid w:val="009318D4"/>
    <w:rsid w:val="00931BB6"/>
    <w:rsid w:val="00932281"/>
    <w:rsid w:val="009333EE"/>
    <w:rsid w:val="00933B53"/>
    <w:rsid w:val="009345F0"/>
    <w:rsid w:val="00934AF4"/>
    <w:rsid w:val="009359CE"/>
    <w:rsid w:val="00935A26"/>
    <w:rsid w:val="00935D02"/>
    <w:rsid w:val="00936040"/>
    <w:rsid w:val="0093731A"/>
    <w:rsid w:val="00937569"/>
    <w:rsid w:val="009375A2"/>
    <w:rsid w:val="009417EA"/>
    <w:rsid w:val="009418FE"/>
    <w:rsid w:val="009419E1"/>
    <w:rsid w:val="00941EBF"/>
    <w:rsid w:val="00942492"/>
    <w:rsid w:val="00943C8F"/>
    <w:rsid w:val="00944282"/>
    <w:rsid w:val="009443E1"/>
    <w:rsid w:val="009449C9"/>
    <w:rsid w:val="00945740"/>
    <w:rsid w:val="00946256"/>
    <w:rsid w:val="0094680A"/>
    <w:rsid w:val="00950046"/>
    <w:rsid w:val="0095026A"/>
    <w:rsid w:val="00950E82"/>
    <w:rsid w:val="00953231"/>
    <w:rsid w:val="009534BD"/>
    <w:rsid w:val="00953F77"/>
    <w:rsid w:val="009541FC"/>
    <w:rsid w:val="00954981"/>
    <w:rsid w:val="00954F09"/>
    <w:rsid w:val="00955D98"/>
    <w:rsid w:val="009568C2"/>
    <w:rsid w:val="00957D6F"/>
    <w:rsid w:val="00960056"/>
    <w:rsid w:val="00960390"/>
    <w:rsid w:val="009605F4"/>
    <w:rsid w:val="00960889"/>
    <w:rsid w:val="00962858"/>
    <w:rsid w:val="00962E45"/>
    <w:rsid w:val="0096501E"/>
    <w:rsid w:val="00966A9F"/>
    <w:rsid w:val="0096718B"/>
    <w:rsid w:val="009707A3"/>
    <w:rsid w:val="00970A2A"/>
    <w:rsid w:val="00972B26"/>
    <w:rsid w:val="00975CDA"/>
    <w:rsid w:val="00975F2D"/>
    <w:rsid w:val="0097630C"/>
    <w:rsid w:val="00976609"/>
    <w:rsid w:val="00976EDC"/>
    <w:rsid w:val="0098015D"/>
    <w:rsid w:val="009810A7"/>
    <w:rsid w:val="00981731"/>
    <w:rsid w:val="00981816"/>
    <w:rsid w:val="00981B3F"/>
    <w:rsid w:val="00982625"/>
    <w:rsid w:val="00982B68"/>
    <w:rsid w:val="0098356A"/>
    <w:rsid w:val="0098463D"/>
    <w:rsid w:val="0098495F"/>
    <w:rsid w:val="009854B4"/>
    <w:rsid w:val="00986168"/>
    <w:rsid w:val="009869CF"/>
    <w:rsid w:val="0098772A"/>
    <w:rsid w:val="0099015E"/>
    <w:rsid w:val="00990D73"/>
    <w:rsid w:val="009911CC"/>
    <w:rsid w:val="00991D59"/>
    <w:rsid w:val="009926CC"/>
    <w:rsid w:val="00992A39"/>
    <w:rsid w:val="009937B4"/>
    <w:rsid w:val="009942A0"/>
    <w:rsid w:val="009945D4"/>
    <w:rsid w:val="009950C8"/>
    <w:rsid w:val="00995735"/>
    <w:rsid w:val="00995A22"/>
    <w:rsid w:val="00995EAA"/>
    <w:rsid w:val="00996027"/>
    <w:rsid w:val="009966A1"/>
    <w:rsid w:val="00996E50"/>
    <w:rsid w:val="00997237"/>
    <w:rsid w:val="009978F2"/>
    <w:rsid w:val="00997B0D"/>
    <w:rsid w:val="009A1A9A"/>
    <w:rsid w:val="009A21F9"/>
    <w:rsid w:val="009A2548"/>
    <w:rsid w:val="009A2A19"/>
    <w:rsid w:val="009A2ED2"/>
    <w:rsid w:val="009A330C"/>
    <w:rsid w:val="009A35B3"/>
    <w:rsid w:val="009A4258"/>
    <w:rsid w:val="009A5891"/>
    <w:rsid w:val="009A5D54"/>
    <w:rsid w:val="009A685E"/>
    <w:rsid w:val="009A69D2"/>
    <w:rsid w:val="009A7DDE"/>
    <w:rsid w:val="009B02F8"/>
    <w:rsid w:val="009B0843"/>
    <w:rsid w:val="009B136D"/>
    <w:rsid w:val="009B1674"/>
    <w:rsid w:val="009B19C8"/>
    <w:rsid w:val="009B41FC"/>
    <w:rsid w:val="009B5867"/>
    <w:rsid w:val="009B6C0E"/>
    <w:rsid w:val="009B6D4F"/>
    <w:rsid w:val="009C01BD"/>
    <w:rsid w:val="009C036C"/>
    <w:rsid w:val="009C12C9"/>
    <w:rsid w:val="009C136D"/>
    <w:rsid w:val="009C1A1E"/>
    <w:rsid w:val="009C2C66"/>
    <w:rsid w:val="009C3329"/>
    <w:rsid w:val="009C3776"/>
    <w:rsid w:val="009C3827"/>
    <w:rsid w:val="009C422E"/>
    <w:rsid w:val="009C6C08"/>
    <w:rsid w:val="009C72BE"/>
    <w:rsid w:val="009C7939"/>
    <w:rsid w:val="009D0576"/>
    <w:rsid w:val="009D1C24"/>
    <w:rsid w:val="009D3651"/>
    <w:rsid w:val="009D36F7"/>
    <w:rsid w:val="009D44C8"/>
    <w:rsid w:val="009D4E7B"/>
    <w:rsid w:val="009D4ED8"/>
    <w:rsid w:val="009D5D82"/>
    <w:rsid w:val="009D6304"/>
    <w:rsid w:val="009D6430"/>
    <w:rsid w:val="009D70DD"/>
    <w:rsid w:val="009D7381"/>
    <w:rsid w:val="009D7785"/>
    <w:rsid w:val="009E0942"/>
    <w:rsid w:val="009E104B"/>
    <w:rsid w:val="009E1800"/>
    <w:rsid w:val="009E2734"/>
    <w:rsid w:val="009E37BF"/>
    <w:rsid w:val="009E3C6A"/>
    <w:rsid w:val="009E501A"/>
    <w:rsid w:val="009E5756"/>
    <w:rsid w:val="009E5B13"/>
    <w:rsid w:val="009E5D4D"/>
    <w:rsid w:val="009E61F9"/>
    <w:rsid w:val="009E62BD"/>
    <w:rsid w:val="009E6A4A"/>
    <w:rsid w:val="009E7281"/>
    <w:rsid w:val="009E766A"/>
    <w:rsid w:val="009E767D"/>
    <w:rsid w:val="009F2300"/>
    <w:rsid w:val="009F25C6"/>
    <w:rsid w:val="009F3690"/>
    <w:rsid w:val="009F3699"/>
    <w:rsid w:val="009F5BB8"/>
    <w:rsid w:val="009F5EEB"/>
    <w:rsid w:val="009F6244"/>
    <w:rsid w:val="009F6C8D"/>
    <w:rsid w:val="009F7716"/>
    <w:rsid w:val="00A0070E"/>
    <w:rsid w:val="00A016B4"/>
    <w:rsid w:val="00A02913"/>
    <w:rsid w:val="00A02D85"/>
    <w:rsid w:val="00A0334C"/>
    <w:rsid w:val="00A0368F"/>
    <w:rsid w:val="00A043C7"/>
    <w:rsid w:val="00A0490C"/>
    <w:rsid w:val="00A04E76"/>
    <w:rsid w:val="00A051FD"/>
    <w:rsid w:val="00A05793"/>
    <w:rsid w:val="00A05A75"/>
    <w:rsid w:val="00A066B9"/>
    <w:rsid w:val="00A067DA"/>
    <w:rsid w:val="00A07102"/>
    <w:rsid w:val="00A07340"/>
    <w:rsid w:val="00A076DB"/>
    <w:rsid w:val="00A07799"/>
    <w:rsid w:val="00A077B8"/>
    <w:rsid w:val="00A10A53"/>
    <w:rsid w:val="00A1101B"/>
    <w:rsid w:val="00A11C50"/>
    <w:rsid w:val="00A125F6"/>
    <w:rsid w:val="00A12C39"/>
    <w:rsid w:val="00A139F6"/>
    <w:rsid w:val="00A14A33"/>
    <w:rsid w:val="00A15287"/>
    <w:rsid w:val="00A1598D"/>
    <w:rsid w:val="00A15E83"/>
    <w:rsid w:val="00A167AE"/>
    <w:rsid w:val="00A16D2F"/>
    <w:rsid w:val="00A17D8E"/>
    <w:rsid w:val="00A2017F"/>
    <w:rsid w:val="00A2066A"/>
    <w:rsid w:val="00A209B7"/>
    <w:rsid w:val="00A21E91"/>
    <w:rsid w:val="00A21FB1"/>
    <w:rsid w:val="00A22A95"/>
    <w:rsid w:val="00A2301C"/>
    <w:rsid w:val="00A23E27"/>
    <w:rsid w:val="00A2436A"/>
    <w:rsid w:val="00A24441"/>
    <w:rsid w:val="00A244FC"/>
    <w:rsid w:val="00A25306"/>
    <w:rsid w:val="00A2626D"/>
    <w:rsid w:val="00A262DD"/>
    <w:rsid w:val="00A2665A"/>
    <w:rsid w:val="00A26868"/>
    <w:rsid w:val="00A268C0"/>
    <w:rsid w:val="00A26FD4"/>
    <w:rsid w:val="00A279C2"/>
    <w:rsid w:val="00A30431"/>
    <w:rsid w:val="00A30580"/>
    <w:rsid w:val="00A316A3"/>
    <w:rsid w:val="00A32CCB"/>
    <w:rsid w:val="00A32DB7"/>
    <w:rsid w:val="00A33D22"/>
    <w:rsid w:val="00A33DCB"/>
    <w:rsid w:val="00A34866"/>
    <w:rsid w:val="00A350E6"/>
    <w:rsid w:val="00A353FA"/>
    <w:rsid w:val="00A35457"/>
    <w:rsid w:val="00A40ABC"/>
    <w:rsid w:val="00A40D2B"/>
    <w:rsid w:val="00A41136"/>
    <w:rsid w:val="00A412D8"/>
    <w:rsid w:val="00A417CA"/>
    <w:rsid w:val="00A42919"/>
    <w:rsid w:val="00A43442"/>
    <w:rsid w:val="00A43904"/>
    <w:rsid w:val="00A43FDF"/>
    <w:rsid w:val="00A44847"/>
    <w:rsid w:val="00A44972"/>
    <w:rsid w:val="00A456FF"/>
    <w:rsid w:val="00A45A71"/>
    <w:rsid w:val="00A45C95"/>
    <w:rsid w:val="00A46CC1"/>
    <w:rsid w:val="00A46F65"/>
    <w:rsid w:val="00A47818"/>
    <w:rsid w:val="00A50A56"/>
    <w:rsid w:val="00A510DD"/>
    <w:rsid w:val="00A513E9"/>
    <w:rsid w:val="00A5160F"/>
    <w:rsid w:val="00A51886"/>
    <w:rsid w:val="00A51982"/>
    <w:rsid w:val="00A52B60"/>
    <w:rsid w:val="00A53B74"/>
    <w:rsid w:val="00A53CB7"/>
    <w:rsid w:val="00A547DC"/>
    <w:rsid w:val="00A54F6A"/>
    <w:rsid w:val="00A55524"/>
    <w:rsid w:val="00A555B2"/>
    <w:rsid w:val="00A55A17"/>
    <w:rsid w:val="00A56B09"/>
    <w:rsid w:val="00A575BF"/>
    <w:rsid w:val="00A600D3"/>
    <w:rsid w:val="00A603B1"/>
    <w:rsid w:val="00A603B8"/>
    <w:rsid w:val="00A6047C"/>
    <w:rsid w:val="00A60C49"/>
    <w:rsid w:val="00A61769"/>
    <w:rsid w:val="00A61DB0"/>
    <w:rsid w:val="00A62087"/>
    <w:rsid w:val="00A62982"/>
    <w:rsid w:val="00A62F74"/>
    <w:rsid w:val="00A634FE"/>
    <w:rsid w:val="00A638BA"/>
    <w:rsid w:val="00A6394E"/>
    <w:rsid w:val="00A64EEC"/>
    <w:rsid w:val="00A657F4"/>
    <w:rsid w:val="00A66589"/>
    <w:rsid w:val="00A700F1"/>
    <w:rsid w:val="00A711F6"/>
    <w:rsid w:val="00A71AD0"/>
    <w:rsid w:val="00A71F6C"/>
    <w:rsid w:val="00A71FA7"/>
    <w:rsid w:val="00A7257E"/>
    <w:rsid w:val="00A72DB9"/>
    <w:rsid w:val="00A73000"/>
    <w:rsid w:val="00A73F22"/>
    <w:rsid w:val="00A742A0"/>
    <w:rsid w:val="00A74434"/>
    <w:rsid w:val="00A74627"/>
    <w:rsid w:val="00A75ED8"/>
    <w:rsid w:val="00A75F75"/>
    <w:rsid w:val="00A7752C"/>
    <w:rsid w:val="00A80CCB"/>
    <w:rsid w:val="00A81C28"/>
    <w:rsid w:val="00A82CA4"/>
    <w:rsid w:val="00A82E3F"/>
    <w:rsid w:val="00A83659"/>
    <w:rsid w:val="00A83CA5"/>
    <w:rsid w:val="00A84D33"/>
    <w:rsid w:val="00A84E89"/>
    <w:rsid w:val="00A85042"/>
    <w:rsid w:val="00A85945"/>
    <w:rsid w:val="00A86661"/>
    <w:rsid w:val="00A872E8"/>
    <w:rsid w:val="00A87A5B"/>
    <w:rsid w:val="00A87B7B"/>
    <w:rsid w:val="00A87C24"/>
    <w:rsid w:val="00A87FD9"/>
    <w:rsid w:val="00A90154"/>
    <w:rsid w:val="00A90891"/>
    <w:rsid w:val="00A90929"/>
    <w:rsid w:val="00A90998"/>
    <w:rsid w:val="00A91B82"/>
    <w:rsid w:val="00A91E82"/>
    <w:rsid w:val="00A92D13"/>
    <w:rsid w:val="00A934B5"/>
    <w:rsid w:val="00A93DE6"/>
    <w:rsid w:val="00A94252"/>
    <w:rsid w:val="00A9503C"/>
    <w:rsid w:val="00A96597"/>
    <w:rsid w:val="00A97B32"/>
    <w:rsid w:val="00AA0475"/>
    <w:rsid w:val="00AA05A6"/>
    <w:rsid w:val="00AA0E01"/>
    <w:rsid w:val="00AA1472"/>
    <w:rsid w:val="00AA19B0"/>
    <w:rsid w:val="00AA1FF4"/>
    <w:rsid w:val="00AA278F"/>
    <w:rsid w:val="00AA279D"/>
    <w:rsid w:val="00AA3095"/>
    <w:rsid w:val="00AA3331"/>
    <w:rsid w:val="00AA43FE"/>
    <w:rsid w:val="00AA51D3"/>
    <w:rsid w:val="00AA603E"/>
    <w:rsid w:val="00AB04AB"/>
    <w:rsid w:val="00AB0FA8"/>
    <w:rsid w:val="00AB126D"/>
    <w:rsid w:val="00AB2015"/>
    <w:rsid w:val="00AB3046"/>
    <w:rsid w:val="00AB3050"/>
    <w:rsid w:val="00AB382F"/>
    <w:rsid w:val="00AB40AA"/>
    <w:rsid w:val="00AB4354"/>
    <w:rsid w:val="00AB4FA7"/>
    <w:rsid w:val="00AB55E5"/>
    <w:rsid w:val="00AB5901"/>
    <w:rsid w:val="00AB5A84"/>
    <w:rsid w:val="00AB5E05"/>
    <w:rsid w:val="00AB6521"/>
    <w:rsid w:val="00AB7012"/>
    <w:rsid w:val="00AB7343"/>
    <w:rsid w:val="00AB76ED"/>
    <w:rsid w:val="00AB7B31"/>
    <w:rsid w:val="00AB7EBF"/>
    <w:rsid w:val="00AC020B"/>
    <w:rsid w:val="00AC1FAA"/>
    <w:rsid w:val="00AC24F2"/>
    <w:rsid w:val="00AC252D"/>
    <w:rsid w:val="00AC2EBD"/>
    <w:rsid w:val="00AC2F01"/>
    <w:rsid w:val="00AC3242"/>
    <w:rsid w:val="00AC32D4"/>
    <w:rsid w:val="00AC3A0D"/>
    <w:rsid w:val="00AC508B"/>
    <w:rsid w:val="00AC571E"/>
    <w:rsid w:val="00AC62FF"/>
    <w:rsid w:val="00AC63A7"/>
    <w:rsid w:val="00AC7C64"/>
    <w:rsid w:val="00AD012F"/>
    <w:rsid w:val="00AD0582"/>
    <w:rsid w:val="00AD09DD"/>
    <w:rsid w:val="00AD1595"/>
    <w:rsid w:val="00AD1993"/>
    <w:rsid w:val="00AD20CD"/>
    <w:rsid w:val="00AD28BE"/>
    <w:rsid w:val="00AD308D"/>
    <w:rsid w:val="00AD3946"/>
    <w:rsid w:val="00AD49F3"/>
    <w:rsid w:val="00AD4F5E"/>
    <w:rsid w:val="00AD528F"/>
    <w:rsid w:val="00AD57CE"/>
    <w:rsid w:val="00AD5D31"/>
    <w:rsid w:val="00AD632A"/>
    <w:rsid w:val="00AD7520"/>
    <w:rsid w:val="00AE0333"/>
    <w:rsid w:val="00AE180C"/>
    <w:rsid w:val="00AE228A"/>
    <w:rsid w:val="00AE22E7"/>
    <w:rsid w:val="00AE356D"/>
    <w:rsid w:val="00AE42EF"/>
    <w:rsid w:val="00AE50B9"/>
    <w:rsid w:val="00AE582E"/>
    <w:rsid w:val="00AE6D60"/>
    <w:rsid w:val="00AE730B"/>
    <w:rsid w:val="00AE792F"/>
    <w:rsid w:val="00AF040C"/>
    <w:rsid w:val="00AF14BE"/>
    <w:rsid w:val="00AF16BB"/>
    <w:rsid w:val="00AF16E5"/>
    <w:rsid w:val="00AF1E5A"/>
    <w:rsid w:val="00AF26B4"/>
    <w:rsid w:val="00AF2904"/>
    <w:rsid w:val="00AF384C"/>
    <w:rsid w:val="00AF442A"/>
    <w:rsid w:val="00AF4BA2"/>
    <w:rsid w:val="00AF4EC2"/>
    <w:rsid w:val="00AF580D"/>
    <w:rsid w:val="00AF5E14"/>
    <w:rsid w:val="00AF69BA"/>
    <w:rsid w:val="00AF74FD"/>
    <w:rsid w:val="00AF7778"/>
    <w:rsid w:val="00AF7A8F"/>
    <w:rsid w:val="00B00303"/>
    <w:rsid w:val="00B003F4"/>
    <w:rsid w:val="00B007A9"/>
    <w:rsid w:val="00B00D9A"/>
    <w:rsid w:val="00B01831"/>
    <w:rsid w:val="00B02264"/>
    <w:rsid w:val="00B02688"/>
    <w:rsid w:val="00B02EF0"/>
    <w:rsid w:val="00B033CE"/>
    <w:rsid w:val="00B0394A"/>
    <w:rsid w:val="00B042EA"/>
    <w:rsid w:val="00B050E3"/>
    <w:rsid w:val="00B052FA"/>
    <w:rsid w:val="00B067F8"/>
    <w:rsid w:val="00B07E28"/>
    <w:rsid w:val="00B10882"/>
    <w:rsid w:val="00B12FC6"/>
    <w:rsid w:val="00B14314"/>
    <w:rsid w:val="00B1442B"/>
    <w:rsid w:val="00B144ED"/>
    <w:rsid w:val="00B14AEA"/>
    <w:rsid w:val="00B14B3D"/>
    <w:rsid w:val="00B151AC"/>
    <w:rsid w:val="00B1565B"/>
    <w:rsid w:val="00B15FC9"/>
    <w:rsid w:val="00B218A7"/>
    <w:rsid w:val="00B21EFE"/>
    <w:rsid w:val="00B22B6F"/>
    <w:rsid w:val="00B2391F"/>
    <w:rsid w:val="00B240CD"/>
    <w:rsid w:val="00B24854"/>
    <w:rsid w:val="00B24E28"/>
    <w:rsid w:val="00B254A3"/>
    <w:rsid w:val="00B2623F"/>
    <w:rsid w:val="00B267C9"/>
    <w:rsid w:val="00B26BAF"/>
    <w:rsid w:val="00B272D6"/>
    <w:rsid w:val="00B30161"/>
    <w:rsid w:val="00B3195C"/>
    <w:rsid w:val="00B31C39"/>
    <w:rsid w:val="00B32205"/>
    <w:rsid w:val="00B329D9"/>
    <w:rsid w:val="00B3380F"/>
    <w:rsid w:val="00B33E1F"/>
    <w:rsid w:val="00B33F56"/>
    <w:rsid w:val="00B3405D"/>
    <w:rsid w:val="00B344AA"/>
    <w:rsid w:val="00B36E15"/>
    <w:rsid w:val="00B36EF3"/>
    <w:rsid w:val="00B37F7D"/>
    <w:rsid w:val="00B37FCF"/>
    <w:rsid w:val="00B40237"/>
    <w:rsid w:val="00B415E9"/>
    <w:rsid w:val="00B4168A"/>
    <w:rsid w:val="00B41E4A"/>
    <w:rsid w:val="00B422B1"/>
    <w:rsid w:val="00B425C1"/>
    <w:rsid w:val="00B42744"/>
    <w:rsid w:val="00B42FC4"/>
    <w:rsid w:val="00B43DBD"/>
    <w:rsid w:val="00B45165"/>
    <w:rsid w:val="00B454A6"/>
    <w:rsid w:val="00B456CB"/>
    <w:rsid w:val="00B47C12"/>
    <w:rsid w:val="00B50481"/>
    <w:rsid w:val="00B50F11"/>
    <w:rsid w:val="00B51567"/>
    <w:rsid w:val="00B5363F"/>
    <w:rsid w:val="00B53C3D"/>
    <w:rsid w:val="00B54583"/>
    <w:rsid w:val="00B5538E"/>
    <w:rsid w:val="00B60122"/>
    <w:rsid w:val="00B601A9"/>
    <w:rsid w:val="00B6186F"/>
    <w:rsid w:val="00B6195A"/>
    <w:rsid w:val="00B61AF0"/>
    <w:rsid w:val="00B61DEC"/>
    <w:rsid w:val="00B629F4"/>
    <w:rsid w:val="00B6349C"/>
    <w:rsid w:val="00B63E4F"/>
    <w:rsid w:val="00B647BB"/>
    <w:rsid w:val="00B66657"/>
    <w:rsid w:val="00B66726"/>
    <w:rsid w:val="00B66D18"/>
    <w:rsid w:val="00B6700C"/>
    <w:rsid w:val="00B678C9"/>
    <w:rsid w:val="00B678FA"/>
    <w:rsid w:val="00B67CF6"/>
    <w:rsid w:val="00B704CE"/>
    <w:rsid w:val="00B70C74"/>
    <w:rsid w:val="00B70FB9"/>
    <w:rsid w:val="00B7106B"/>
    <w:rsid w:val="00B716B4"/>
    <w:rsid w:val="00B7239E"/>
    <w:rsid w:val="00B7329A"/>
    <w:rsid w:val="00B73FFA"/>
    <w:rsid w:val="00B754B9"/>
    <w:rsid w:val="00B75552"/>
    <w:rsid w:val="00B75775"/>
    <w:rsid w:val="00B75C19"/>
    <w:rsid w:val="00B760A9"/>
    <w:rsid w:val="00B77BEB"/>
    <w:rsid w:val="00B8027F"/>
    <w:rsid w:val="00B8124B"/>
    <w:rsid w:val="00B81BFC"/>
    <w:rsid w:val="00B827A1"/>
    <w:rsid w:val="00B828EB"/>
    <w:rsid w:val="00B83EEF"/>
    <w:rsid w:val="00B83F30"/>
    <w:rsid w:val="00B841DE"/>
    <w:rsid w:val="00B84E7C"/>
    <w:rsid w:val="00B85A9B"/>
    <w:rsid w:val="00B85AD7"/>
    <w:rsid w:val="00B86C69"/>
    <w:rsid w:val="00B86DDD"/>
    <w:rsid w:val="00B873B9"/>
    <w:rsid w:val="00B877A0"/>
    <w:rsid w:val="00B9057A"/>
    <w:rsid w:val="00B90647"/>
    <w:rsid w:val="00B91083"/>
    <w:rsid w:val="00B91F5D"/>
    <w:rsid w:val="00B92B29"/>
    <w:rsid w:val="00B92ED5"/>
    <w:rsid w:val="00B93205"/>
    <w:rsid w:val="00B93289"/>
    <w:rsid w:val="00B938B4"/>
    <w:rsid w:val="00B93AC5"/>
    <w:rsid w:val="00B94117"/>
    <w:rsid w:val="00B95850"/>
    <w:rsid w:val="00B96423"/>
    <w:rsid w:val="00BA08D7"/>
    <w:rsid w:val="00BA1953"/>
    <w:rsid w:val="00BA1AEE"/>
    <w:rsid w:val="00BA22B1"/>
    <w:rsid w:val="00BA3AA6"/>
    <w:rsid w:val="00BA442A"/>
    <w:rsid w:val="00BA4AFA"/>
    <w:rsid w:val="00BA4DDA"/>
    <w:rsid w:val="00BA5F7E"/>
    <w:rsid w:val="00BA6550"/>
    <w:rsid w:val="00BA67E9"/>
    <w:rsid w:val="00BA6926"/>
    <w:rsid w:val="00BA7471"/>
    <w:rsid w:val="00BA7A8F"/>
    <w:rsid w:val="00BB04BB"/>
    <w:rsid w:val="00BB1F50"/>
    <w:rsid w:val="00BB3166"/>
    <w:rsid w:val="00BB38E8"/>
    <w:rsid w:val="00BB3D70"/>
    <w:rsid w:val="00BB4BEA"/>
    <w:rsid w:val="00BB518F"/>
    <w:rsid w:val="00BB55B3"/>
    <w:rsid w:val="00BB594B"/>
    <w:rsid w:val="00BB707E"/>
    <w:rsid w:val="00BB7D13"/>
    <w:rsid w:val="00BC0803"/>
    <w:rsid w:val="00BC2AA7"/>
    <w:rsid w:val="00BC2F36"/>
    <w:rsid w:val="00BC32F2"/>
    <w:rsid w:val="00BC40A7"/>
    <w:rsid w:val="00BC41F8"/>
    <w:rsid w:val="00BC43B2"/>
    <w:rsid w:val="00BC4E92"/>
    <w:rsid w:val="00BC61E4"/>
    <w:rsid w:val="00BC6AB8"/>
    <w:rsid w:val="00BC6FD0"/>
    <w:rsid w:val="00BC76C6"/>
    <w:rsid w:val="00BC7C4D"/>
    <w:rsid w:val="00BD0248"/>
    <w:rsid w:val="00BD095D"/>
    <w:rsid w:val="00BD0D65"/>
    <w:rsid w:val="00BD1350"/>
    <w:rsid w:val="00BD15CE"/>
    <w:rsid w:val="00BD176C"/>
    <w:rsid w:val="00BD1A82"/>
    <w:rsid w:val="00BD480B"/>
    <w:rsid w:val="00BD483E"/>
    <w:rsid w:val="00BD4C0E"/>
    <w:rsid w:val="00BD50EA"/>
    <w:rsid w:val="00BD6644"/>
    <w:rsid w:val="00BD6702"/>
    <w:rsid w:val="00BD6E85"/>
    <w:rsid w:val="00BD7142"/>
    <w:rsid w:val="00BD7CDE"/>
    <w:rsid w:val="00BE01E4"/>
    <w:rsid w:val="00BE06B1"/>
    <w:rsid w:val="00BE0F8B"/>
    <w:rsid w:val="00BE165B"/>
    <w:rsid w:val="00BE1C3C"/>
    <w:rsid w:val="00BE22E5"/>
    <w:rsid w:val="00BE263A"/>
    <w:rsid w:val="00BE29EA"/>
    <w:rsid w:val="00BE2A8B"/>
    <w:rsid w:val="00BE308E"/>
    <w:rsid w:val="00BE3373"/>
    <w:rsid w:val="00BE33BA"/>
    <w:rsid w:val="00BE3DAD"/>
    <w:rsid w:val="00BE402A"/>
    <w:rsid w:val="00BE722C"/>
    <w:rsid w:val="00BF0287"/>
    <w:rsid w:val="00BF02CF"/>
    <w:rsid w:val="00BF1E7E"/>
    <w:rsid w:val="00BF20D3"/>
    <w:rsid w:val="00BF2788"/>
    <w:rsid w:val="00BF2814"/>
    <w:rsid w:val="00BF2EEF"/>
    <w:rsid w:val="00BF307F"/>
    <w:rsid w:val="00BF32B8"/>
    <w:rsid w:val="00BF4F84"/>
    <w:rsid w:val="00BF4FFF"/>
    <w:rsid w:val="00BF58D1"/>
    <w:rsid w:val="00BF64BC"/>
    <w:rsid w:val="00BF6FB2"/>
    <w:rsid w:val="00BF7249"/>
    <w:rsid w:val="00BF7349"/>
    <w:rsid w:val="00C009DF"/>
    <w:rsid w:val="00C00D91"/>
    <w:rsid w:val="00C046A9"/>
    <w:rsid w:val="00C047A2"/>
    <w:rsid w:val="00C04963"/>
    <w:rsid w:val="00C05509"/>
    <w:rsid w:val="00C05630"/>
    <w:rsid w:val="00C069A5"/>
    <w:rsid w:val="00C06D9C"/>
    <w:rsid w:val="00C06E91"/>
    <w:rsid w:val="00C10859"/>
    <w:rsid w:val="00C10C47"/>
    <w:rsid w:val="00C11466"/>
    <w:rsid w:val="00C117A0"/>
    <w:rsid w:val="00C11B74"/>
    <w:rsid w:val="00C12FC6"/>
    <w:rsid w:val="00C1367B"/>
    <w:rsid w:val="00C13CCA"/>
    <w:rsid w:val="00C153E0"/>
    <w:rsid w:val="00C17ACD"/>
    <w:rsid w:val="00C203FB"/>
    <w:rsid w:val="00C209A9"/>
    <w:rsid w:val="00C20A6A"/>
    <w:rsid w:val="00C20AB6"/>
    <w:rsid w:val="00C21A2C"/>
    <w:rsid w:val="00C21EF4"/>
    <w:rsid w:val="00C22C39"/>
    <w:rsid w:val="00C2355B"/>
    <w:rsid w:val="00C238E1"/>
    <w:rsid w:val="00C239F9"/>
    <w:rsid w:val="00C2490B"/>
    <w:rsid w:val="00C2564D"/>
    <w:rsid w:val="00C26FAD"/>
    <w:rsid w:val="00C30027"/>
    <w:rsid w:val="00C310C3"/>
    <w:rsid w:val="00C3152F"/>
    <w:rsid w:val="00C31E42"/>
    <w:rsid w:val="00C31FEE"/>
    <w:rsid w:val="00C331C5"/>
    <w:rsid w:val="00C33B0D"/>
    <w:rsid w:val="00C33B51"/>
    <w:rsid w:val="00C349E4"/>
    <w:rsid w:val="00C34BC7"/>
    <w:rsid w:val="00C356F2"/>
    <w:rsid w:val="00C35D74"/>
    <w:rsid w:val="00C3672D"/>
    <w:rsid w:val="00C36B82"/>
    <w:rsid w:val="00C372E2"/>
    <w:rsid w:val="00C373AD"/>
    <w:rsid w:val="00C37550"/>
    <w:rsid w:val="00C37807"/>
    <w:rsid w:val="00C37A27"/>
    <w:rsid w:val="00C40F63"/>
    <w:rsid w:val="00C427DF"/>
    <w:rsid w:val="00C428AC"/>
    <w:rsid w:val="00C42F03"/>
    <w:rsid w:val="00C43390"/>
    <w:rsid w:val="00C438A3"/>
    <w:rsid w:val="00C4480F"/>
    <w:rsid w:val="00C44A55"/>
    <w:rsid w:val="00C46395"/>
    <w:rsid w:val="00C4718F"/>
    <w:rsid w:val="00C477DA"/>
    <w:rsid w:val="00C504D1"/>
    <w:rsid w:val="00C5092C"/>
    <w:rsid w:val="00C509E3"/>
    <w:rsid w:val="00C50CAA"/>
    <w:rsid w:val="00C514AF"/>
    <w:rsid w:val="00C5153D"/>
    <w:rsid w:val="00C51B92"/>
    <w:rsid w:val="00C51BCD"/>
    <w:rsid w:val="00C52684"/>
    <w:rsid w:val="00C52855"/>
    <w:rsid w:val="00C52922"/>
    <w:rsid w:val="00C531C4"/>
    <w:rsid w:val="00C535CE"/>
    <w:rsid w:val="00C5383F"/>
    <w:rsid w:val="00C538F7"/>
    <w:rsid w:val="00C542D8"/>
    <w:rsid w:val="00C54A0D"/>
    <w:rsid w:val="00C5554A"/>
    <w:rsid w:val="00C559E9"/>
    <w:rsid w:val="00C55CB6"/>
    <w:rsid w:val="00C5603D"/>
    <w:rsid w:val="00C56C86"/>
    <w:rsid w:val="00C572D4"/>
    <w:rsid w:val="00C57902"/>
    <w:rsid w:val="00C601E4"/>
    <w:rsid w:val="00C60E97"/>
    <w:rsid w:val="00C61003"/>
    <w:rsid w:val="00C612B9"/>
    <w:rsid w:val="00C6163A"/>
    <w:rsid w:val="00C6163C"/>
    <w:rsid w:val="00C620A0"/>
    <w:rsid w:val="00C62A97"/>
    <w:rsid w:val="00C62B31"/>
    <w:rsid w:val="00C63738"/>
    <w:rsid w:val="00C649B0"/>
    <w:rsid w:val="00C64DA1"/>
    <w:rsid w:val="00C655FB"/>
    <w:rsid w:val="00C6665C"/>
    <w:rsid w:val="00C67AE7"/>
    <w:rsid w:val="00C70320"/>
    <w:rsid w:val="00C70B08"/>
    <w:rsid w:val="00C724AC"/>
    <w:rsid w:val="00C72ED5"/>
    <w:rsid w:val="00C73050"/>
    <w:rsid w:val="00C73BB3"/>
    <w:rsid w:val="00C73BD0"/>
    <w:rsid w:val="00C745BC"/>
    <w:rsid w:val="00C748DD"/>
    <w:rsid w:val="00C76012"/>
    <w:rsid w:val="00C76580"/>
    <w:rsid w:val="00C7697B"/>
    <w:rsid w:val="00C77469"/>
    <w:rsid w:val="00C7796B"/>
    <w:rsid w:val="00C77A9C"/>
    <w:rsid w:val="00C80093"/>
    <w:rsid w:val="00C80B87"/>
    <w:rsid w:val="00C80D76"/>
    <w:rsid w:val="00C828FB"/>
    <w:rsid w:val="00C82936"/>
    <w:rsid w:val="00C82F1A"/>
    <w:rsid w:val="00C8312C"/>
    <w:rsid w:val="00C83FD0"/>
    <w:rsid w:val="00C84FBB"/>
    <w:rsid w:val="00C852BF"/>
    <w:rsid w:val="00C863B3"/>
    <w:rsid w:val="00C866AC"/>
    <w:rsid w:val="00C8774B"/>
    <w:rsid w:val="00C87FD9"/>
    <w:rsid w:val="00C9034C"/>
    <w:rsid w:val="00C90BB0"/>
    <w:rsid w:val="00C90D39"/>
    <w:rsid w:val="00C92041"/>
    <w:rsid w:val="00C92072"/>
    <w:rsid w:val="00C92937"/>
    <w:rsid w:val="00C9469B"/>
    <w:rsid w:val="00C946E1"/>
    <w:rsid w:val="00C9485A"/>
    <w:rsid w:val="00C96A89"/>
    <w:rsid w:val="00C97424"/>
    <w:rsid w:val="00CA02A9"/>
    <w:rsid w:val="00CA0869"/>
    <w:rsid w:val="00CA0A64"/>
    <w:rsid w:val="00CA0FF9"/>
    <w:rsid w:val="00CA1DFA"/>
    <w:rsid w:val="00CA2E34"/>
    <w:rsid w:val="00CA377B"/>
    <w:rsid w:val="00CA3A5F"/>
    <w:rsid w:val="00CA3EF1"/>
    <w:rsid w:val="00CA53AA"/>
    <w:rsid w:val="00CA5B54"/>
    <w:rsid w:val="00CA5BF4"/>
    <w:rsid w:val="00CA7554"/>
    <w:rsid w:val="00CA7DF2"/>
    <w:rsid w:val="00CB32CE"/>
    <w:rsid w:val="00CB4443"/>
    <w:rsid w:val="00CB4FCA"/>
    <w:rsid w:val="00CB58BE"/>
    <w:rsid w:val="00CB7B86"/>
    <w:rsid w:val="00CB7FC4"/>
    <w:rsid w:val="00CC057F"/>
    <w:rsid w:val="00CC1807"/>
    <w:rsid w:val="00CC19DF"/>
    <w:rsid w:val="00CC292C"/>
    <w:rsid w:val="00CC3738"/>
    <w:rsid w:val="00CC454D"/>
    <w:rsid w:val="00CC4901"/>
    <w:rsid w:val="00CC5F98"/>
    <w:rsid w:val="00CC6D6B"/>
    <w:rsid w:val="00CC6FB6"/>
    <w:rsid w:val="00CD01F2"/>
    <w:rsid w:val="00CD0C85"/>
    <w:rsid w:val="00CD13C0"/>
    <w:rsid w:val="00CD1540"/>
    <w:rsid w:val="00CD25E6"/>
    <w:rsid w:val="00CD2AE3"/>
    <w:rsid w:val="00CD2CF5"/>
    <w:rsid w:val="00CD2E6D"/>
    <w:rsid w:val="00CD3024"/>
    <w:rsid w:val="00CD4DFD"/>
    <w:rsid w:val="00CD51A5"/>
    <w:rsid w:val="00CD52AD"/>
    <w:rsid w:val="00CD5B23"/>
    <w:rsid w:val="00CD65C1"/>
    <w:rsid w:val="00CD68C2"/>
    <w:rsid w:val="00CD732B"/>
    <w:rsid w:val="00CD7A9F"/>
    <w:rsid w:val="00CE064D"/>
    <w:rsid w:val="00CE11E8"/>
    <w:rsid w:val="00CE1C52"/>
    <w:rsid w:val="00CE2449"/>
    <w:rsid w:val="00CE4089"/>
    <w:rsid w:val="00CE40C6"/>
    <w:rsid w:val="00CE4137"/>
    <w:rsid w:val="00CE4804"/>
    <w:rsid w:val="00CE487F"/>
    <w:rsid w:val="00CE4BCD"/>
    <w:rsid w:val="00CE5C32"/>
    <w:rsid w:val="00CE5DBC"/>
    <w:rsid w:val="00CE5E19"/>
    <w:rsid w:val="00CE5E1C"/>
    <w:rsid w:val="00CE769C"/>
    <w:rsid w:val="00CE7D47"/>
    <w:rsid w:val="00CF00BE"/>
    <w:rsid w:val="00CF073B"/>
    <w:rsid w:val="00CF1247"/>
    <w:rsid w:val="00CF133B"/>
    <w:rsid w:val="00CF1F1B"/>
    <w:rsid w:val="00CF23E7"/>
    <w:rsid w:val="00CF25DF"/>
    <w:rsid w:val="00CF2A4D"/>
    <w:rsid w:val="00CF2F99"/>
    <w:rsid w:val="00CF34F1"/>
    <w:rsid w:val="00CF36C5"/>
    <w:rsid w:val="00CF3C55"/>
    <w:rsid w:val="00CF3D0C"/>
    <w:rsid w:val="00CF4677"/>
    <w:rsid w:val="00CF4B94"/>
    <w:rsid w:val="00D0077C"/>
    <w:rsid w:val="00D01704"/>
    <w:rsid w:val="00D01AA8"/>
    <w:rsid w:val="00D01B2B"/>
    <w:rsid w:val="00D0245F"/>
    <w:rsid w:val="00D032D1"/>
    <w:rsid w:val="00D034F4"/>
    <w:rsid w:val="00D03EC5"/>
    <w:rsid w:val="00D047C0"/>
    <w:rsid w:val="00D05005"/>
    <w:rsid w:val="00D05D08"/>
    <w:rsid w:val="00D10AB2"/>
    <w:rsid w:val="00D10BF2"/>
    <w:rsid w:val="00D10C49"/>
    <w:rsid w:val="00D120F0"/>
    <w:rsid w:val="00D123BF"/>
    <w:rsid w:val="00D1290E"/>
    <w:rsid w:val="00D134E2"/>
    <w:rsid w:val="00D13AB6"/>
    <w:rsid w:val="00D13D11"/>
    <w:rsid w:val="00D1518D"/>
    <w:rsid w:val="00D152F3"/>
    <w:rsid w:val="00D1546A"/>
    <w:rsid w:val="00D1547C"/>
    <w:rsid w:val="00D15D5F"/>
    <w:rsid w:val="00D1613A"/>
    <w:rsid w:val="00D16C2A"/>
    <w:rsid w:val="00D17736"/>
    <w:rsid w:val="00D17CC0"/>
    <w:rsid w:val="00D21531"/>
    <w:rsid w:val="00D22889"/>
    <w:rsid w:val="00D2400C"/>
    <w:rsid w:val="00D24CDA"/>
    <w:rsid w:val="00D26F6D"/>
    <w:rsid w:val="00D27489"/>
    <w:rsid w:val="00D300EA"/>
    <w:rsid w:val="00D30448"/>
    <w:rsid w:val="00D310D4"/>
    <w:rsid w:val="00D323B6"/>
    <w:rsid w:val="00D32823"/>
    <w:rsid w:val="00D32953"/>
    <w:rsid w:val="00D3400A"/>
    <w:rsid w:val="00D34078"/>
    <w:rsid w:val="00D34771"/>
    <w:rsid w:val="00D34EC1"/>
    <w:rsid w:val="00D35714"/>
    <w:rsid w:val="00D369C9"/>
    <w:rsid w:val="00D36B12"/>
    <w:rsid w:val="00D37011"/>
    <w:rsid w:val="00D3734D"/>
    <w:rsid w:val="00D40515"/>
    <w:rsid w:val="00D40B9A"/>
    <w:rsid w:val="00D43A48"/>
    <w:rsid w:val="00D44A0F"/>
    <w:rsid w:val="00D44DCC"/>
    <w:rsid w:val="00D44E4B"/>
    <w:rsid w:val="00D4543F"/>
    <w:rsid w:val="00D45AED"/>
    <w:rsid w:val="00D46C7F"/>
    <w:rsid w:val="00D46F98"/>
    <w:rsid w:val="00D47C6E"/>
    <w:rsid w:val="00D47DFE"/>
    <w:rsid w:val="00D5000E"/>
    <w:rsid w:val="00D503B8"/>
    <w:rsid w:val="00D507AC"/>
    <w:rsid w:val="00D50A88"/>
    <w:rsid w:val="00D52C91"/>
    <w:rsid w:val="00D539B1"/>
    <w:rsid w:val="00D5416F"/>
    <w:rsid w:val="00D5439D"/>
    <w:rsid w:val="00D550C3"/>
    <w:rsid w:val="00D56B2A"/>
    <w:rsid w:val="00D56C69"/>
    <w:rsid w:val="00D56F46"/>
    <w:rsid w:val="00D60990"/>
    <w:rsid w:val="00D60DC6"/>
    <w:rsid w:val="00D60F40"/>
    <w:rsid w:val="00D6278F"/>
    <w:rsid w:val="00D630BD"/>
    <w:rsid w:val="00D6439A"/>
    <w:rsid w:val="00D64F9F"/>
    <w:rsid w:val="00D650F4"/>
    <w:rsid w:val="00D6531A"/>
    <w:rsid w:val="00D6553E"/>
    <w:rsid w:val="00D65634"/>
    <w:rsid w:val="00D666AE"/>
    <w:rsid w:val="00D67601"/>
    <w:rsid w:val="00D705D7"/>
    <w:rsid w:val="00D715C9"/>
    <w:rsid w:val="00D71B9A"/>
    <w:rsid w:val="00D71F30"/>
    <w:rsid w:val="00D72C1F"/>
    <w:rsid w:val="00D7464E"/>
    <w:rsid w:val="00D75281"/>
    <w:rsid w:val="00D76C73"/>
    <w:rsid w:val="00D77443"/>
    <w:rsid w:val="00D77A8C"/>
    <w:rsid w:val="00D77C1E"/>
    <w:rsid w:val="00D8096D"/>
    <w:rsid w:val="00D80978"/>
    <w:rsid w:val="00D81908"/>
    <w:rsid w:val="00D81F4D"/>
    <w:rsid w:val="00D82B17"/>
    <w:rsid w:val="00D836E7"/>
    <w:rsid w:val="00D83702"/>
    <w:rsid w:val="00D84EF2"/>
    <w:rsid w:val="00D84F2B"/>
    <w:rsid w:val="00D851A1"/>
    <w:rsid w:val="00D85B5D"/>
    <w:rsid w:val="00D85C7D"/>
    <w:rsid w:val="00D86C2C"/>
    <w:rsid w:val="00D86CB5"/>
    <w:rsid w:val="00D870F4"/>
    <w:rsid w:val="00D870FF"/>
    <w:rsid w:val="00D8748F"/>
    <w:rsid w:val="00D90B45"/>
    <w:rsid w:val="00D91024"/>
    <w:rsid w:val="00D927E4"/>
    <w:rsid w:val="00D929AB"/>
    <w:rsid w:val="00D93587"/>
    <w:rsid w:val="00D9391C"/>
    <w:rsid w:val="00D93969"/>
    <w:rsid w:val="00D93C28"/>
    <w:rsid w:val="00D93FC8"/>
    <w:rsid w:val="00D940C0"/>
    <w:rsid w:val="00DA0EC3"/>
    <w:rsid w:val="00DA2318"/>
    <w:rsid w:val="00DA2F05"/>
    <w:rsid w:val="00DA32A8"/>
    <w:rsid w:val="00DA3371"/>
    <w:rsid w:val="00DA352A"/>
    <w:rsid w:val="00DA353F"/>
    <w:rsid w:val="00DA4495"/>
    <w:rsid w:val="00DA5300"/>
    <w:rsid w:val="00DA625B"/>
    <w:rsid w:val="00DA70D6"/>
    <w:rsid w:val="00DA7ABF"/>
    <w:rsid w:val="00DA7EDE"/>
    <w:rsid w:val="00DB0394"/>
    <w:rsid w:val="00DB0786"/>
    <w:rsid w:val="00DB079D"/>
    <w:rsid w:val="00DB14A2"/>
    <w:rsid w:val="00DB169D"/>
    <w:rsid w:val="00DB1AC3"/>
    <w:rsid w:val="00DB3B78"/>
    <w:rsid w:val="00DB3D8F"/>
    <w:rsid w:val="00DB468C"/>
    <w:rsid w:val="00DB5454"/>
    <w:rsid w:val="00DB61C4"/>
    <w:rsid w:val="00DB672A"/>
    <w:rsid w:val="00DB6917"/>
    <w:rsid w:val="00DB75AC"/>
    <w:rsid w:val="00DB7A9B"/>
    <w:rsid w:val="00DB7E98"/>
    <w:rsid w:val="00DC010E"/>
    <w:rsid w:val="00DC0250"/>
    <w:rsid w:val="00DC184A"/>
    <w:rsid w:val="00DC1870"/>
    <w:rsid w:val="00DC1BC3"/>
    <w:rsid w:val="00DC1FB8"/>
    <w:rsid w:val="00DC224C"/>
    <w:rsid w:val="00DC2F8C"/>
    <w:rsid w:val="00DC388F"/>
    <w:rsid w:val="00DC5503"/>
    <w:rsid w:val="00DC5FDC"/>
    <w:rsid w:val="00DC7346"/>
    <w:rsid w:val="00DC7764"/>
    <w:rsid w:val="00DD0356"/>
    <w:rsid w:val="00DD099F"/>
    <w:rsid w:val="00DD0A91"/>
    <w:rsid w:val="00DD0E52"/>
    <w:rsid w:val="00DD0F3D"/>
    <w:rsid w:val="00DD16D4"/>
    <w:rsid w:val="00DD2117"/>
    <w:rsid w:val="00DD2143"/>
    <w:rsid w:val="00DD2EFB"/>
    <w:rsid w:val="00DD3853"/>
    <w:rsid w:val="00DD4333"/>
    <w:rsid w:val="00DD4443"/>
    <w:rsid w:val="00DD477B"/>
    <w:rsid w:val="00DD5A79"/>
    <w:rsid w:val="00DD5FFC"/>
    <w:rsid w:val="00DD6181"/>
    <w:rsid w:val="00DD6532"/>
    <w:rsid w:val="00DD7327"/>
    <w:rsid w:val="00DE09B4"/>
    <w:rsid w:val="00DE153F"/>
    <w:rsid w:val="00DE1593"/>
    <w:rsid w:val="00DE24E9"/>
    <w:rsid w:val="00DE322D"/>
    <w:rsid w:val="00DE39F4"/>
    <w:rsid w:val="00DE3EE0"/>
    <w:rsid w:val="00DE3F62"/>
    <w:rsid w:val="00DE530C"/>
    <w:rsid w:val="00DE59F4"/>
    <w:rsid w:val="00DE5A96"/>
    <w:rsid w:val="00DE63CE"/>
    <w:rsid w:val="00DE66FC"/>
    <w:rsid w:val="00DE6D3B"/>
    <w:rsid w:val="00DE7E96"/>
    <w:rsid w:val="00DF0788"/>
    <w:rsid w:val="00DF0827"/>
    <w:rsid w:val="00DF0B7F"/>
    <w:rsid w:val="00DF16DC"/>
    <w:rsid w:val="00DF213B"/>
    <w:rsid w:val="00DF2678"/>
    <w:rsid w:val="00DF3219"/>
    <w:rsid w:val="00DF3D79"/>
    <w:rsid w:val="00DF4A0D"/>
    <w:rsid w:val="00DF6566"/>
    <w:rsid w:val="00DF7B30"/>
    <w:rsid w:val="00E0025E"/>
    <w:rsid w:val="00E015AC"/>
    <w:rsid w:val="00E01A31"/>
    <w:rsid w:val="00E02B35"/>
    <w:rsid w:val="00E02CA1"/>
    <w:rsid w:val="00E0318B"/>
    <w:rsid w:val="00E03C6A"/>
    <w:rsid w:val="00E04E7A"/>
    <w:rsid w:val="00E0500B"/>
    <w:rsid w:val="00E0582F"/>
    <w:rsid w:val="00E05B09"/>
    <w:rsid w:val="00E067F0"/>
    <w:rsid w:val="00E0797C"/>
    <w:rsid w:val="00E11553"/>
    <w:rsid w:val="00E12207"/>
    <w:rsid w:val="00E129CA"/>
    <w:rsid w:val="00E13186"/>
    <w:rsid w:val="00E13448"/>
    <w:rsid w:val="00E13A19"/>
    <w:rsid w:val="00E15E22"/>
    <w:rsid w:val="00E16D49"/>
    <w:rsid w:val="00E17A6A"/>
    <w:rsid w:val="00E17CCB"/>
    <w:rsid w:val="00E20694"/>
    <w:rsid w:val="00E208D7"/>
    <w:rsid w:val="00E20F6B"/>
    <w:rsid w:val="00E21801"/>
    <w:rsid w:val="00E21C8A"/>
    <w:rsid w:val="00E22DC9"/>
    <w:rsid w:val="00E23666"/>
    <w:rsid w:val="00E23B2B"/>
    <w:rsid w:val="00E24156"/>
    <w:rsid w:val="00E248D7"/>
    <w:rsid w:val="00E252F6"/>
    <w:rsid w:val="00E25393"/>
    <w:rsid w:val="00E25871"/>
    <w:rsid w:val="00E262F5"/>
    <w:rsid w:val="00E264BC"/>
    <w:rsid w:val="00E268DA"/>
    <w:rsid w:val="00E26BE1"/>
    <w:rsid w:val="00E26F09"/>
    <w:rsid w:val="00E27AA6"/>
    <w:rsid w:val="00E30354"/>
    <w:rsid w:val="00E304DE"/>
    <w:rsid w:val="00E30A9C"/>
    <w:rsid w:val="00E30DCA"/>
    <w:rsid w:val="00E32F72"/>
    <w:rsid w:val="00E33911"/>
    <w:rsid w:val="00E33CF2"/>
    <w:rsid w:val="00E33E52"/>
    <w:rsid w:val="00E34416"/>
    <w:rsid w:val="00E34826"/>
    <w:rsid w:val="00E35A0F"/>
    <w:rsid w:val="00E36603"/>
    <w:rsid w:val="00E366BF"/>
    <w:rsid w:val="00E36969"/>
    <w:rsid w:val="00E36A7E"/>
    <w:rsid w:val="00E37209"/>
    <w:rsid w:val="00E37804"/>
    <w:rsid w:val="00E37EDA"/>
    <w:rsid w:val="00E40BFE"/>
    <w:rsid w:val="00E40DAD"/>
    <w:rsid w:val="00E41C66"/>
    <w:rsid w:val="00E42A24"/>
    <w:rsid w:val="00E44552"/>
    <w:rsid w:val="00E448DA"/>
    <w:rsid w:val="00E45697"/>
    <w:rsid w:val="00E45A25"/>
    <w:rsid w:val="00E45B32"/>
    <w:rsid w:val="00E467DE"/>
    <w:rsid w:val="00E47387"/>
    <w:rsid w:val="00E500A6"/>
    <w:rsid w:val="00E50555"/>
    <w:rsid w:val="00E5083F"/>
    <w:rsid w:val="00E51370"/>
    <w:rsid w:val="00E519FC"/>
    <w:rsid w:val="00E54928"/>
    <w:rsid w:val="00E54E8D"/>
    <w:rsid w:val="00E55058"/>
    <w:rsid w:val="00E55346"/>
    <w:rsid w:val="00E57EEA"/>
    <w:rsid w:val="00E6041F"/>
    <w:rsid w:val="00E61596"/>
    <w:rsid w:val="00E6222D"/>
    <w:rsid w:val="00E62FF3"/>
    <w:rsid w:val="00E63304"/>
    <w:rsid w:val="00E63A19"/>
    <w:rsid w:val="00E63D7B"/>
    <w:rsid w:val="00E64591"/>
    <w:rsid w:val="00E64713"/>
    <w:rsid w:val="00E65156"/>
    <w:rsid w:val="00E65AFE"/>
    <w:rsid w:val="00E65D32"/>
    <w:rsid w:val="00E66902"/>
    <w:rsid w:val="00E673A1"/>
    <w:rsid w:val="00E67426"/>
    <w:rsid w:val="00E675FC"/>
    <w:rsid w:val="00E677BE"/>
    <w:rsid w:val="00E707B1"/>
    <w:rsid w:val="00E7089C"/>
    <w:rsid w:val="00E70F5B"/>
    <w:rsid w:val="00E71758"/>
    <w:rsid w:val="00E723DE"/>
    <w:rsid w:val="00E739D4"/>
    <w:rsid w:val="00E73F80"/>
    <w:rsid w:val="00E74245"/>
    <w:rsid w:val="00E74C84"/>
    <w:rsid w:val="00E75583"/>
    <w:rsid w:val="00E763A2"/>
    <w:rsid w:val="00E7651F"/>
    <w:rsid w:val="00E76AE6"/>
    <w:rsid w:val="00E77246"/>
    <w:rsid w:val="00E774F7"/>
    <w:rsid w:val="00E77DE5"/>
    <w:rsid w:val="00E80B4C"/>
    <w:rsid w:val="00E81551"/>
    <w:rsid w:val="00E81754"/>
    <w:rsid w:val="00E824BF"/>
    <w:rsid w:val="00E8337B"/>
    <w:rsid w:val="00E8426F"/>
    <w:rsid w:val="00E853F8"/>
    <w:rsid w:val="00E8590B"/>
    <w:rsid w:val="00E865BF"/>
    <w:rsid w:val="00E86D4A"/>
    <w:rsid w:val="00E872FC"/>
    <w:rsid w:val="00E87730"/>
    <w:rsid w:val="00E905B4"/>
    <w:rsid w:val="00E9133E"/>
    <w:rsid w:val="00E92031"/>
    <w:rsid w:val="00E931B2"/>
    <w:rsid w:val="00E93429"/>
    <w:rsid w:val="00E93569"/>
    <w:rsid w:val="00E94D13"/>
    <w:rsid w:val="00E9571D"/>
    <w:rsid w:val="00E962F0"/>
    <w:rsid w:val="00E97111"/>
    <w:rsid w:val="00E97870"/>
    <w:rsid w:val="00E978BA"/>
    <w:rsid w:val="00EA01BE"/>
    <w:rsid w:val="00EA10A6"/>
    <w:rsid w:val="00EA1DE7"/>
    <w:rsid w:val="00EA2807"/>
    <w:rsid w:val="00EA28A4"/>
    <w:rsid w:val="00EA2AED"/>
    <w:rsid w:val="00EA2F5C"/>
    <w:rsid w:val="00EA32AD"/>
    <w:rsid w:val="00EA44F9"/>
    <w:rsid w:val="00EA4557"/>
    <w:rsid w:val="00EA517A"/>
    <w:rsid w:val="00EA56C7"/>
    <w:rsid w:val="00EA6BBD"/>
    <w:rsid w:val="00EA797A"/>
    <w:rsid w:val="00EB0451"/>
    <w:rsid w:val="00EB1648"/>
    <w:rsid w:val="00EB1997"/>
    <w:rsid w:val="00EB1C45"/>
    <w:rsid w:val="00EB20A6"/>
    <w:rsid w:val="00EB20F7"/>
    <w:rsid w:val="00EB2613"/>
    <w:rsid w:val="00EB299F"/>
    <w:rsid w:val="00EB29CA"/>
    <w:rsid w:val="00EB4360"/>
    <w:rsid w:val="00EB44CD"/>
    <w:rsid w:val="00EB48B9"/>
    <w:rsid w:val="00EB5606"/>
    <w:rsid w:val="00EB6318"/>
    <w:rsid w:val="00EB63DF"/>
    <w:rsid w:val="00EB6C3B"/>
    <w:rsid w:val="00EB6D31"/>
    <w:rsid w:val="00EC05E5"/>
    <w:rsid w:val="00EC061A"/>
    <w:rsid w:val="00EC0A85"/>
    <w:rsid w:val="00EC1868"/>
    <w:rsid w:val="00EC1903"/>
    <w:rsid w:val="00EC47B8"/>
    <w:rsid w:val="00EC4D1D"/>
    <w:rsid w:val="00EC51A4"/>
    <w:rsid w:val="00EC5741"/>
    <w:rsid w:val="00EC620B"/>
    <w:rsid w:val="00EC6B13"/>
    <w:rsid w:val="00EC6FBB"/>
    <w:rsid w:val="00EC754F"/>
    <w:rsid w:val="00EC7A74"/>
    <w:rsid w:val="00ED0EA1"/>
    <w:rsid w:val="00ED1254"/>
    <w:rsid w:val="00ED1467"/>
    <w:rsid w:val="00ED1CD9"/>
    <w:rsid w:val="00ED21A6"/>
    <w:rsid w:val="00ED21E7"/>
    <w:rsid w:val="00ED29E6"/>
    <w:rsid w:val="00ED2F68"/>
    <w:rsid w:val="00ED3656"/>
    <w:rsid w:val="00ED39B8"/>
    <w:rsid w:val="00ED3C54"/>
    <w:rsid w:val="00ED3D32"/>
    <w:rsid w:val="00ED42E1"/>
    <w:rsid w:val="00ED48C0"/>
    <w:rsid w:val="00ED75D0"/>
    <w:rsid w:val="00ED7B71"/>
    <w:rsid w:val="00ED7BF4"/>
    <w:rsid w:val="00EE09DA"/>
    <w:rsid w:val="00EE0CDE"/>
    <w:rsid w:val="00EE0D99"/>
    <w:rsid w:val="00EE0E10"/>
    <w:rsid w:val="00EE1211"/>
    <w:rsid w:val="00EE1C42"/>
    <w:rsid w:val="00EE2782"/>
    <w:rsid w:val="00EE31B6"/>
    <w:rsid w:val="00EE3AAF"/>
    <w:rsid w:val="00EE45A6"/>
    <w:rsid w:val="00EE49B6"/>
    <w:rsid w:val="00EE52CF"/>
    <w:rsid w:val="00EE600A"/>
    <w:rsid w:val="00EE6182"/>
    <w:rsid w:val="00EE701A"/>
    <w:rsid w:val="00EF00B1"/>
    <w:rsid w:val="00EF01F7"/>
    <w:rsid w:val="00EF0979"/>
    <w:rsid w:val="00EF160A"/>
    <w:rsid w:val="00EF32EB"/>
    <w:rsid w:val="00EF37F8"/>
    <w:rsid w:val="00EF38AF"/>
    <w:rsid w:val="00EF47E7"/>
    <w:rsid w:val="00EF4A6E"/>
    <w:rsid w:val="00EF60AE"/>
    <w:rsid w:val="00EF689E"/>
    <w:rsid w:val="00EF6AB6"/>
    <w:rsid w:val="00EF6D7F"/>
    <w:rsid w:val="00EF6DB2"/>
    <w:rsid w:val="00EF6E9C"/>
    <w:rsid w:val="00EF7001"/>
    <w:rsid w:val="00F0005F"/>
    <w:rsid w:val="00F005A0"/>
    <w:rsid w:val="00F006F7"/>
    <w:rsid w:val="00F00933"/>
    <w:rsid w:val="00F00FED"/>
    <w:rsid w:val="00F013DA"/>
    <w:rsid w:val="00F01627"/>
    <w:rsid w:val="00F0178F"/>
    <w:rsid w:val="00F027DE"/>
    <w:rsid w:val="00F02FFB"/>
    <w:rsid w:val="00F033D5"/>
    <w:rsid w:val="00F038A1"/>
    <w:rsid w:val="00F03C1D"/>
    <w:rsid w:val="00F040DB"/>
    <w:rsid w:val="00F04982"/>
    <w:rsid w:val="00F10CCA"/>
    <w:rsid w:val="00F112D3"/>
    <w:rsid w:val="00F117D2"/>
    <w:rsid w:val="00F12281"/>
    <w:rsid w:val="00F12394"/>
    <w:rsid w:val="00F12492"/>
    <w:rsid w:val="00F12724"/>
    <w:rsid w:val="00F12931"/>
    <w:rsid w:val="00F13DF7"/>
    <w:rsid w:val="00F14030"/>
    <w:rsid w:val="00F147B6"/>
    <w:rsid w:val="00F15A5B"/>
    <w:rsid w:val="00F1692A"/>
    <w:rsid w:val="00F16A5A"/>
    <w:rsid w:val="00F16C7B"/>
    <w:rsid w:val="00F17966"/>
    <w:rsid w:val="00F21686"/>
    <w:rsid w:val="00F227EB"/>
    <w:rsid w:val="00F2324A"/>
    <w:rsid w:val="00F23ECE"/>
    <w:rsid w:val="00F2447F"/>
    <w:rsid w:val="00F252F4"/>
    <w:rsid w:val="00F25984"/>
    <w:rsid w:val="00F25A17"/>
    <w:rsid w:val="00F25CAC"/>
    <w:rsid w:val="00F26636"/>
    <w:rsid w:val="00F26720"/>
    <w:rsid w:val="00F26777"/>
    <w:rsid w:val="00F26EDB"/>
    <w:rsid w:val="00F276BF"/>
    <w:rsid w:val="00F27C86"/>
    <w:rsid w:val="00F27F16"/>
    <w:rsid w:val="00F30C04"/>
    <w:rsid w:val="00F30D8B"/>
    <w:rsid w:val="00F30DC3"/>
    <w:rsid w:val="00F30F22"/>
    <w:rsid w:val="00F3124A"/>
    <w:rsid w:val="00F31692"/>
    <w:rsid w:val="00F318E7"/>
    <w:rsid w:val="00F320FC"/>
    <w:rsid w:val="00F3287D"/>
    <w:rsid w:val="00F33ABD"/>
    <w:rsid w:val="00F340ED"/>
    <w:rsid w:val="00F35470"/>
    <w:rsid w:val="00F35939"/>
    <w:rsid w:val="00F3657B"/>
    <w:rsid w:val="00F36D8D"/>
    <w:rsid w:val="00F37760"/>
    <w:rsid w:val="00F37D4F"/>
    <w:rsid w:val="00F37DEF"/>
    <w:rsid w:val="00F4050D"/>
    <w:rsid w:val="00F411CE"/>
    <w:rsid w:val="00F41259"/>
    <w:rsid w:val="00F4227E"/>
    <w:rsid w:val="00F426BF"/>
    <w:rsid w:val="00F43482"/>
    <w:rsid w:val="00F43E7F"/>
    <w:rsid w:val="00F445F2"/>
    <w:rsid w:val="00F44C42"/>
    <w:rsid w:val="00F4549F"/>
    <w:rsid w:val="00F45697"/>
    <w:rsid w:val="00F468EE"/>
    <w:rsid w:val="00F475D2"/>
    <w:rsid w:val="00F47952"/>
    <w:rsid w:val="00F47EE5"/>
    <w:rsid w:val="00F50505"/>
    <w:rsid w:val="00F50D65"/>
    <w:rsid w:val="00F50F12"/>
    <w:rsid w:val="00F53286"/>
    <w:rsid w:val="00F538E5"/>
    <w:rsid w:val="00F53AC8"/>
    <w:rsid w:val="00F54420"/>
    <w:rsid w:val="00F54B0C"/>
    <w:rsid w:val="00F554D7"/>
    <w:rsid w:val="00F557B3"/>
    <w:rsid w:val="00F559D8"/>
    <w:rsid w:val="00F5670D"/>
    <w:rsid w:val="00F57423"/>
    <w:rsid w:val="00F57850"/>
    <w:rsid w:val="00F57A0F"/>
    <w:rsid w:val="00F60260"/>
    <w:rsid w:val="00F60906"/>
    <w:rsid w:val="00F60987"/>
    <w:rsid w:val="00F6191D"/>
    <w:rsid w:val="00F6339C"/>
    <w:rsid w:val="00F63630"/>
    <w:rsid w:val="00F63A01"/>
    <w:rsid w:val="00F64EC1"/>
    <w:rsid w:val="00F651BF"/>
    <w:rsid w:val="00F659A0"/>
    <w:rsid w:val="00F66536"/>
    <w:rsid w:val="00F708DE"/>
    <w:rsid w:val="00F717A9"/>
    <w:rsid w:val="00F72426"/>
    <w:rsid w:val="00F7254F"/>
    <w:rsid w:val="00F7406D"/>
    <w:rsid w:val="00F743EA"/>
    <w:rsid w:val="00F7689B"/>
    <w:rsid w:val="00F76932"/>
    <w:rsid w:val="00F76DDB"/>
    <w:rsid w:val="00F7713F"/>
    <w:rsid w:val="00F777C3"/>
    <w:rsid w:val="00F77E22"/>
    <w:rsid w:val="00F80A98"/>
    <w:rsid w:val="00F823D7"/>
    <w:rsid w:val="00F8291E"/>
    <w:rsid w:val="00F82A5D"/>
    <w:rsid w:val="00F841AB"/>
    <w:rsid w:val="00F841FF"/>
    <w:rsid w:val="00F856AC"/>
    <w:rsid w:val="00F86657"/>
    <w:rsid w:val="00F868A1"/>
    <w:rsid w:val="00F86DD9"/>
    <w:rsid w:val="00F902F5"/>
    <w:rsid w:val="00F90AF6"/>
    <w:rsid w:val="00F91407"/>
    <w:rsid w:val="00F91A68"/>
    <w:rsid w:val="00F91E8C"/>
    <w:rsid w:val="00F92ACE"/>
    <w:rsid w:val="00F931CC"/>
    <w:rsid w:val="00F9385A"/>
    <w:rsid w:val="00F93883"/>
    <w:rsid w:val="00F94F07"/>
    <w:rsid w:val="00F95CA2"/>
    <w:rsid w:val="00F9664F"/>
    <w:rsid w:val="00F967F4"/>
    <w:rsid w:val="00F96BDC"/>
    <w:rsid w:val="00F974A6"/>
    <w:rsid w:val="00F97D5C"/>
    <w:rsid w:val="00F97E77"/>
    <w:rsid w:val="00FA0C3D"/>
    <w:rsid w:val="00FA11E0"/>
    <w:rsid w:val="00FA21B4"/>
    <w:rsid w:val="00FA279A"/>
    <w:rsid w:val="00FA3FDE"/>
    <w:rsid w:val="00FA4E4A"/>
    <w:rsid w:val="00FA5313"/>
    <w:rsid w:val="00FA58CD"/>
    <w:rsid w:val="00FA5C06"/>
    <w:rsid w:val="00FA5E54"/>
    <w:rsid w:val="00FA6364"/>
    <w:rsid w:val="00FA7542"/>
    <w:rsid w:val="00FA798E"/>
    <w:rsid w:val="00FA7F13"/>
    <w:rsid w:val="00FA7F23"/>
    <w:rsid w:val="00FB0112"/>
    <w:rsid w:val="00FB09F1"/>
    <w:rsid w:val="00FB0C51"/>
    <w:rsid w:val="00FB1F58"/>
    <w:rsid w:val="00FB29DE"/>
    <w:rsid w:val="00FB5A58"/>
    <w:rsid w:val="00FB612E"/>
    <w:rsid w:val="00FB6503"/>
    <w:rsid w:val="00FB6B9A"/>
    <w:rsid w:val="00FB6E1E"/>
    <w:rsid w:val="00FC0DD0"/>
    <w:rsid w:val="00FC1451"/>
    <w:rsid w:val="00FC1A8F"/>
    <w:rsid w:val="00FC1EB7"/>
    <w:rsid w:val="00FC29E5"/>
    <w:rsid w:val="00FC39C0"/>
    <w:rsid w:val="00FC410E"/>
    <w:rsid w:val="00FC43DA"/>
    <w:rsid w:val="00FC44CE"/>
    <w:rsid w:val="00FC4820"/>
    <w:rsid w:val="00FC60C5"/>
    <w:rsid w:val="00FC61F7"/>
    <w:rsid w:val="00FC7699"/>
    <w:rsid w:val="00FD0088"/>
    <w:rsid w:val="00FD13F0"/>
    <w:rsid w:val="00FD198E"/>
    <w:rsid w:val="00FD19EA"/>
    <w:rsid w:val="00FD2271"/>
    <w:rsid w:val="00FD3972"/>
    <w:rsid w:val="00FD3E13"/>
    <w:rsid w:val="00FD48F1"/>
    <w:rsid w:val="00FD59E9"/>
    <w:rsid w:val="00FD5D61"/>
    <w:rsid w:val="00FD6076"/>
    <w:rsid w:val="00FD6151"/>
    <w:rsid w:val="00FD679E"/>
    <w:rsid w:val="00FD6A6D"/>
    <w:rsid w:val="00FD6FFE"/>
    <w:rsid w:val="00FD76BE"/>
    <w:rsid w:val="00FE02C7"/>
    <w:rsid w:val="00FE072E"/>
    <w:rsid w:val="00FE078C"/>
    <w:rsid w:val="00FE0DBA"/>
    <w:rsid w:val="00FE1715"/>
    <w:rsid w:val="00FE1F52"/>
    <w:rsid w:val="00FE3D3C"/>
    <w:rsid w:val="00FE3E0C"/>
    <w:rsid w:val="00FE45AD"/>
    <w:rsid w:val="00FE4F80"/>
    <w:rsid w:val="00FE5B3C"/>
    <w:rsid w:val="00FE613B"/>
    <w:rsid w:val="00FE6B0A"/>
    <w:rsid w:val="00FE6F43"/>
    <w:rsid w:val="00FE75D3"/>
    <w:rsid w:val="00FE78BB"/>
    <w:rsid w:val="00FF04E5"/>
    <w:rsid w:val="00FF06EC"/>
    <w:rsid w:val="00FF1F72"/>
    <w:rsid w:val="00FF27E8"/>
    <w:rsid w:val="00FF39A2"/>
    <w:rsid w:val="00FF3B55"/>
    <w:rsid w:val="00FF4FDF"/>
    <w:rsid w:val="00FF61D0"/>
    <w:rsid w:val="00FF6DFE"/>
    <w:rsid w:val="00FF700F"/>
    <w:rsid w:val="00FF7182"/>
    <w:rsid w:val="00FF74CD"/>
    <w:rsid w:val="00FF7A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05DDA4"/>
  <w15:chartTrackingRefBased/>
  <w15:docId w15:val="{8604F058-EA85-4E05-BBD3-57F4C2E85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qFormat="1"/>
    <w:lsdException w:name="HTML Keyboard" w:semiHidden="1" w:unhideWhenUsed="1"/>
    <w:lsdException w:name="HTML Preformatted" w:semiHidden="1" w:uiPriority="99"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F320FC"/>
    <w:rPr>
      <w:lang w:val="uk-UA"/>
    </w:rPr>
  </w:style>
  <w:style w:type="paragraph" w:styleId="1">
    <w:name w:val="heading 1"/>
    <w:basedOn w:val="a0"/>
    <w:next w:val="a0"/>
    <w:link w:val="10"/>
    <w:qFormat/>
    <w:rsid w:val="000B063F"/>
    <w:pPr>
      <w:keepNext/>
      <w:keepLines/>
      <w:widowControl w:val="0"/>
      <w:tabs>
        <w:tab w:val="left" w:pos="1134"/>
      </w:tabs>
      <w:spacing w:before="80" w:after="80"/>
      <w:ind w:left="360" w:hanging="360"/>
      <w:jc w:val="center"/>
      <w:outlineLvl w:val="0"/>
    </w:pPr>
    <w:rPr>
      <w:rFonts w:cs="Helvetica"/>
      <w:b/>
      <w:color w:val="000000"/>
      <w:sz w:val="28"/>
      <w:szCs w:val="32"/>
      <w:lang w:eastAsia="en-US"/>
    </w:rPr>
  </w:style>
  <w:style w:type="paragraph" w:styleId="2">
    <w:name w:val="heading 2"/>
    <w:basedOn w:val="a0"/>
    <w:next w:val="a0"/>
    <w:link w:val="20"/>
    <w:semiHidden/>
    <w:unhideWhenUsed/>
    <w:qFormat/>
    <w:rsid w:val="007570E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nhideWhenUsed/>
    <w:qFormat/>
    <w:rsid w:val="0051268C"/>
    <w:pPr>
      <w:keepNext/>
      <w:spacing w:before="240" w:after="60"/>
      <w:outlineLvl w:val="2"/>
    </w:pPr>
    <w:rPr>
      <w:rFonts w:ascii="Calibri Light" w:hAnsi="Calibri Light"/>
      <w:b/>
      <w:bCs/>
      <w:sz w:val="26"/>
      <w:szCs w:val="26"/>
      <w:lang w:val="x-none"/>
    </w:rPr>
  </w:style>
  <w:style w:type="paragraph" w:styleId="4">
    <w:name w:val="heading 4"/>
    <w:basedOn w:val="a0"/>
    <w:next w:val="a0"/>
    <w:qFormat/>
    <w:rsid w:val="009150DF"/>
    <w:pPr>
      <w:keepNext/>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pPr>
      <w:tabs>
        <w:tab w:val="center" w:pos="4536"/>
        <w:tab w:val="right" w:pos="9072"/>
      </w:tabs>
    </w:pPr>
  </w:style>
  <w:style w:type="paragraph" w:styleId="a6">
    <w:name w:val="footer"/>
    <w:basedOn w:val="a0"/>
    <w:link w:val="a7"/>
    <w:uiPriority w:val="99"/>
    <w:pPr>
      <w:tabs>
        <w:tab w:val="center" w:pos="4536"/>
        <w:tab w:val="right" w:pos="9072"/>
      </w:tabs>
    </w:pPr>
  </w:style>
  <w:style w:type="table" w:styleId="a8">
    <w:name w:val="Table Grid"/>
    <w:basedOn w:val="a2"/>
    <w:rsid w:val="000F1E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page number"/>
    <w:basedOn w:val="a1"/>
    <w:rsid w:val="00AC2EBD"/>
  </w:style>
  <w:style w:type="paragraph" w:styleId="aa">
    <w:name w:val="Balloon Text"/>
    <w:basedOn w:val="a0"/>
    <w:link w:val="ab"/>
    <w:uiPriority w:val="99"/>
    <w:semiHidden/>
    <w:rsid w:val="00D369C9"/>
    <w:rPr>
      <w:rFonts w:ascii="Tahoma" w:hAnsi="Tahoma" w:cs="Tahoma"/>
      <w:sz w:val="16"/>
      <w:szCs w:val="16"/>
    </w:rPr>
  </w:style>
  <w:style w:type="paragraph" w:styleId="21">
    <w:name w:val="Body Text 2"/>
    <w:basedOn w:val="a0"/>
    <w:link w:val="22"/>
    <w:rsid w:val="008A13C4"/>
    <w:pPr>
      <w:jc w:val="both"/>
    </w:pPr>
    <w:rPr>
      <w:sz w:val="28"/>
      <w:lang w:eastAsia="x-none"/>
    </w:rPr>
  </w:style>
  <w:style w:type="paragraph" w:customStyle="1" w:styleId="ac">
    <w:name w:val="Знак Знак Знак Знак"/>
    <w:basedOn w:val="a0"/>
    <w:rsid w:val="00735DCE"/>
    <w:rPr>
      <w:rFonts w:ascii="Verdana" w:hAnsi="Verdana" w:cs="Verdana"/>
      <w:lang w:val="en-US" w:eastAsia="en-US"/>
    </w:rPr>
  </w:style>
  <w:style w:type="character" w:styleId="ad">
    <w:name w:val="Hyperlink"/>
    <w:uiPriority w:val="99"/>
    <w:rsid w:val="008C4BDD"/>
    <w:rPr>
      <w:color w:val="0000FF"/>
      <w:u w:val="single"/>
    </w:rPr>
  </w:style>
  <w:style w:type="paragraph" w:customStyle="1" w:styleId="ae">
    <w:name w:val="Знак Знак Знак Знак Знак Знак Знак"/>
    <w:basedOn w:val="a0"/>
    <w:rsid w:val="00A64EEC"/>
    <w:rPr>
      <w:rFonts w:ascii="Verdana" w:hAnsi="Verdana" w:cs="Verdana"/>
      <w:lang w:val="en-US" w:eastAsia="en-US"/>
    </w:rPr>
  </w:style>
  <w:style w:type="character" w:styleId="af">
    <w:name w:val="annotation reference"/>
    <w:uiPriority w:val="99"/>
    <w:rsid w:val="00615583"/>
    <w:rPr>
      <w:sz w:val="16"/>
      <w:szCs w:val="16"/>
    </w:rPr>
  </w:style>
  <w:style w:type="paragraph" w:styleId="af0">
    <w:name w:val="annotation text"/>
    <w:basedOn w:val="a0"/>
    <w:link w:val="af1"/>
    <w:uiPriority w:val="99"/>
    <w:rsid w:val="00615583"/>
    <w:rPr>
      <w:lang w:val="x-none"/>
    </w:rPr>
  </w:style>
  <w:style w:type="character" w:customStyle="1" w:styleId="af1">
    <w:name w:val="Текст примітки Знак"/>
    <w:link w:val="af0"/>
    <w:uiPriority w:val="99"/>
    <w:rsid w:val="00615583"/>
    <w:rPr>
      <w:lang w:eastAsia="ru-RU"/>
    </w:rPr>
  </w:style>
  <w:style w:type="paragraph" w:styleId="af2">
    <w:name w:val="annotation subject"/>
    <w:basedOn w:val="af0"/>
    <w:next w:val="af0"/>
    <w:link w:val="af3"/>
    <w:uiPriority w:val="99"/>
    <w:rsid w:val="00615583"/>
    <w:rPr>
      <w:b/>
      <w:bCs/>
    </w:rPr>
  </w:style>
  <w:style w:type="character" w:customStyle="1" w:styleId="af3">
    <w:name w:val="Тема примітки Знак"/>
    <w:link w:val="af2"/>
    <w:uiPriority w:val="99"/>
    <w:rsid w:val="00615583"/>
    <w:rPr>
      <w:b/>
      <w:bCs/>
      <w:lang w:eastAsia="ru-RU"/>
    </w:rPr>
  </w:style>
  <w:style w:type="paragraph" w:customStyle="1" w:styleId="11">
    <w:name w:val="Знак Знак1 Знак Знак Знак Знак Знак Знак Знак Знак"/>
    <w:basedOn w:val="a0"/>
    <w:rsid w:val="00F01627"/>
    <w:rPr>
      <w:rFonts w:ascii="Verdana" w:hAnsi="Verdana" w:cs="Verdana"/>
      <w:lang w:val="en-US" w:eastAsia="en-US"/>
    </w:rPr>
  </w:style>
  <w:style w:type="character" w:customStyle="1" w:styleId="22">
    <w:name w:val="Основний текст 2 Знак"/>
    <w:link w:val="21"/>
    <w:rsid w:val="004A77E9"/>
    <w:rPr>
      <w:sz w:val="28"/>
      <w:lang w:val="uk-UA"/>
    </w:rPr>
  </w:style>
  <w:style w:type="character" w:customStyle="1" w:styleId="30">
    <w:name w:val="Заголовок 3 Знак"/>
    <w:link w:val="3"/>
    <w:rsid w:val="0051268C"/>
    <w:rPr>
      <w:rFonts w:ascii="Calibri Light" w:eastAsia="Times New Roman" w:hAnsi="Calibri Light" w:cs="Times New Roman"/>
      <w:b/>
      <w:bCs/>
      <w:sz w:val="26"/>
      <w:szCs w:val="26"/>
      <w:lang w:eastAsia="ru-RU"/>
    </w:rPr>
  </w:style>
  <w:style w:type="character" w:customStyle="1" w:styleId="af4">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5"/>
    <w:uiPriority w:val="99"/>
    <w:locked/>
    <w:rsid w:val="007A1E8C"/>
    <w:rPr>
      <w:sz w:val="24"/>
      <w:szCs w:val="24"/>
      <w:lang w:val="uk-UA" w:eastAsia="uk-UA"/>
    </w:rPr>
  </w:style>
  <w:style w:type="paragraph" w:styleId="af5">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0"/>
    <w:link w:val="af4"/>
    <w:unhideWhenUsed/>
    <w:qFormat/>
    <w:rsid w:val="007A1E8C"/>
    <w:pPr>
      <w:spacing w:before="100" w:beforeAutospacing="1" w:after="100" w:afterAutospacing="1"/>
    </w:pPr>
    <w:rPr>
      <w:sz w:val="24"/>
      <w:szCs w:val="24"/>
      <w:lang w:eastAsia="uk-UA"/>
    </w:rPr>
  </w:style>
  <w:style w:type="paragraph" w:styleId="HTML">
    <w:name w:val="HTML Preformatted"/>
    <w:basedOn w:val="a0"/>
    <w:link w:val="HTML0"/>
    <w:uiPriority w:val="99"/>
    <w:unhideWhenUsed/>
    <w:rsid w:val="00227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0">
    <w:name w:val="Стандартний HTML Знак"/>
    <w:link w:val="HTML"/>
    <w:uiPriority w:val="99"/>
    <w:rsid w:val="00227C25"/>
    <w:rPr>
      <w:rFonts w:ascii="Courier New" w:hAnsi="Courier New" w:cs="Courier New"/>
    </w:rPr>
  </w:style>
  <w:style w:type="paragraph" w:customStyle="1" w:styleId="rvps2">
    <w:name w:val="rvps2"/>
    <w:basedOn w:val="a0"/>
    <w:link w:val="rvps2Char"/>
    <w:qFormat/>
    <w:rsid w:val="00953F77"/>
    <w:pPr>
      <w:spacing w:before="100" w:beforeAutospacing="1" w:after="100" w:afterAutospacing="1"/>
    </w:pPr>
    <w:rPr>
      <w:sz w:val="24"/>
      <w:szCs w:val="24"/>
      <w:lang w:val="ru-RU"/>
    </w:rPr>
  </w:style>
  <w:style w:type="paragraph" w:styleId="af6">
    <w:name w:val="List Paragraph"/>
    <w:basedOn w:val="a0"/>
    <w:link w:val="af7"/>
    <w:uiPriority w:val="34"/>
    <w:qFormat/>
    <w:rsid w:val="00816FED"/>
    <w:pPr>
      <w:spacing w:after="160" w:line="259" w:lineRule="auto"/>
      <w:ind w:left="720"/>
      <w:contextualSpacing/>
    </w:pPr>
    <w:rPr>
      <w:rFonts w:ascii="Calibri" w:eastAsia="Calibri" w:hAnsi="Calibri"/>
      <w:sz w:val="22"/>
      <w:szCs w:val="22"/>
      <w:lang w:val="x-none" w:eastAsia="en-US"/>
    </w:rPr>
  </w:style>
  <w:style w:type="character" w:customStyle="1" w:styleId="af7">
    <w:name w:val="Абзац списку Знак"/>
    <w:link w:val="af6"/>
    <w:uiPriority w:val="34"/>
    <w:rsid w:val="00816FED"/>
    <w:rPr>
      <w:rFonts w:ascii="Calibri" w:eastAsia="Calibri" w:hAnsi="Calibri"/>
      <w:sz w:val="22"/>
      <w:szCs w:val="22"/>
      <w:lang w:eastAsia="en-US"/>
    </w:rPr>
  </w:style>
  <w:style w:type="paragraph" w:styleId="af8">
    <w:name w:val="Revision"/>
    <w:hidden/>
    <w:uiPriority w:val="99"/>
    <w:semiHidden/>
    <w:rsid w:val="006C0613"/>
    <w:rPr>
      <w:lang w:val="uk-UA"/>
    </w:rPr>
  </w:style>
  <w:style w:type="character" w:customStyle="1" w:styleId="bx-messenger-message">
    <w:name w:val="bx-messenger-message"/>
    <w:rsid w:val="000C042A"/>
  </w:style>
  <w:style w:type="character" w:customStyle="1" w:styleId="bx-messenger-content-item-date">
    <w:name w:val="bx-messenger-content-item-date"/>
    <w:rsid w:val="000C042A"/>
  </w:style>
  <w:style w:type="character" w:customStyle="1" w:styleId="bx-messenger-content-like-button">
    <w:name w:val="bx-messenger-content-like-button"/>
    <w:rsid w:val="000C042A"/>
  </w:style>
  <w:style w:type="character" w:customStyle="1" w:styleId="ab">
    <w:name w:val="Текст у виносці Знак"/>
    <w:link w:val="aa"/>
    <w:uiPriority w:val="99"/>
    <w:semiHidden/>
    <w:rsid w:val="00076A8A"/>
    <w:rPr>
      <w:rFonts w:ascii="Tahoma" w:hAnsi="Tahoma" w:cs="Tahoma"/>
      <w:sz w:val="16"/>
      <w:szCs w:val="16"/>
      <w:lang w:eastAsia="ru-RU"/>
    </w:rPr>
  </w:style>
  <w:style w:type="character" w:customStyle="1" w:styleId="a5">
    <w:name w:val="Верхній колонтитул Знак"/>
    <w:link w:val="a4"/>
    <w:uiPriority w:val="99"/>
    <w:rsid w:val="00076A8A"/>
    <w:rPr>
      <w:lang w:eastAsia="ru-RU"/>
    </w:rPr>
  </w:style>
  <w:style w:type="character" w:customStyle="1" w:styleId="a7">
    <w:name w:val="Нижній колонтитул Знак"/>
    <w:link w:val="a6"/>
    <w:uiPriority w:val="99"/>
    <w:rsid w:val="00076A8A"/>
    <w:rPr>
      <w:lang w:eastAsia="ru-RU"/>
    </w:rPr>
  </w:style>
  <w:style w:type="character" w:styleId="af9">
    <w:name w:val="Strong"/>
    <w:uiPriority w:val="22"/>
    <w:qFormat/>
    <w:rsid w:val="008502D0"/>
    <w:rPr>
      <w:b/>
      <w:bCs/>
    </w:rPr>
  </w:style>
  <w:style w:type="paragraph" w:customStyle="1" w:styleId="12">
    <w:name w:val="Основной текст1"/>
    <w:basedOn w:val="a0"/>
    <w:rsid w:val="004B6255"/>
    <w:pPr>
      <w:suppressAutoHyphens/>
      <w:spacing w:after="600" w:line="288" w:lineRule="auto"/>
      <w:jc w:val="center"/>
    </w:pPr>
    <w:rPr>
      <w:sz w:val="28"/>
      <w:szCs w:val="28"/>
      <w:lang w:eastAsia="zh-CN"/>
    </w:rPr>
  </w:style>
  <w:style w:type="paragraph" w:customStyle="1" w:styleId="rvps7">
    <w:name w:val="rvps7"/>
    <w:basedOn w:val="a0"/>
    <w:rsid w:val="00BC2F36"/>
    <w:pPr>
      <w:spacing w:before="100" w:beforeAutospacing="1" w:after="100" w:afterAutospacing="1"/>
    </w:pPr>
    <w:rPr>
      <w:sz w:val="24"/>
      <w:szCs w:val="24"/>
      <w:lang w:eastAsia="uk-UA"/>
    </w:rPr>
  </w:style>
  <w:style w:type="character" w:customStyle="1" w:styleId="rvts0">
    <w:name w:val="rvts0"/>
    <w:rsid w:val="00BC2F36"/>
  </w:style>
  <w:style w:type="paragraph" w:styleId="afa">
    <w:name w:val="Body Text Indent"/>
    <w:basedOn w:val="a0"/>
    <w:link w:val="afb"/>
    <w:rsid w:val="00AF16E5"/>
    <w:pPr>
      <w:ind w:firstLine="708"/>
      <w:jc w:val="both"/>
    </w:pPr>
    <w:rPr>
      <w:sz w:val="28"/>
    </w:rPr>
  </w:style>
  <w:style w:type="character" w:customStyle="1" w:styleId="afb">
    <w:name w:val="Основний текст з відступом Знак"/>
    <w:basedOn w:val="a1"/>
    <w:link w:val="afa"/>
    <w:rsid w:val="00AF16E5"/>
    <w:rPr>
      <w:sz w:val="28"/>
      <w:lang w:val="uk-UA"/>
    </w:rPr>
  </w:style>
  <w:style w:type="paragraph" w:customStyle="1" w:styleId="Normalnumbering">
    <w:name w:val="Normal numbering"/>
    <w:basedOn w:val="a0"/>
    <w:link w:val="NormalnumberingChar"/>
    <w:uiPriority w:val="99"/>
    <w:rsid w:val="000B063F"/>
    <w:pPr>
      <w:widowControl w:val="0"/>
      <w:tabs>
        <w:tab w:val="left" w:pos="1701"/>
        <w:tab w:val="num" w:pos="2211"/>
      </w:tabs>
      <w:spacing w:before="120" w:after="120"/>
      <w:ind w:firstLine="851"/>
      <w:jc w:val="both"/>
      <w:outlineLvl w:val="0"/>
    </w:pPr>
    <w:rPr>
      <w:rFonts w:eastAsia="Calibri" w:cs="Helvetica"/>
      <w:sz w:val="28"/>
      <w:szCs w:val="24"/>
      <w:lang w:val="ru-RU" w:eastAsia="en-US"/>
    </w:rPr>
  </w:style>
  <w:style w:type="character" w:customStyle="1" w:styleId="NormalnumberingChar">
    <w:name w:val="Normal numbering Char"/>
    <w:link w:val="Normalnumbering"/>
    <w:uiPriority w:val="99"/>
    <w:locked/>
    <w:rsid w:val="000B063F"/>
    <w:rPr>
      <w:rFonts w:eastAsia="Calibri" w:cs="Helvetica"/>
      <w:sz w:val="28"/>
      <w:szCs w:val="24"/>
      <w:lang w:eastAsia="en-US"/>
    </w:rPr>
  </w:style>
  <w:style w:type="character" w:customStyle="1" w:styleId="10">
    <w:name w:val="Заголовок 1 Знак"/>
    <w:basedOn w:val="a1"/>
    <w:link w:val="1"/>
    <w:rsid w:val="000B063F"/>
    <w:rPr>
      <w:rFonts w:cs="Helvetica"/>
      <w:b/>
      <w:color w:val="000000"/>
      <w:sz w:val="28"/>
      <w:szCs w:val="32"/>
      <w:lang w:val="uk-UA" w:eastAsia="en-US"/>
    </w:rPr>
  </w:style>
  <w:style w:type="paragraph" w:styleId="afc">
    <w:name w:val="No Spacing"/>
    <w:link w:val="afd"/>
    <w:uiPriority w:val="1"/>
    <w:qFormat/>
    <w:rsid w:val="00026909"/>
    <w:rPr>
      <w:rFonts w:asciiTheme="minorHAnsi" w:eastAsiaTheme="minorHAnsi" w:hAnsiTheme="minorHAnsi" w:cstheme="minorBidi"/>
      <w:sz w:val="22"/>
      <w:szCs w:val="22"/>
      <w:lang w:val="uk-UA" w:eastAsia="en-US"/>
    </w:rPr>
  </w:style>
  <w:style w:type="paragraph" w:customStyle="1" w:styleId="Normalwithoutnum">
    <w:name w:val="Normal without num"/>
    <w:basedOn w:val="a0"/>
    <w:qFormat/>
    <w:rsid w:val="00E42A24"/>
    <w:pPr>
      <w:widowControl w:val="0"/>
      <w:ind w:firstLine="851"/>
      <w:jc w:val="both"/>
      <w:outlineLvl w:val="2"/>
    </w:pPr>
    <w:rPr>
      <w:rFonts w:eastAsia="Calibri"/>
      <w:sz w:val="28"/>
      <w:szCs w:val="28"/>
      <w:lang w:eastAsia="en-US"/>
    </w:rPr>
  </w:style>
  <w:style w:type="paragraph" w:customStyle="1" w:styleId="afe">
    <w:name w:val="Обычный формула"/>
    <w:basedOn w:val="a0"/>
    <w:uiPriority w:val="99"/>
    <w:rsid w:val="00E42A24"/>
    <w:pPr>
      <w:widowControl w:val="0"/>
      <w:tabs>
        <w:tab w:val="left" w:pos="1701"/>
      </w:tabs>
      <w:spacing w:before="120" w:after="120"/>
      <w:jc w:val="center"/>
      <w:outlineLvl w:val="2"/>
    </w:pPr>
    <w:rPr>
      <w:rFonts w:cs="Helvetica"/>
      <w:sz w:val="28"/>
      <w:szCs w:val="24"/>
      <w:lang w:val="ru-RU" w:eastAsia="en-US"/>
    </w:rPr>
  </w:style>
  <w:style w:type="character" w:customStyle="1" w:styleId="xfm68768843">
    <w:name w:val="xfm_68768843"/>
    <w:basedOn w:val="a1"/>
    <w:rsid w:val="004A4537"/>
  </w:style>
  <w:style w:type="paragraph" w:styleId="31">
    <w:name w:val="Body Text Indent 3"/>
    <w:basedOn w:val="a0"/>
    <w:link w:val="32"/>
    <w:rsid w:val="006B3BFF"/>
    <w:pPr>
      <w:spacing w:after="120"/>
      <w:ind w:left="283"/>
    </w:pPr>
    <w:rPr>
      <w:rFonts w:eastAsia="SimSun" w:cs="Latha"/>
      <w:sz w:val="16"/>
      <w:szCs w:val="16"/>
      <w:lang w:bidi="ta-IN"/>
    </w:rPr>
  </w:style>
  <w:style w:type="character" w:customStyle="1" w:styleId="32">
    <w:name w:val="Основний текст з відступом 3 Знак"/>
    <w:basedOn w:val="a1"/>
    <w:link w:val="31"/>
    <w:rsid w:val="006B3BFF"/>
    <w:rPr>
      <w:rFonts w:eastAsia="SimSun" w:cs="Latha"/>
      <w:sz w:val="16"/>
      <w:szCs w:val="16"/>
      <w:lang w:val="uk-UA" w:bidi="ta-IN"/>
    </w:rPr>
  </w:style>
  <w:style w:type="character" w:customStyle="1" w:styleId="23">
    <w:name w:val="Основной текст (2)_"/>
    <w:link w:val="24"/>
    <w:rsid w:val="00A21FB1"/>
    <w:rPr>
      <w:shd w:val="clear" w:color="auto" w:fill="FFFFFF"/>
    </w:rPr>
  </w:style>
  <w:style w:type="paragraph" w:customStyle="1" w:styleId="24">
    <w:name w:val="Основной текст (2)"/>
    <w:basedOn w:val="a0"/>
    <w:link w:val="23"/>
    <w:rsid w:val="00A21FB1"/>
    <w:pPr>
      <w:widowControl w:val="0"/>
      <w:shd w:val="clear" w:color="auto" w:fill="FFFFFF"/>
      <w:spacing w:before="120" w:after="2880" w:line="269" w:lineRule="exact"/>
      <w:jc w:val="center"/>
    </w:pPr>
    <w:rPr>
      <w:lang w:val="ru-RU"/>
    </w:rPr>
  </w:style>
  <w:style w:type="character" w:customStyle="1" w:styleId="rvts80">
    <w:name w:val="rvts80"/>
    <w:basedOn w:val="a1"/>
    <w:rsid w:val="00856276"/>
  </w:style>
  <w:style w:type="paragraph" w:customStyle="1" w:styleId="rvps12">
    <w:name w:val="rvps12"/>
    <w:basedOn w:val="a0"/>
    <w:rsid w:val="00856276"/>
    <w:pPr>
      <w:spacing w:before="100" w:beforeAutospacing="1" w:after="100" w:afterAutospacing="1"/>
    </w:pPr>
    <w:rPr>
      <w:sz w:val="24"/>
      <w:szCs w:val="24"/>
      <w:lang w:eastAsia="uk-UA"/>
    </w:rPr>
  </w:style>
  <w:style w:type="character" w:customStyle="1" w:styleId="rvts40">
    <w:name w:val="rvts40"/>
    <w:basedOn w:val="a1"/>
    <w:rsid w:val="00856276"/>
  </w:style>
  <w:style w:type="paragraph" w:customStyle="1" w:styleId="rvps11">
    <w:name w:val="rvps11"/>
    <w:basedOn w:val="a0"/>
    <w:rsid w:val="00856276"/>
    <w:pPr>
      <w:spacing w:before="100" w:beforeAutospacing="1" w:after="100" w:afterAutospacing="1"/>
    </w:pPr>
    <w:rPr>
      <w:sz w:val="24"/>
      <w:szCs w:val="24"/>
      <w:lang w:eastAsia="uk-UA"/>
    </w:rPr>
  </w:style>
  <w:style w:type="paragraph" w:customStyle="1" w:styleId="rvps14">
    <w:name w:val="rvps14"/>
    <w:basedOn w:val="a0"/>
    <w:rsid w:val="00856276"/>
    <w:pPr>
      <w:spacing w:before="100" w:beforeAutospacing="1" w:after="100" w:afterAutospacing="1"/>
    </w:pPr>
    <w:rPr>
      <w:sz w:val="24"/>
      <w:szCs w:val="24"/>
      <w:lang w:eastAsia="uk-UA"/>
    </w:rPr>
  </w:style>
  <w:style w:type="paragraph" w:customStyle="1" w:styleId="aff">
    <w:name w:val="Обычный додатки"/>
    <w:basedOn w:val="a0"/>
    <w:qFormat/>
    <w:rsid w:val="00D310D4"/>
    <w:pPr>
      <w:widowControl w:val="0"/>
      <w:tabs>
        <w:tab w:val="left" w:pos="1701"/>
      </w:tabs>
      <w:spacing w:before="120" w:after="120"/>
      <w:jc w:val="both"/>
      <w:outlineLvl w:val="2"/>
    </w:pPr>
    <w:rPr>
      <w:rFonts w:eastAsia="Calibri" w:cs="Helvetica"/>
      <w:sz w:val="28"/>
      <w:szCs w:val="24"/>
      <w:lang w:eastAsia="en-US"/>
    </w:rPr>
  </w:style>
  <w:style w:type="paragraph" w:customStyle="1" w:styleId="pf0">
    <w:name w:val="pf0"/>
    <w:basedOn w:val="a0"/>
    <w:rsid w:val="00D310D4"/>
    <w:pPr>
      <w:spacing w:before="100" w:beforeAutospacing="1" w:after="100" w:afterAutospacing="1"/>
    </w:pPr>
    <w:rPr>
      <w:sz w:val="24"/>
      <w:szCs w:val="24"/>
      <w:lang w:val="ru-RU"/>
    </w:rPr>
  </w:style>
  <w:style w:type="character" w:customStyle="1" w:styleId="cf01">
    <w:name w:val="cf01"/>
    <w:basedOn w:val="a1"/>
    <w:rsid w:val="00D310D4"/>
    <w:rPr>
      <w:rFonts w:ascii="Segoe UI" w:hAnsi="Segoe UI" w:cs="Segoe UI" w:hint="default"/>
      <w:sz w:val="18"/>
      <w:szCs w:val="18"/>
    </w:rPr>
  </w:style>
  <w:style w:type="character" w:customStyle="1" w:styleId="cf11">
    <w:name w:val="cf11"/>
    <w:basedOn w:val="a1"/>
    <w:rsid w:val="00D310D4"/>
    <w:rPr>
      <w:rFonts w:ascii="Segoe UI" w:hAnsi="Segoe UI" w:cs="Segoe UI" w:hint="default"/>
      <w:sz w:val="18"/>
      <w:szCs w:val="18"/>
    </w:rPr>
  </w:style>
  <w:style w:type="character" w:customStyle="1" w:styleId="rvts15">
    <w:name w:val="rvts15"/>
    <w:rsid w:val="00675FFB"/>
  </w:style>
  <w:style w:type="paragraph" w:customStyle="1" w:styleId="tj">
    <w:name w:val="tj"/>
    <w:basedOn w:val="a0"/>
    <w:rsid w:val="00210C5C"/>
    <w:pPr>
      <w:spacing w:before="100" w:beforeAutospacing="1" w:after="100" w:afterAutospacing="1"/>
    </w:pPr>
    <w:rPr>
      <w:sz w:val="24"/>
      <w:szCs w:val="24"/>
      <w:lang w:eastAsia="uk-UA"/>
    </w:rPr>
  </w:style>
  <w:style w:type="character" w:customStyle="1" w:styleId="hard-blue-color">
    <w:name w:val="hard-blue-color"/>
    <w:basedOn w:val="a1"/>
    <w:rsid w:val="00210C5C"/>
  </w:style>
  <w:style w:type="paragraph" w:customStyle="1" w:styleId="List11">
    <w:name w:val="List 1.1"/>
    <w:basedOn w:val="rvps2"/>
    <w:link w:val="List11Char"/>
    <w:qFormat/>
    <w:rsid w:val="00BB1F50"/>
    <w:pPr>
      <w:tabs>
        <w:tab w:val="left" w:pos="990"/>
      </w:tabs>
      <w:spacing w:before="120" w:beforeAutospacing="0" w:after="120" w:afterAutospacing="0"/>
      <w:ind w:firstLine="432"/>
      <w:jc w:val="both"/>
    </w:pPr>
    <w:rPr>
      <w:rFonts w:eastAsiaTheme="minorEastAsia"/>
      <w:sz w:val="28"/>
      <w:lang w:val="uk-UA" w:eastAsia="uk-UA"/>
    </w:rPr>
  </w:style>
  <w:style w:type="character" w:customStyle="1" w:styleId="List11Char">
    <w:name w:val="List 1.1 Char"/>
    <w:basedOn w:val="a1"/>
    <w:link w:val="List11"/>
    <w:rsid w:val="00BB1F50"/>
    <w:rPr>
      <w:rFonts w:eastAsiaTheme="minorEastAsia"/>
      <w:sz w:val="28"/>
      <w:szCs w:val="24"/>
      <w:lang w:val="uk-UA" w:eastAsia="uk-UA"/>
    </w:rPr>
  </w:style>
  <w:style w:type="character" w:customStyle="1" w:styleId="rvps2Char">
    <w:name w:val="rvps2 Char"/>
    <w:basedOn w:val="a1"/>
    <w:link w:val="rvps2"/>
    <w:rsid w:val="00BB1F50"/>
    <w:rPr>
      <w:sz w:val="24"/>
      <w:szCs w:val="24"/>
    </w:rPr>
  </w:style>
  <w:style w:type="character" w:customStyle="1" w:styleId="20">
    <w:name w:val="Заголовок 2 Знак"/>
    <w:basedOn w:val="a1"/>
    <w:link w:val="2"/>
    <w:semiHidden/>
    <w:rsid w:val="007570E7"/>
    <w:rPr>
      <w:rFonts w:asciiTheme="majorHAnsi" w:eastAsiaTheme="majorEastAsia" w:hAnsiTheme="majorHAnsi" w:cstheme="majorBidi"/>
      <w:color w:val="2E74B5" w:themeColor="accent1" w:themeShade="BF"/>
      <w:sz w:val="26"/>
      <w:szCs w:val="26"/>
      <w:lang w:val="uk-UA"/>
    </w:rPr>
  </w:style>
  <w:style w:type="character" w:customStyle="1" w:styleId="rvts23">
    <w:name w:val="rvts23"/>
    <w:rsid w:val="00490420"/>
  </w:style>
  <w:style w:type="paragraph" w:customStyle="1" w:styleId="TableParagraph">
    <w:name w:val="Table Paragraph"/>
    <w:basedOn w:val="a0"/>
    <w:uiPriority w:val="1"/>
    <w:qFormat/>
    <w:rsid w:val="000549A8"/>
    <w:pPr>
      <w:widowControl w:val="0"/>
      <w:autoSpaceDE w:val="0"/>
      <w:autoSpaceDN w:val="0"/>
      <w:ind w:left="107"/>
    </w:pPr>
    <w:rPr>
      <w:sz w:val="22"/>
      <w:szCs w:val="22"/>
      <w:lang w:val="en-US" w:eastAsia="en-US"/>
    </w:rPr>
  </w:style>
  <w:style w:type="character" w:customStyle="1" w:styleId="rvts44">
    <w:name w:val="rvts44"/>
    <w:rsid w:val="000549A8"/>
  </w:style>
  <w:style w:type="paragraph" w:customStyle="1" w:styleId="tl">
    <w:name w:val="tl"/>
    <w:basedOn w:val="a0"/>
    <w:rsid w:val="00921E0C"/>
    <w:pPr>
      <w:spacing w:before="100" w:beforeAutospacing="1" w:after="100" w:afterAutospacing="1"/>
    </w:pPr>
    <w:rPr>
      <w:sz w:val="24"/>
      <w:szCs w:val="24"/>
      <w:lang w:eastAsia="uk-UA"/>
    </w:rPr>
  </w:style>
  <w:style w:type="character" w:styleId="aff0">
    <w:name w:val="Emphasis"/>
    <w:basedOn w:val="a1"/>
    <w:qFormat/>
    <w:rsid w:val="00121E98"/>
    <w:rPr>
      <w:i/>
      <w:iCs/>
    </w:rPr>
  </w:style>
  <w:style w:type="character" w:customStyle="1" w:styleId="fontstyle01">
    <w:name w:val="fontstyle01"/>
    <w:rsid w:val="00595ACE"/>
    <w:rPr>
      <w:rFonts w:ascii="TimesNewRoman" w:hAnsi="TimesNewRoman" w:hint="default"/>
      <w:b w:val="0"/>
      <w:bCs w:val="0"/>
      <w:i w:val="0"/>
      <w:iCs w:val="0"/>
      <w:color w:val="000000"/>
      <w:sz w:val="24"/>
      <w:szCs w:val="24"/>
    </w:rPr>
  </w:style>
  <w:style w:type="character" w:customStyle="1" w:styleId="rvts46">
    <w:name w:val="rvts46"/>
    <w:basedOn w:val="a1"/>
    <w:rsid w:val="005D4483"/>
  </w:style>
  <w:style w:type="character" w:customStyle="1" w:styleId="rvts11">
    <w:name w:val="rvts11"/>
    <w:basedOn w:val="a1"/>
    <w:rsid w:val="005D4483"/>
  </w:style>
  <w:style w:type="character" w:customStyle="1" w:styleId="rvts37">
    <w:name w:val="rvts37"/>
    <w:basedOn w:val="a1"/>
    <w:rsid w:val="005D4483"/>
  </w:style>
  <w:style w:type="character" w:customStyle="1" w:styleId="st42">
    <w:name w:val="st42"/>
    <w:uiPriority w:val="99"/>
    <w:rsid w:val="003D5C84"/>
    <w:rPr>
      <w:color w:val="000000"/>
    </w:rPr>
  </w:style>
  <w:style w:type="paragraph" w:customStyle="1" w:styleId="13">
    <w:name w:val="Абзац списка1"/>
    <w:basedOn w:val="a0"/>
    <w:rsid w:val="00732861"/>
    <w:pPr>
      <w:ind w:left="720"/>
    </w:pPr>
    <w:rPr>
      <w:rFonts w:eastAsia="Calibri"/>
      <w:sz w:val="24"/>
      <w:szCs w:val="24"/>
      <w:lang w:val="ru-RU"/>
    </w:rPr>
  </w:style>
  <w:style w:type="paragraph" w:customStyle="1" w:styleId="110">
    <w:name w:val="Абзац списка11"/>
    <w:basedOn w:val="a0"/>
    <w:rsid w:val="00CE4089"/>
    <w:pPr>
      <w:ind w:left="720"/>
    </w:pPr>
    <w:rPr>
      <w:rFonts w:eastAsia="Calibri"/>
      <w:sz w:val="24"/>
      <w:szCs w:val="24"/>
      <w:lang w:val="ru-RU"/>
    </w:rPr>
  </w:style>
  <w:style w:type="paragraph" w:styleId="a">
    <w:name w:val="List Bullet"/>
    <w:basedOn w:val="a0"/>
    <w:unhideWhenUsed/>
    <w:rsid w:val="00CE4089"/>
    <w:pPr>
      <w:numPr>
        <w:numId w:val="1"/>
      </w:numPr>
      <w:spacing w:after="200" w:line="276" w:lineRule="auto"/>
      <w:ind w:left="0" w:firstLine="0"/>
      <w:jc w:val="both"/>
    </w:pPr>
    <w:rPr>
      <w:rFonts w:ascii="Arial" w:hAnsi="Arial"/>
      <w:lang w:val="en-US" w:eastAsia="en-US"/>
    </w:rPr>
  </w:style>
  <w:style w:type="paragraph" w:customStyle="1" w:styleId="14">
    <w:name w:val="Абзац списку1"/>
    <w:basedOn w:val="a0"/>
    <w:rsid w:val="00A6047C"/>
    <w:pPr>
      <w:ind w:left="720"/>
    </w:pPr>
    <w:rPr>
      <w:rFonts w:eastAsia="Calibri"/>
      <w:sz w:val="24"/>
      <w:szCs w:val="24"/>
      <w:lang w:val="ru-RU"/>
    </w:rPr>
  </w:style>
  <w:style w:type="character" w:customStyle="1" w:styleId="15">
    <w:name w:val="Текст примітки Знак1"/>
    <w:basedOn w:val="a1"/>
    <w:uiPriority w:val="99"/>
    <w:semiHidden/>
    <w:rsid w:val="001E027E"/>
    <w:rPr>
      <w:sz w:val="20"/>
      <w:szCs w:val="20"/>
      <w:lang w:val="ru-RU"/>
    </w:rPr>
  </w:style>
  <w:style w:type="character" w:customStyle="1" w:styleId="16">
    <w:name w:val="Тема примітки Знак1"/>
    <w:basedOn w:val="15"/>
    <w:uiPriority w:val="99"/>
    <w:semiHidden/>
    <w:rsid w:val="001E027E"/>
    <w:rPr>
      <w:b/>
      <w:bCs/>
      <w:sz w:val="20"/>
      <w:szCs w:val="20"/>
      <w:lang w:val="ru-RU"/>
    </w:rPr>
  </w:style>
  <w:style w:type="character" w:customStyle="1" w:styleId="17">
    <w:name w:val="Верхній колонтитул Знак1"/>
    <w:basedOn w:val="a1"/>
    <w:uiPriority w:val="99"/>
    <w:semiHidden/>
    <w:rsid w:val="001E027E"/>
    <w:rPr>
      <w:lang w:val="ru-RU"/>
    </w:rPr>
  </w:style>
  <w:style w:type="character" w:customStyle="1" w:styleId="apple-tab-span">
    <w:name w:val="apple-tab-span"/>
    <w:basedOn w:val="a1"/>
    <w:rsid w:val="001E027E"/>
  </w:style>
  <w:style w:type="character" w:customStyle="1" w:styleId="contentpasted2">
    <w:name w:val="contentpasted2"/>
    <w:basedOn w:val="a1"/>
    <w:rsid w:val="003A5748"/>
  </w:style>
  <w:style w:type="paragraph" w:customStyle="1" w:styleId="Normalnumberingapplication">
    <w:name w:val="Normal numbering application"/>
    <w:basedOn w:val="a0"/>
    <w:rsid w:val="00003C27"/>
    <w:pPr>
      <w:widowControl w:val="0"/>
      <w:numPr>
        <w:ilvl w:val="3"/>
        <w:numId w:val="3"/>
      </w:numPr>
      <w:spacing w:before="240" w:after="240"/>
      <w:jc w:val="both"/>
      <w:outlineLvl w:val="2"/>
    </w:pPr>
    <w:rPr>
      <w:rFonts w:eastAsia="Calibri" w:cs="Helvetica"/>
      <w:sz w:val="28"/>
      <w:szCs w:val="24"/>
      <w:lang w:eastAsia="en-US"/>
    </w:rPr>
  </w:style>
  <w:style w:type="paragraph" w:customStyle="1" w:styleId="Heading2application">
    <w:name w:val="Heading 2 application"/>
    <w:basedOn w:val="2"/>
    <w:qFormat/>
    <w:rsid w:val="00003C27"/>
    <w:pPr>
      <w:widowControl w:val="0"/>
      <w:numPr>
        <w:ilvl w:val="1"/>
        <w:numId w:val="3"/>
      </w:numPr>
      <w:tabs>
        <w:tab w:val="clear" w:pos="851"/>
        <w:tab w:val="num" w:pos="360"/>
        <w:tab w:val="left" w:pos="1418"/>
      </w:tabs>
      <w:spacing w:before="120" w:after="120"/>
      <w:ind w:left="1440" w:firstLine="0"/>
      <w:jc w:val="center"/>
    </w:pPr>
    <w:rPr>
      <w:rFonts w:ascii="Times New Roman" w:eastAsia="Calibri" w:hAnsi="Times New Roman" w:cs="Times New Roman"/>
      <w:b/>
      <w:color w:val="000000"/>
      <w:sz w:val="28"/>
      <w:lang w:eastAsia="en-US"/>
    </w:rPr>
  </w:style>
  <w:style w:type="paragraph" w:customStyle="1" w:styleId="Heading1application">
    <w:name w:val="Heading 1 application"/>
    <w:basedOn w:val="1"/>
    <w:qFormat/>
    <w:rsid w:val="00003C27"/>
    <w:pPr>
      <w:numPr>
        <w:numId w:val="3"/>
      </w:numPr>
      <w:tabs>
        <w:tab w:val="clear" w:pos="851"/>
        <w:tab w:val="clear" w:pos="1134"/>
        <w:tab w:val="num" w:pos="360"/>
        <w:tab w:val="num" w:pos="720"/>
      </w:tabs>
      <w:spacing w:before="120" w:after="120"/>
      <w:ind w:left="720" w:firstLine="0"/>
    </w:pPr>
    <w:rPr>
      <w:rFonts w:eastAsia="Calibri"/>
    </w:rPr>
  </w:style>
  <w:style w:type="paragraph" w:customStyle="1" w:styleId="Normalapplication">
    <w:name w:val="Normal application"/>
    <w:basedOn w:val="a0"/>
    <w:qFormat/>
    <w:rsid w:val="00003C27"/>
    <w:pPr>
      <w:widowControl w:val="0"/>
      <w:numPr>
        <w:ilvl w:val="2"/>
        <w:numId w:val="3"/>
      </w:numPr>
      <w:tabs>
        <w:tab w:val="left" w:pos="1701"/>
      </w:tabs>
      <w:spacing w:before="120" w:after="120"/>
      <w:jc w:val="both"/>
      <w:outlineLvl w:val="2"/>
    </w:pPr>
    <w:rPr>
      <w:rFonts w:eastAsia="Calibri" w:cs="Helvetica"/>
      <w:sz w:val="28"/>
      <w:szCs w:val="24"/>
      <w:lang w:eastAsia="en-US"/>
    </w:rPr>
  </w:style>
  <w:style w:type="numbering" w:customStyle="1" w:styleId="newnumberingapplications">
    <w:name w:val="new numbering applications"/>
    <w:rsid w:val="00003C27"/>
    <w:pPr>
      <w:numPr>
        <w:numId w:val="2"/>
      </w:numPr>
    </w:pPr>
  </w:style>
  <w:style w:type="character" w:customStyle="1" w:styleId="markedcontent">
    <w:name w:val="markedcontent"/>
    <w:basedOn w:val="a1"/>
    <w:rsid w:val="000C5CA0"/>
  </w:style>
  <w:style w:type="character" w:customStyle="1" w:styleId="6">
    <w:name w:val="Заголовок №6_"/>
    <w:link w:val="60"/>
    <w:uiPriority w:val="99"/>
    <w:locked/>
    <w:rsid w:val="00D93587"/>
    <w:rPr>
      <w:rFonts w:ascii="Arial" w:hAnsi="Arial"/>
      <w:sz w:val="19"/>
    </w:rPr>
  </w:style>
  <w:style w:type="paragraph" w:customStyle="1" w:styleId="60">
    <w:name w:val="Заголовок №6"/>
    <w:basedOn w:val="a0"/>
    <w:link w:val="6"/>
    <w:uiPriority w:val="99"/>
    <w:rsid w:val="00D93587"/>
    <w:pPr>
      <w:spacing w:after="180" w:line="230" w:lineRule="exact"/>
      <w:ind w:hanging="1360"/>
      <w:outlineLvl w:val="5"/>
    </w:pPr>
    <w:rPr>
      <w:rFonts w:ascii="Arial" w:hAnsi="Arial"/>
      <w:sz w:val="19"/>
      <w:lang w:val="ru-RU"/>
    </w:rPr>
  </w:style>
  <w:style w:type="paragraph" w:customStyle="1" w:styleId="tr">
    <w:name w:val="tr"/>
    <w:basedOn w:val="a0"/>
    <w:rsid w:val="007356ED"/>
    <w:pPr>
      <w:spacing w:before="100" w:beforeAutospacing="1" w:after="100" w:afterAutospacing="1"/>
    </w:pPr>
    <w:rPr>
      <w:sz w:val="24"/>
      <w:szCs w:val="24"/>
      <w:lang w:eastAsia="uk-UA"/>
    </w:rPr>
  </w:style>
  <w:style w:type="character" w:customStyle="1" w:styleId="ui-provider">
    <w:name w:val="ui-provider"/>
    <w:basedOn w:val="a1"/>
    <w:rsid w:val="00330DB9"/>
  </w:style>
  <w:style w:type="paragraph" w:customStyle="1" w:styleId="tc">
    <w:name w:val="tc"/>
    <w:basedOn w:val="a0"/>
    <w:rsid w:val="001E11FF"/>
    <w:pPr>
      <w:spacing w:before="100" w:beforeAutospacing="1" w:after="100" w:afterAutospacing="1"/>
    </w:pPr>
    <w:rPr>
      <w:sz w:val="24"/>
      <w:szCs w:val="24"/>
      <w:lang w:eastAsia="uk-UA"/>
    </w:rPr>
  </w:style>
  <w:style w:type="character" w:styleId="aff1">
    <w:name w:val="Placeholder Text"/>
    <w:basedOn w:val="a1"/>
    <w:uiPriority w:val="99"/>
    <w:semiHidden/>
    <w:rsid w:val="001C1205"/>
    <w:rPr>
      <w:color w:val="666666"/>
    </w:rPr>
  </w:style>
  <w:style w:type="paragraph" w:customStyle="1" w:styleId="st2">
    <w:name w:val="st2"/>
    <w:rsid w:val="0085258E"/>
    <w:pPr>
      <w:autoSpaceDE w:val="0"/>
      <w:autoSpaceDN w:val="0"/>
      <w:adjustRightInd w:val="0"/>
      <w:spacing w:after="150"/>
      <w:ind w:firstLine="450"/>
      <w:jc w:val="both"/>
    </w:pPr>
    <w:rPr>
      <w:sz w:val="24"/>
      <w:szCs w:val="24"/>
      <w:lang w:val="uk-UA" w:eastAsia="uk-UA"/>
    </w:rPr>
  </w:style>
  <w:style w:type="paragraph" w:customStyle="1" w:styleId="st14">
    <w:name w:val="st14"/>
    <w:rsid w:val="0085258E"/>
    <w:pPr>
      <w:autoSpaceDE w:val="0"/>
      <w:autoSpaceDN w:val="0"/>
      <w:adjustRightInd w:val="0"/>
      <w:spacing w:before="150" w:after="150"/>
    </w:pPr>
    <w:rPr>
      <w:sz w:val="24"/>
      <w:szCs w:val="24"/>
      <w:lang w:val="uk-UA"/>
    </w:rPr>
  </w:style>
  <w:style w:type="character" w:customStyle="1" w:styleId="st101">
    <w:name w:val="st101"/>
    <w:rsid w:val="0085258E"/>
    <w:rPr>
      <w:b/>
      <w:bCs/>
      <w:color w:val="000000"/>
    </w:rPr>
  </w:style>
  <w:style w:type="character" w:customStyle="1" w:styleId="st40">
    <w:name w:val="st40"/>
    <w:rsid w:val="0085258E"/>
    <w:rPr>
      <w:b/>
      <w:bCs/>
      <w:color w:val="000000"/>
      <w:sz w:val="32"/>
      <w:szCs w:val="32"/>
      <w:vertAlign w:val="subscript"/>
    </w:rPr>
  </w:style>
  <w:style w:type="paragraph" w:styleId="aff2">
    <w:name w:val="Body Text"/>
    <w:basedOn w:val="a0"/>
    <w:link w:val="aff3"/>
    <w:rsid w:val="00C620A0"/>
    <w:pPr>
      <w:suppressAutoHyphens/>
      <w:spacing w:after="140" w:line="276" w:lineRule="auto"/>
    </w:pPr>
    <w:rPr>
      <w:lang w:eastAsia="zh-CN"/>
    </w:rPr>
  </w:style>
  <w:style w:type="character" w:customStyle="1" w:styleId="aff3">
    <w:name w:val="Основний текст Знак"/>
    <w:basedOn w:val="a1"/>
    <w:link w:val="aff2"/>
    <w:rsid w:val="00C620A0"/>
    <w:rPr>
      <w:lang w:val="uk-UA" w:eastAsia="zh-CN"/>
    </w:rPr>
  </w:style>
  <w:style w:type="character" w:customStyle="1" w:styleId="afd">
    <w:name w:val="Без інтервалів Знак"/>
    <w:basedOn w:val="a1"/>
    <w:link w:val="afc"/>
    <w:uiPriority w:val="1"/>
    <w:locked/>
    <w:rsid w:val="003E0173"/>
    <w:rPr>
      <w:rFonts w:asciiTheme="minorHAnsi" w:eastAsiaTheme="minorHAnsi" w:hAnsiTheme="minorHAnsi" w:cstheme="minorBidi"/>
      <w:sz w:val="22"/>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77715">
      <w:bodyDiv w:val="1"/>
      <w:marLeft w:val="0"/>
      <w:marRight w:val="0"/>
      <w:marTop w:val="0"/>
      <w:marBottom w:val="0"/>
      <w:divBdr>
        <w:top w:val="none" w:sz="0" w:space="0" w:color="auto"/>
        <w:left w:val="none" w:sz="0" w:space="0" w:color="auto"/>
        <w:bottom w:val="none" w:sz="0" w:space="0" w:color="auto"/>
        <w:right w:val="none" w:sz="0" w:space="0" w:color="auto"/>
      </w:divBdr>
    </w:div>
    <w:div w:id="27949094">
      <w:bodyDiv w:val="1"/>
      <w:marLeft w:val="0"/>
      <w:marRight w:val="0"/>
      <w:marTop w:val="0"/>
      <w:marBottom w:val="0"/>
      <w:divBdr>
        <w:top w:val="none" w:sz="0" w:space="0" w:color="auto"/>
        <w:left w:val="none" w:sz="0" w:space="0" w:color="auto"/>
        <w:bottom w:val="none" w:sz="0" w:space="0" w:color="auto"/>
        <w:right w:val="none" w:sz="0" w:space="0" w:color="auto"/>
      </w:divBdr>
    </w:div>
    <w:div w:id="32270949">
      <w:bodyDiv w:val="1"/>
      <w:marLeft w:val="0"/>
      <w:marRight w:val="0"/>
      <w:marTop w:val="0"/>
      <w:marBottom w:val="0"/>
      <w:divBdr>
        <w:top w:val="none" w:sz="0" w:space="0" w:color="auto"/>
        <w:left w:val="none" w:sz="0" w:space="0" w:color="auto"/>
        <w:bottom w:val="none" w:sz="0" w:space="0" w:color="auto"/>
        <w:right w:val="none" w:sz="0" w:space="0" w:color="auto"/>
      </w:divBdr>
    </w:div>
    <w:div w:id="89356962">
      <w:bodyDiv w:val="1"/>
      <w:marLeft w:val="0"/>
      <w:marRight w:val="0"/>
      <w:marTop w:val="0"/>
      <w:marBottom w:val="0"/>
      <w:divBdr>
        <w:top w:val="none" w:sz="0" w:space="0" w:color="auto"/>
        <w:left w:val="none" w:sz="0" w:space="0" w:color="auto"/>
        <w:bottom w:val="none" w:sz="0" w:space="0" w:color="auto"/>
        <w:right w:val="none" w:sz="0" w:space="0" w:color="auto"/>
      </w:divBdr>
      <w:divsChild>
        <w:div w:id="1076585285">
          <w:marLeft w:val="0"/>
          <w:marRight w:val="0"/>
          <w:marTop w:val="0"/>
          <w:marBottom w:val="0"/>
          <w:divBdr>
            <w:top w:val="none" w:sz="0" w:space="0" w:color="auto"/>
            <w:left w:val="none" w:sz="0" w:space="0" w:color="auto"/>
            <w:bottom w:val="none" w:sz="0" w:space="0" w:color="auto"/>
            <w:right w:val="none" w:sz="0" w:space="0" w:color="auto"/>
          </w:divBdr>
        </w:div>
        <w:div w:id="2010595506">
          <w:marLeft w:val="0"/>
          <w:marRight w:val="0"/>
          <w:marTop w:val="0"/>
          <w:marBottom w:val="0"/>
          <w:divBdr>
            <w:top w:val="none" w:sz="0" w:space="0" w:color="auto"/>
            <w:left w:val="none" w:sz="0" w:space="0" w:color="auto"/>
            <w:bottom w:val="none" w:sz="0" w:space="0" w:color="auto"/>
            <w:right w:val="none" w:sz="0" w:space="0" w:color="auto"/>
          </w:divBdr>
        </w:div>
      </w:divsChild>
    </w:div>
    <w:div w:id="96603434">
      <w:bodyDiv w:val="1"/>
      <w:marLeft w:val="0"/>
      <w:marRight w:val="0"/>
      <w:marTop w:val="0"/>
      <w:marBottom w:val="0"/>
      <w:divBdr>
        <w:top w:val="none" w:sz="0" w:space="0" w:color="auto"/>
        <w:left w:val="none" w:sz="0" w:space="0" w:color="auto"/>
        <w:bottom w:val="none" w:sz="0" w:space="0" w:color="auto"/>
        <w:right w:val="none" w:sz="0" w:space="0" w:color="auto"/>
      </w:divBdr>
    </w:div>
    <w:div w:id="137964911">
      <w:bodyDiv w:val="1"/>
      <w:marLeft w:val="0"/>
      <w:marRight w:val="0"/>
      <w:marTop w:val="0"/>
      <w:marBottom w:val="0"/>
      <w:divBdr>
        <w:top w:val="none" w:sz="0" w:space="0" w:color="auto"/>
        <w:left w:val="none" w:sz="0" w:space="0" w:color="auto"/>
        <w:bottom w:val="none" w:sz="0" w:space="0" w:color="auto"/>
        <w:right w:val="none" w:sz="0" w:space="0" w:color="auto"/>
      </w:divBdr>
    </w:div>
    <w:div w:id="160703573">
      <w:bodyDiv w:val="1"/>
      <w:marLeft w:val="0"/>
      <w:marRight w:val="0"/>
      <w:marTop w:val="0"/>
      <w:marBottom w:val="0"/>
      <w:divBdr>
        <w:top w:val="none" w:sz="0" w:space="0" w:color="auto"/>
        <w:left w:val="none" w:sz="0" w:space="0" w:color="auto"/>
        <w:bottom w:val="none" w:sz="0" w:space="0" w:color="auto"/>
        <w:right w:val="none" w:sz="0" w:space="0" w:color="auto"/>
      </w:divBdr>
    </w:div>
    <w:div w:id="219708301">
      <w:bodyDiv w:val="1"/>
      <w:marLeft w:val="0"/>
      <w:marRight w:val="0"/>
      <w:marTop w:val="0"/>
      <w:marBottom w:val="0"/>
      <w:divBdr>
        <w:top w:val="none" w:sz="0" w:space="0" w:color="auto"/>
        <w:left w:val="none" w:sz="0" w:space="0" w:color="auto"/>
        <w:bottom w:val="none" w:sz="0" w:space="0" w:color="auto"/>
        <w:right w:val="none" w:sz="0" w:space="0" w:color="auto"/>
      </w:divBdr>
    </w:div>
    <w:div w:id="368797910">
      <w:bodyDiv w:val="1"/>
      <w:marLeft w:val="0"/>
      <w:marRight w:val="0"/>
      <w:marTop w:val="0"/>
      <w:marBottom w:val="0"/>
      <w:divBdr>
        <w:top w:val="none" w:sz="0" w:space="0" w:color="auto"/>
        <w:left w:val="none" w:sz="0" w:space="0" w:color="auto"/>
        <w:bottom w:val="none" w:sz="0" w:space="0" w:color="auto"/>
        <w:right w:val="none" w:sz="0" w:space="0" w:color="auto"/>
      </w:divBdr>
    </w:div>
    <w:div w:id="387653691">
      <w:bodyDiv w:val="1"/>
      <w:marLeft w:val="0"/>
      <w:marRight w:val="0"/>
      <w:marTop w:val="0"/>
      <w:marBottom w:val="0"/>
      <w:divBdr>
        <w:top w:val="none" w:sz="0" w:space="0" w:color="auto"/>
        <w:left w:val="none" w:sz="0" w:space="0" w:color="auto"/>
        <w:bottom w:val="none" w:sz="0" w:space="0" w:color="auto"/>
        <w:right w:val="none" w:sz="0" w:space="0" w:color="auto"/>
      </w:divBdr>
    </w:div>
    <w:div w:id="424149559">
      <w:bodyDiv w:val="1"/>
      <w:marLeft w:val="0"/>
      <w:marRight w:val="0"/>
      <w:marTop w:val="0"/>
      <w:marBottom w:val="0"/>
      <w:divBdr>
        <w:top w:val="none" w:sz="0" w:space="0" w:color="auto"/>
        <w:left w:val="none" w:sz="0" w:space="0" w:color="auto"/>
        <w:bottom w:val="none" w:sz="0" w:space="0" w:color="auto"/>
        <w:right w:val="none" w:sz="0" w:space="0" w:color="auto"/>
      </w:divBdr>
    </w:div>
    <w:div w:id="430441680">
      <w:bodyDiv w:val="1"/>
      <w:marLeft w:val="0"/>
      <w:marRight w:val="0"/>
      <w:marTop w:val="0"/>
      <w:marBottom w:val="0"/>
      <w:divBdr>
        <w:top w:val="none" w:sz="0" w:space="0" w:color="auto"/>
        <w:left w:val="none" w:sz="0" w:space="0" w:color="auto"/>
        <w:bottom w:val="none" w:sz="0" w:space="0" w:color="auto"/>
        <w:right w:val="none" w:sz="0" w:space="0" w:color="auto"/>
      </w:divBdr>
    </w:div>
    <w:div w:id="455221393">
      <w:bodyDiv w:val="1"/>
      <w:marLeft w:val="0"/>
      <w:marRight w:val="0"/>
      <w:marTop w:val="0"/>
      <w:marBottom w:val="0"/>
      <w:divBdr>
        <w:top w:val="none" w:sz="0" w:space="0" w:color="auto"/>
        <w:left w:val="none" w:sz="0" w:space="0" w:color="auto"/>
        <w:bottom w:val="none" w:sz="0" w:space="0" w:color="auto"/>
        <w:right w:val="none" w:sz="0" w:space="0" w:color="auto"/>
      </w:divBdr>
      <w:divsChild>
        <w:div w:id="993139285">
          <w:marLeft w:val="0"/>
          <w:marRight w:val="0"/>
          <w:marTop w:val="0"/>
          <w:marBottom w:val="0"/>
          <w:divBdr>
            <w:top w:val="none" w:sz="0" w:space="0" w:color="auto"/>
            <w:left w:val="none" w:sz="0" w:space="0" w:color="auto"/>
            <w:bottom w:val="none" w:sz="0" w:space="0" w:color="auto"/>
            <w:right w:val="none" w:sz="0" w:space="0" w:color="auto"/>
          </w:divBdr>
        </w:div>
        <w:div w:id="867527398">
          <w:marLeft w:val="0"/>
          <w:marRight w:val="0"/>
          <w:marTop w:val="0"/>
          <w:marBottom w:val="0"/>
          <w:divBdr>
            <w:top w:val="none" w:sz="0" w:space="0" w:color="auto"/>
            <w:left w:val="none" w:sz="0" w:space="0" w:color="auto"/>
            <w:bottom w:val="none" w:sz="0" w:space="0" w:color="auto"/>
            <w:right w:val="none" w:sz="0" w:space="0" w:color="auto"/>
          </w:divBdr>
        </w:div>
        <w:div w:id="796996876">
          <w:marLeft w:val="0"/>
          <w:marRight w:val="0"/>
          <w:marTop w:val="0"/>
          <w:marBottom w:val="0"/>
          <w:divBdr>
            <w:top w:val="none" w:sz="0" w:space="0" w:color="auto"/>
            <w:left w:val="none" w:sz="0" w:space="0" w:color="auto"/>
            <w:bottom w:val="none" w:sz="0" w:space="0" w:color="auto"/>
            <w:right w:val="none" w:sz="0" w:space="0" w:color="auto"/>
          </w:divBdr>
        </w:div>
      </w:divsChild>
    </w:div>
    <w:div w:id="476921615">
      <w:bodyDiv w:val="1"/>
      <w:marLeft w:val="0"/>
      <w:marRight w:val="0"/>
      <w:marTop w:val="0"/>
      <w:marBottom w:val="0"/>
      <w:divBdr>
        <w:top w:val="none" w:sz="0" w:space="0" w:color="auto"/>
        <w:left w:val="none" w:sz="0" w:space="0" w:color="auto"/>
        <w:bottom w:val="none" w:sz="0" w:space="0" w:color="auto"/>
        <w:right w:val="none" w:sz="0" w:space="0" w:color="auto"/>
      </w:divBdr>
    </w:div>
    <w:div w:id="505292388">
      <w:bodyDiv w:val="1"/>
      <w:marLeft w:val="0"/>
      <w:marRight w:val="0"/>
      <w:marTop w:val="0"/>
      <w:marBottom w:val="0"/>
      <w:divBdr>
        <w:top w:val="none" w:sz="0" w:space="0" w:color="auto"/>
        <w:left w:val="none" w:sz="0" w:space="0" w:color="auto"/>
        <w:bottom w:val="none" w:sz="0" w:space="0" w:color="auto"/>
        <w:right w:val="none" w:sz="0" w:space="0" w:color="auto"/>
      </w:divBdr>
    </w:div>
    <w:div w:id="516313291">
      <w:bodyDiv w:val="1"/>
      <w:marLeft w:val="0"/>
      <w:marRight w:val="0"/>
      <w:marTop w:val="0"/>
      <w:marBottom w:val="0"/>
      <w:divBdr>
        <w:top w:val="none" w:sz="0" w:space="0" w:color="auto"/>
        <w:left w:val="none" w:sz="0" w:space="0" w:color="auto"/>
        <w:bottom w:val="none" w:sz="0" w:space="0" w:color="auto"/>
        <w:right w:val="none" w:sz="0" w:space="0" w:color="auto"/>
      </w:divBdr>
    </w:div>
    <w:div w:id="539054145">
      <w:bodyDiv w:val="1"/>
      <w:marLeft w:val="0"/>
      <w:marRight w:val="0"/>
      <w:marTop w:val="0"/>
      <w:marBottom w:val="0"/>
      <w:divBdr>
        <w:top w:val="none" w:sz="0" w:space="0" w:color="auto"/>
        <w:left w:val="none" w:sz="0" w:space="0" w:color="auto"/>
        <w:bottom w:val="none" w:sz="0" w:space="0" w:color="auto"/>
        <w:right w:val="none" w:sz="0" w:space="0" w:color="auto"/>
      </w:divBdr>
    </w:div>
    <w:div w:id="601647484">
      <w:bodyDiv w:val="1"/>
      <w:marLeft w:val="0"/>
      <w:marRight w:val="0"/>
      <w:marTop w:val="0"/>
      <w:marBottom w:val="0"/>
      <w:divBdr>
        <w:top w:val="none" w:sz="0" w:space="0" w:color="auto"/>
        <w:left w:val="none" w:sz="0" w:space="0" w:color="auto"/>
        <w:bottom w:val="none" w:sz="0" w:space="0" w:color="auto"/>
        <w:right w:val="none" w:sz="0" w:space="0" w:color="auto"/>
      </w:divBdr>
    </w:div>
    <w:div w:id="616525503">
      <w:bodyDiv w:val="1"/>
      <w:marLeft w:val="0"/>
      <w:marRight w:val="0"/>
      <w:marTop w:val="0"/>
      <w:marBottom w:val="0"/>
      <w:divBdr>
        <w:top w:val="none" w:sz="0" w:space="0" w:color="auto"/>
        <w:left w:val="none" w:sz="0" w:space="0" w:color="auto"/>
        <w:bottom w:val="none" w:sz="0" w:space="0" w:color="auto"/>
        <w:right w:val="none" w:sz="0" w:space="0" w:color="auto"/>
      </w:divBdr>
    </w:div>
    <w:div w:id="648707142">
      <w:bodyDiv w:val="1"/>
      <w:marLeft w:val="0"/>
      <w:marRight w:val="0"/>
      <w:marTop w:val="0"/>
      <w:marBottom w:val="0"/>
      <w:divBdr>
        <w:top w:val="none" w:sz="0" w:space="0" w:color="auto"/>
        <w:left w:val="none" w:sz="0" w:space="0" w:color="auto"/>
        <w:bottom w:val="none" w:sz="0" w:space="0" w:color="auto"/>
        <w:right w:val="none" w:sz="0" w:space="0" w:color="auto"/>
      </w:divBdr>
    </w:div>
    <w:div w:id="659886104">
      <w:bodyDiv w:val="1"/>
      <w:marLeft w:val="0"/>
      <w:marRight w:val="0"/>
      <w:marTop w:val="0"/>
      <w:marBottom w:val="0"/>
      <w:divBdr>
        <w:top w:val="none" w:sz="0" w:space="0" w:color="auto"/>
        <w:left w:val="none" w:sz="0" w:space="0" w:color="auto"/>
        <w:bottom w:val="none" w:sz="0" w:space="0" w:color="auto"/>
        <w:right w:val="none" w:sz="0" w:space="0" w:color="auto"/>
      </w:divBdr>
    </w:div>
    <w:div w:id="672268842">
      <w:bodyDiv w:val="1"/>
      <w:marLeft w:val="0"/>
      <w:marRight w:val="0"/>
      <w:marTop w:val="0"/>
      <w:marBottom w:val="0"/>
      <w:divBdr>
        <w:top w:val="none" w:sz="0" w:space="0" w:color="auto"/>
        <w:left w:val="none" w:sz="0" w:space="0" w:color="auto"/>
        <w:bottom w:val="none" w:sz="0" w:space="0" w:color="auto"/>
        <w:right w:val="none" w:sz="0" w:space="0" w:color="auto"/>
      </w:divBdr>
    </w:div>
    <w:div w:id="696274087">
      <w:bodyDiv w:val="1"/>
      <w:marLeft w:val="0"/>
      <w:marRight w:val="0"/>
      <w:marTop w:val="0"/>
      <w:marBottom w:val="0"/>
      <w:divBdr>
        <w:top w:val="none" w:sz="0" w:space="0" w:color="auto"/>
        <w:left w:val="none" w:sz="0" w:space="0" w:color="auto"/>
        <w:bottom w:val="none" w:sz="0" w:space="0" w:color="auto"/>
        <w:right w:val="none" w:sz="0" w:space="0" w:color="auto"/>
      </w:divBdr>
    </w:div>
    <w:div w:id="704524817">
      <w:bodyDiv w:val="1"/>
      <w:marLeft w:val="0"/>
      <w:marRight w:val="0"/>
      <w:marTop w:val="0"/>
      <w:marBottom w:val="0"/>
      <w:divBdr>
        <w:top w:val="none" w:sz="0" w:space="0" w:color="auto"/>
        <w:left w:val="none" w:sz="0" w:space="0" w:color="auto"/>
        <w:bottom w:val="none" w:sz="0" w:space="0" w:color="auto"/>
        <w:right w:val="none" w:sz="0" w:space="0" w:color="auto"/>
      </w:divBdr>
    </w:div>
    <w:div w:id="706880267">
      <w:bodyDiv w:val="1"/>
      <w:marLeft w:val="0"/>
      <w:marRight w:val="0"/>
      <w:marTop w:val="0"/>
      <w:marBottom w:val="0"/>
      <w:divBdr>
        <w:top w:val="none" w:sz="0" w:space="0" w:color="auto"/>
        <w:left w:val="none" w:sz="0" w:space="0" w:color="auto"/>
        <w:bottom w:val="none" w:sz="0" w:space="0" w:color="auto"/>
        <w:right w:val="none" w:sz="0" w:space="0" w:color="auto"/>
      </w:divBdr>
    </w:div>
    <w:div w:id="756100750">
      <w:bodyDiv w:val="1"/>
      <w:marLeft w:val="0"/>
      <w:marRight w:val="0"/>
      <w:marTop w:val="0"/>
      <w:marBottom w:val="0"/>
      <w:divBdr>
        <w:top w:val="none" w:sz="0" w:space="0" w:color="auto"/>
        <w:left w:val="none" w:sz="0" w:space="0" w:color="auto"/>
        <w:bottom w:val="none" w:sz="0" w:space="0" w:color="auto"/>
        <w:right w:val="none" w:sz="0" w:space="0" w:color="auto"/>
      </w:divBdr>
    </w:div>
    <w:div w:id="840854010">
      <w:bodyDiv w:val="1"/>
      <w:marLeft w:val="0"/>
      <w:marRight w:val="0"/>
      <w:marTop w:val="0"/>
      <w:marBottom w:val="0"/>
      <w:divBdr>
        <w:top w:val="none" w:sz="0" w:space="0" w:color="auto"/>
        <w:left w:val="none" w:sz="0" w:space="0" w:color="auto"/>
        <w:bottom w:val="none" w:sz="0" w:space="0" w:color="auto"/>
        <w:right w:val="none" w:sz="0" w:space="0" w:color="auto"/>
      </w:divBdr>
    </w:div>
    <w:div w:id="844251675">
      <w:bodyDiv w:val="1"/>
      <w:marLeft w:val="0"/>
      <w:marRight w:val="0"/>
      <w:marTop w:val="0"/>
      <w:marBottom w:val="0"/>
      <w:divBdr>
        <w:top w:val="none" w:sz="0" w:space="0" w:color="auto"/>
        <w:left w:val="none" w:sz="0" w:space="0" w:color="auto"/>
        <w:bottom w:val="none" w:sz="0" w:space="0" w:color="auto"/>
        <w:right w:val="none" w:sz="0" w:space="0" w:color="auto"/>
      </w:divBdr>
    </w:div>
    <w:div w:id="864713958">
      <w:bodyDiv w:val="1"/>
      <w:marLeft w:val="0"/>
      <w:marRight w:val="0"/>
      <w:marTop w:val="0"/>
      <w:marBottom w:val="0"/>
      <w:divBdr>
        <w:top w:val="none" w:sz="0" w:space="0" w:color="auto"/>
        <w:left w:val="none" w:sz="0" w:space="0" w:color="auto"/>
        <w:bottom w:val="none" w:sz="0" w:space="0" w:color="auto"/>
        <w:right w:val="none" w:sz="0" w:space="0" w:color="auto"/>
      </w:divBdr>
    </w:div>
    <w:div w:id="880090260">
      <w:bodyDiv w:val="1"/>
      <w:marLeft w:val="0"/>
      <w:marRight w:val="0"/>
      <w:marTop w:val="0"/>
      <w:marBottom w:val="0"/>
      <w:divBdr>
        <w:top w:val="none" w:sz="0" w:space="0" w:color="auto"/>
        <w:left w:val="none" w:sz="0" w:space="0" w:color="auto"/>
        <w:bottom w:val="none" w:sz="0" w:space="0" w:color="auto"/>
        <w:right w:val="none" w:sz="0" w:space="0" w:color="auto"/>
      </w:divBdr>
    </w:div>
    <w:div w:id="881357023">
      <w:bodyDiv w:val="1"/>
      <w:marLeft w:val="0"/>
      <w:marRight w:val="0"/>
      <w:marTop w:val="0"/>
      <w:marBottom w:val="0"/>
      <w:divBdr>
        <w:top w:val="none" w:sz="0" w:space="0" w:color="auto"/>
        <w:left w:val="none" w:sz="0" w:space="0" w:color="auto"/>
        <w:bottom w:val="none" w:sz="0" w:space="0" w:color="auto"/>
        <w:right w:val="none" w:sz="0" w:space="0" w:color="auto"/>
      </w:divBdr>
    </w:div>
    <w:div w:id="904607397">
      <w:bodyDiv w:val="1"/>
      <w:marLeft w:val="0"/>
      <w:marRight w:val="0"/>
      <w:marTop w:val="0"/>
      <w:marBottom w:val="0"/>
      <w:divBdr>
        <w:top w:val="none" w:sz="0" w:space="0" w:color="auto"/>
        <w:left w:val="none" w:sz="0" w:space="0" w:color="auto"/>
        <w:bottom w:val="none" w:sz="0" w:space="0" w:color="auto"/>
        <w:right w:val="none" w:sz="0" w:space="0" w:color="auto"/>
      </w:divBdr>
    </w:div>
    <w:div w:id="960772020">
      <w:bodyDiv w:val="1"/>
      <w:marLeft w:val="0"/>
      <w:marRight w:val="0"/>
      <w:marTop w:val="0"/>
      <w:marBottom w:val="0"/>
      <w:divBdr>
        <w:top w:val="none" w:sz="0" w:space="0" w:color="auto"/>
        <w:left w:val="none" w:sz="0" w:space="0" w:color="auto"/>
        <w:bottom w:val="none" w:sz="0" w:space="0" w:color="auto"/>
        <w:right w:val="none" w:sz="0" w:space="0" w:color="auto"/>
      </w:divBdr>
    </w:div>
    <w:div w:id="961958935">
      <w:bodyDiv w:val="1"/>
      <w:marLeft w:val="0"/>
      <w:marRight w:val="0"/>
      <w:marTop w:val="0"/>
      <w:marBottom w:val="0"/>
      <w:divBdr>
        <w:top w:val="none" w:sz="0" w:space="0" w:color="auto"/>
        <w:left w:val="none" w:sz="0" w:space="0" w:color="auto"/>
        <w:bottom w:val="none" w:sz="0" w:space="0" w:color="auto"/>
        <w:right w:val="none" w:sz="0" w:space="0" w:color="auto"/>
      </w:divBdr>
    </w:div>
    <w:div w:id="991175802">
      <w:bodyDiv w:val="1"/>
      <w:marLeft w:val="0"/>
      <w:marRight w:val="0"/>
      <w:marTop w:val="0"/>
      <w:marBottom w:val="0"/>
      <w:divBdr>
        <w:top w:val="none" w:sz="0" w:space="0" w:color="auto"/>
        <w:left w:val="none" w:sz="0" w:space="0" w:color="auto"/>
        <w:bottom w:val="none" w:sz="0" w:space="0" w:color="auto"/>
        <w:right w:val="none" w:sz="0" w:space="0" w:color="auto"/>
      </w:divBdr>
    </w:div>
    <w:div w:id="1022051509">
      <w:bodyDiv w:val="1"/>
      <w:marLeft w:val="0"/>
      <w:marRight w:val="0"/>
      <w:marTop w:val="0"/>
      <w:marBottom w:val="0"/>
      <w:divBdr>
        <w:top w:val="none" w:sz="0" w:space="0" w:color="auto"/>
        <w:left w:val="none" w:sz="0" w:space="0" w:color="auto"/>
        <w:bottom w:val="none" w:sz="0" w:space="0" w:color="auto"/>
        <w:right w:val="none" w:sz="0" w:space="0" w:color="auto"/>
      </w:divBdr>
    </w:div>
    <w:div w:id="1033190471">
      <w:bodyDiv w:val="1"/>
      <w:marLeft w:val="0"/>
      <w:marRight w:val="0"/>
      <w:marTop w:val="0"/>
      <w:marBottom w:val="0"/>
      <w:divBdr>
        <w:top w:val="none" w:sz="0" w:space="0" w:color="auto"/>
        <w:left w:val="none" w:sz="0" w:space="0" w:color="auto"/>
        <w:bottom w:val="none" w:sz="0" w:space="0" w:color="auto"/>
        <w:right w:val="none" w:sz="0" w:space="0" w:color="auto"/>
      </w:divBdr>
    </w:div>
    <w:div w:id="1043289731">
      <w:bodyDiv w:val="1"/>
      <w:marLeft w:val="0"/>
      <w:marRight w:val="0"/>
      <w:marTop w:val="0"/>
      <w:marBottom w:val="0"/>
      <w:divBdr>
        <w:top w:val="none" w:sz="0" w:space="0" w:color="auto"/>
        <w:left w:val="none" w:sz="0" w:space="0" w:color="auto"/>
        <w:bottom w:val="none" w:sz="0" w:space="0" w:color="auto"/>
        <w:right w:val="none" w:sz="0" w:space="0" w:color="auto"/>
      </w:divBdr>
    </w:div>
    <w:div w:id="1153449579">
      <w:bodyDiv w:val="1"/>
      <w:marLeft w:val="0"/>
      <w:marRight w:val="0"/>
      <w:marTop w:val="0"/>
      <w:marBottom w:val="0"/>
      <w:divBdr>
        <w:top w:val="none" w:sz="0" w:space="0" w:color="auto"/>
        <w:left w:val="none" w:sz="0" w:space="0" w:color="auto"/>
        <w:bottom w:val="none" w:sz="0" w:space="0" w:color="auto"/>
        <w:right w:val="none" w:sz="0" w:space="0" w:color="auto"/>
      </w:divBdr>
    </w:div>
    <w:div w:id="1158497346">
      <w:bodyDiv w:val="1"/>
      <w:marLeft w:val="0"/>
      <w:marRight w:val="0"/>
      <w:marTop w:val="0"/>
      <w:marBottom w:val="0"/>
      <w:divBdr>
        <w:top w:val="none" w:sz="0" w:space="0" w:color="auto"/>
        <w:left w:val="none" w:sz="0" w:space="0" w:color="auto"/>
        <w:bottom w:val="none" w:sz="0" w:space="0" w:color="auto"/>
        <w:right w:val="none" w:sz="0" w:space="0" w:color="auto"/>
      </w:divBdr>
    </w:div>
    <w:div w:id="1170869428">
      <w:bodyDiv w:val="1"/>
      <w:marLeft w:val="0"/>
      <w:marRight w:val="0"/>
      <w:marTop w:val="0"/>
      <w:marBottom w:val="0"/>
      <w:divBdr>
        <w:top w:val="none" w:sz="0" w:space="0" w:color="auto"/>
        <w:left w:val="none" w:sz="0" w:space="0" w:color="auto"/>
        <w:bottom w:val="none" w:sz="0" w:space="0" w:color="auto"/>
        <w:right w:val="none" w:sz="0" w:space="0" w:color="auto"/>
      </w:divBdr>
    </w:div>
    <w:div w:id="1190684081">
      <w:bodyDiv w:val="1"/>
      <w:marLeft w:val="0"/>
      <w:marRight w:val="0"/>
      <w:marTop w:val="0"/>
      <w:marBottom w:val="0"/>
      <w:divBdr>
        <w:top w:val="none" w:sz="0" w:space="0" w:color="auto"/>
        <w:left w:val="none" w:sz="0" w:space="0" w:color="auto"/>
        <w:bottom w:val="none" w:sz="0" w:space="0" w:color="auto"/>
        <w:right w:val="none" w:sz="0" w:space="0" w:color="auto"/>
      </w:divBdr>
    </w:div>
    <w:div w:id="1212960372">
      <w:bodyDiv w:val="1"/>
      <w:marLeft w:val="0"/>
      <w:marRight w:val="0"/>
      <w:marTop w:val="0"/>
      <w:marBottom w:val="0"/>
      <w:divBdr>
        <w:top w:val="none" w:sz="0" w:space="0" w:color="auto"/>
        <w:left w:val="none" w:sz="0" w:space="0" w:color="auto"/>
        <w:bottom w:val="none" w:sz="0" w:space="0" w:color="auto"/>
        <w:right w:val="none" w:sz="0" w:space="0" w:color="auto"/>
      </w:divBdr>
    </w:div>
    <w:div w:id="1231306590">
      <w:bodyDiv w:val="1"/>
      <w:marLeft w:val="0"/>
      <w:marRight w:val="0"/>
      <w:marTop w:val="0"/>
      <w:marBottom w:val="0"/>
      <w:divBdr>
        <w:top w:val="none" w:sz="0" w:space="0" w:color="auto"/>
        <w:left w:val="none" w:sz="0" w:space="0" w:color="auto"/>
        <w:bottom w:val="none" w:sz="0" w:space="0" w:color="auto"/>
        <w:right w:val="none" w:sz="0" w:space="0" w:color="auto"/>
      </w:divBdr>
    </w:div>
    <w:div w:id="1232734594">
      <w:bodyDiv w:val="1"/>
      <w:marLeft w:val="0"/>
      <w:marRight w:val="0"/>
      <w:marTop w:val="0"/>
      <w:marBottom w:val="0"/>
      <w:divBdr>
        <w:top w:val="none" w:sz="0" w:space="0" w:color="auto"/>
        <w:left w:val="none" w:sz="0" w:space="0" w:color="auto"/>
        <w:bottom w:val="none" w:sz="0" w:space="0" w:color="auto"/>
        <w:right w:val="none" w:sz="0" w:space="0" w:color="auto"/>
      </w:divBdr>
    </w:div>
    <w:div w:id="1239899592">
      <w:bodyDiv w:val="1"/>
      <w:marLeft w:val="0"/>
      <w:marRight w:val="0"/>
      <w:marTop w:val="0"/>
      <w:marBottom w:val="0"/>
      <w:divBdr>
        <w:top w:val="none" w:sz="0" w:space="0" w:color="auto"/>
        <w:left w:val="none" w:sz="0" w:space="0" w:color="auto"/>
        <w:bottom w:val="none" w:sz="0" w:space="0" w:color="auto"/>
        <w:right w:val="none" w:sz="0" w:space="0" w:color="auto"/>
      </w:divBdr>
    </w:div>
    <w:div w:id="1289236407">
      <w:bodyDiv w:val="1"/>
      <w:marLeft w:val="0"/>
      <w:marRight w:val="0"/>
      <w:marTop w:val="0"/>
      <w:marBottom w:val="0"/>
      <w:divBdr>
        <w:top w:val="none" w:sz="0" w:space="0" w:color="auto"/>
        <w:left w:val="none" w:sz="0" w:space="0" w:color="auto"/>
        <w:bottom w:val="none" w:sz="0" w:space="0" w:color="auto"/>
        <w:right w:val="none" w:sz="0" w:space="0" w:color="auto"/>
      </w:divBdr>
    </w:div>
    <w:div w:id="1289436654">
      <w:bodyDiv w:val="1"/>
      <w:marLeft w:val="0"/>
      <w:marRight w:val="0"/>
      <w:marTop w:val="0"/>
      <w:marBottom w:val="0"/>
      <w:divBdr>
        <w:top w:val="none" w:sz="0" w:space="0" w:color="auto"/>
        <w:left w:val="none" w:sz="0" w:space="0" w:color="auto"/>
        <w:bottom w:val="none" w:sz="0" w:space="0" w:color="auto"/>
        <w:right w:val="none" w:sz="0" w:space="0" w:color="auto"/>
      </w:divBdr>
    </w:div>
    <w:div w:id="1298754156">
      <w:bodyDiv w:val="1"/>
      <w:marLeft w:val="0"/>
      <w:marRight w:val="0"/>
      <w:marTop w:val="0"/>
      <w:marBottom w:val="0"/>
      <w:divBdr>
        <w:top w:val="none" w:sz="0" w:space="0" w:color="auto"/>
        <w:left w:val="none" w:sz="0" w:space="0" w:color="auto"/>
        <w:bottom w:val="none" w:sz="0" w:space="0" w:color="auto"/>
        <w:right w:val="none" w:sz="0" w:space="0" w:color="auto"/>
      </w:divBdr>
    </w:div>
    <w:div w:id="1308776848">
      <w:bodyDiv w:val="1"/>
      <w:marLeft w:val="0"/>
      <w:marRight w:val="0"/>
      <w:marTop w:val="0"/>
      <w:marBottom w:val="0"/>
      <w:divBdr>
        <w:top w:val="none" w:sz="0" w:space="0" w:color="auto"/>
        <w:left w:val="none" w:sz="0" w:space="0" w:color="auto"/>
        <w:bottom w:val="none" w:sz="0" w:space="0" w:color="auto"/>
        <w:right w:val="none" w:sz="0" w:space="0" w:color="auto"/>
      </w:divBdr>
    </w:div>
    <w:div w:id="1333339226">
      <w:bodyDiv w:val="1"/>
      <w:marLeft w:val="0"/>
      <w:marRight w:val="0"/>
      <w:marTop w:val="0"/>
      <w:marBottom w:val="0"/>
      <w:divBdr>
        <w:top w:val="none" w:sz="0" w:space="0" w:color="auto"/>
        <w:left w:val="none" w:sz="0" w:space="0" w:color="auto"/>
        <w:bottom w:val="none" w:sz="0" w:space="0" w:color="auto"/>
        <w:right w:val="none" w:sz="0" w:space="0" w:color="auto"/>
      </w:divBdr>
    </w:div>
    <w:div w:id="1339229951">
      <w:bodyDiv w:val="1"/>
      <w:marLeft w:val="0"/>
      <w:marRight w:val="0"/>
      <w:marTop w:val="0"/>
      <w:marBottom w:val="0"/>
      <w:divBdr>
        <w:top w:val="none" w:sz="0" w:space="0" w:color="auto"/>
        <w:left w:val="none" w:sz="0" w:space="0" w:color="auto"/>
        <w:bottom w:val="none" w:sz="0" w:space="0" w:color="auto"/>
        <w:right w:val="none" w:sz="0" w:space="0" w:color="auto"/>
      </w:divBdr>
    </w:div>
    <w:div w:id="1342273147">
      <w:bodyDiv w:val="1"/>
      <w:marLeft w:val="0"/>
      <w:marRight w:val="0"/>
      <w:marTop w:val="0"/>
      <w:marBottom w:val="0"/>
      <w:divBdr>
        <w:top w:val="none" w:sz="0" w:space="0" w:color="auto"/>
        <w:left w:val="none" w:sz="0" w:space="0" w:color="auto"/>
        <w:bottom w:val="none" w:sz="0" w:space="0" w:color="auto"/>
        <w:right w:val="none" w:sz="0" w:space="0" w:color="auto"/>
      </w:divBdr>
    </w:div>
    <w:div w:id="1383752445">
      <w:bodyDiv w:val="1"/>
      <w:marLeft w:val="0"/>
      <w:marRight w:val="0"/>
      <w:marTop w:val="0"/>
      <w:marBottom w:val="0"/>
      <w:divBdr>
        <w:top w:val="none" w:sz="0" w:space="0" w:color="auto"/>
        <w:left w:val="none" w:sz="0" w:space="0" w:color="auto"/>
        <w:bottom w:val="none" w:sz="0" w:space="0" w:color="auto"/>
        <w:right w:val="none" w:sz="0" w:space="0" w:color="auto"/>
      </w:divBdr>
    </w:div>
    <w:div w:id="1406486474">
      <w:bodyDiv w:val="1"/>
      <w:marLeft w:val="0"/>
      <w:marRight w:val="0"/>
      <w:marTop w:val="0"/>
      <w:marBottom w:val="0"/>
      <w:divBdr>
        <w:top w:val="none" w:sz="0" w:space="0" w:color="auto"/>
        <w:left w:val="none" w:sz="0" w:space="0" w:color="auto"/>
        <w:bottom w:val="none" w:sz="0" w:space="0" w:color="auto"/>
        <w:right w:val="none" w:sz="0" w:space="0" w:color="auto"/>
      </w:divBdr>
    </w:div>
    <w:div w:id="1426998616">
      <w:bodyDiv w:val="1"/>
      <w:marLeft w:val="0"/>
      <w:marRight w:val="0"/>
      <w:marTop w:val="0"/>
      <w:marBottom w:val="0"/>
      <w:divBdr>
        <w:top w:val="none" w:sz="0" w:space="0" w:color="auto"/>
        <w:left w:val="none" w:sz="0" w:space="0" w:color="auto"/>
        <w:bottom w:val="none" w:sz="0" w:space="0" w:color="auto"/>
        <w:right w:val="none" w:sz="0" w:space="0" w:color="auto"/>
      </w:divBdr>
    </w:div>
    <w:div w:id="1431659297">
      <w:bodyDiv w:val="1"/>
      <w:marLeft w:val="0"/>
      <w:marRight w:val="0"/>
      <w:marTop w:val="0"/>
      <w:marBottom w:val="0"/>
      <w:divBdr>
        <w:top w:val="none" w:sz="0" w:space="0" w:color="auto"/>
        <w:left w:val="none" w:sz="0" w:space="0" w:color="auto"/>
        <w:bottom w:val="none" w:sz="0" w:space="0" w:color="auto"/>
        <w:right w:val="none" w:sz="0" w:space="0" w:color="auto"/>
      </w:divBdr>
    </w:div>
    <w:div w:id="1433546603">
      <w:bodyDiv w:val="1"/>
      <w:marLeft w:val="0"/>
      <w:marRight w:val="0"/>
      <w:marTop w:val="0"/>
      <w:marBottom w:val="0"/>
      <w:divBdr>
        <w:top w:val="none" w:sz="0" w:space="0" w:color="auto"/>
        <w:left w:val="none" w:sz="0" w:space="0" w:color="auto"/>
        <w:bottom w:val="none" w:sz="0" w:space="0" w:color="auto"/>
        <w:right w:val="none" w:sz="0" w:space="0" w:color="auto"/>
      </w:divBdr>
    </w:div>
    <w:div w:id="1444304378">
      <w:bodyDiv w:val="1"/>
      <w:marLeft w:val="0"/>
      <w:marRight w:val="0"/>
      <w:marTop w:val="0"/>
      <w:marBottom w:val="0"/>
      <w:divBdr>
        <w:top w:val="none" w:sz="0" w:space="0" w:color="auto"/>
        <w:left w:val="none" w:sz="0" w:space="0" w:color="auto"/>
        <w:bottom w:val="none" w:sz="0" w:space="0" w:color="auto"/>
        <w:right w:val="none" w:sz="0" w:space="0" w:color="auto"/>
      </w:divBdr>
    </w:div>
    <w:div w:id="1476333676">
      <w:bodyDiv w:val="1"/>
      <w:marLeft w:val="0"/>
      <w:marRight w:val="0"/>
      <w:marTop w:val="0"/>
      <w:marBottom w:val="0"/>
      <w:divBdr>
        <w:top w:val="none" w:sz="0" w:space="0" w:color="auto"/>
        <w:left w:val="none" w:sz="0" w:space="0" w:color="auto"/>
        <w:bottom w:val="none" w:sz="0" w:space="0" w:color="auto"/>
        <w:right w:val="none" w:sz="0" w:space="0" w:color="auto"/>
      </w:divBdr>
    </w:div>
    <w:div w:id="1490363777">
      <w:bodyDiv w:val="1"/>
      <w:marLeft w:val="0"/>
      <w:marRight w:val="0"/>
      <w:marTop w:val="0"/>
      <w:marBottom w:val="0"/>
      <w:divBdr>
        <w:top w:val="none" w:sz="0" w:space="0" w:color="auto"/>
        <w:left w:val="none" w:sz="0" w:space="0" w:color="auto"/>
        <w:bottom w:val="none" w:sz="0" w:space="0" w:color="auto"/>
        <w:right w:val="none" w:sz="0" w:space="0" w:color="auto"/>
      </w:divBdr>
    </w:div>
    <w:div w:id="1505977964">
      <w:bodyDiv w:val="1"/>
      <w:marLeft w:val="0"/>
      <w:marRight w:val="0"/>
      <w:marTop w:val="0"/>
      <w:marBottom w:val="0"/>
      <w:divBdr>
        <w:top w:val="none" w:sz="0" w:space="0" w:color="auto"/>
        <w:left w:val="none" w:sz="0" w:space="0" w:color="auto"/>
        <w:bottom w:val="none" w:sz="0" w:space="0" w:color="auto"/>
        <w:right w:val="none" w:sz="0" w:space="0" w:color="auto"/>
      </w:divBdr>
    </w:div>
    <w:div w:id="1522083198">
      <w:bodyDiv w:val="1"/>
      <w:marLeft w:val="0"/>
      <w:marRight w:val="0"/>
      <w:marTop w:val="0"/>
      <w:marBottom w:val="0"/>
      <w:divBdr>
        <w:top w:val="none" w:sz="0" w:space="0" w:color="auto"/>
        <w:left w:val="none" w:sz="0" w:space="0" w:color="auto"/>
        <w:bottom w:val="none" w:sz="0" w:space="0" w:color="auto"/>
        <w:right w:val="none" w:sz="0" w:space="0" w:color="auto"/>
      </w:divBdr>
    </w:div>
    <w:div w:id="1558055649">
      <w:bodyDiv w:val="1"/>
      <w:marLeft w:val="0"/>
      <w:marRight w:val="0"/>
      <w:marTop w:val="0"/>
      <w:marBottom w:val="0"/>
      <w:divBdr>
        <w:top w:val="none" w:sz="0" w:space="0" w:color="auto"/>
        <w:left w:val="none" w:sz="0" w:space="0" w:color="auto"/>
        <w:bottom w:val="none" w:sz="0" w:space="0" w:color="auto"/>
        <w:right w:val="none" w:sz="0" w:space="0" w:color="auto"/>
      </w:divBdr>
      <w:divsChild>
        <w:div w:id="452141210">
          <w:marLeft w:val="0"/>
          <w:marRight w:val="0"/>
          <w:marTop w:val="0"/>
          <w:marBottom w:val="0"/>
          <w:divBdr>
            <w:top w:val="none" w:sz="0" w:space="0" w:color="auto"/>
            <w:left w:val="none" w:sz="0" w:space="0" w:color="auto"/>
            <w:bottom w:val="none" w:sz="0" w:space="0" w:color="auto"/>
            <w:right w:val="none" w:sz="0" w:space="0" w:color="auto"/>
          </w:divBdr>
        </w:div>
        <w:div w:id="935404887">
          <w:marLeft w:val="0"/>
          <w:marRight w:val="0"/>
          <w:marTop w:val="0"/>
          <w:marBottom w:val="0"/>
          <w:divBdr>
            <w:top w:val="none" w:sz="0" w:space="0" w:color="auto"/>
            <w:left w:val="none" w:sz="0" w:space="0" w:color="auto"/>
            <w:bottom w:val="none" w:sz="0" w:space="0" w:color="auto"/>
            <w:right w:val="none" w:sz="0" w:space="0" w:color="auto"/>
          </w:divBdr>
        </w:div>
        <w:div w:id="332688574">
          <w:marLeft w:val="0"/>
          <w:marRight w:val="0"/>
          <w:marTop w:val="0"/>
          <w:marBottom w:val="0"/>
          <w:divBdr>
            <w:top w:val="none" w:sz="0" w:space="0" w:color="auto"/>
            <w:left w:val="none" w:sz="0" w:space="0" w:color="auto"/>
            <w:bottom w:val="none" w:sz="0" w:space="0" w:color="auto"/>
            <w:right w:val="none" w:sz="0" w:space="0" w:color="auto"/>
          </w:divBdr>
        </w:div>
        <w:div w:id="1783331396">
          <w:marLeft w:val="0"/>
          <w:marRight w:val="0"/>
          <w:marTop w:val="0"/>
          <w:marBottom w:val="0"/>
          <w:divBdr>
            <w:top w:val="none" w:sz="0" w:space="0" w:color="auto"/>
            <w:left w:val="none" w:sz="0" w:space="0" w:color="auto"/>
            <w:bottom w:val="none" w:sz="0" w:space="0" w:color="auto"/>
            <w:right w:val="none" w:sz="0" w:space="0" w:color="auto"/>
          </w:divBdr>
        </w:div>
        <w:div w:id="527649133">
          <w:marLeft w:val="0"/>
          <w:marRight w:val="0"/>
          <w:marTop w:val="0"/>
          <w:marBottom w:val="0"/>
          <w:divBdr>
            <w:top w:val="none" w:sz="0" w:space="0" w:color="auto"/>
            <w:left w:val="none" w:sz="0" w:space="0" w:color="auto"/>
            <w:bottom w:val="none" w:sz="0" w:space="0" w:color="auto"/>
            <w:right w:val="none" w:sz="0" w:space="0" w:color="auto"/>
          </w:divBdr>
        </w:div>
        <w:div w:id="2143888921">
          <w:marLeft w:val="0"/>
          <w:marRight w:val="0"/>
          <w:marTop w:val="0"/>
          <w:marBottom w:val="0"/>
          <w:divBdr>
            <w:top w:val="none" w:sz="0" w:space="0" w:color="auto"/>
            <w:left w:val="none" w:sz="0" w:space="0" w:color="auto"/>
            <w:bottom w:val="none" w:sz="0" w:space="0" w:color="auto"/>
            <w:right w:val="none" w:sz="0" w:space="0" w:color="auto"/>
          </w:divBdr>
        </w:div>
        <w:div w:id="669720468">
          <w:marLeft w:val="0"/>
          <w:marRight w:val="0"/>
          <w:marTop w:val="0"/>
          <w:marBottom w:val="0"/>
          <w:divBdr>
            <w:top w:val="none" w:sz="0" w:space="0" w:color="auto"/>
            <w:left w:val="none" w:sz="0" w:space="0" w:color="auto"/>
            <w:bottom w:val="none" w:sz="0" w:space="0" w:color="auto"/>
            <w:right w:val="none" w:sz="0" w:space="0" w:color="auto"/>
          </w:divBdr>
        </w:div>
        <w:div w:id="1866794277">
          <w:marLeft w:val="0"/>
          <w:marRight w:val="0"/>
          <w:marTop w:val="0"/>
          <w:marBottom w:val="0"/>
          <w:divBdr>
            <w:top w:val="none" w:sz="0" w:space="0" w:color="auto"/>
            <w:left w:val="none" w:sz="0" w:space="0" w:color="auto"/>
            <w:bottom w:val="none" w:sz="0" w:space="0" w:color="auto"/>
            <w:right w:val="none" w:sz="0" w:space="0" w:color="auto"/>
          </w:divBdr>
        </w:div>
      </w:divsChild>
    </w:div>
    <w:div w:id="1588924783">
      <w:bodyDiv w:val="1"/>
      <w:marLeft w:val="0"/>
      <w:marRight w:val="0"/>
      <w:marTop w:val="0"/>
      <w:marBottom w:val="0"/>
      <w:divBdr>
        <w:top w:val="none" w:sz="0" w:space="0" w:color="auto"/>
        <w:left w:val="none" w:sz="0" w:space="0" w:color="auto"/>
        <w:bottom w:val="none" w:sz="0" w:space="0" w:color="auto"/>
        <w:right w:val="none" w:sz="0" w:space="0" w:color="auto"/>
      </w:divBdr>
    </w:div>
    <w:div w:id="1600330699">
      <w:bodyDiv w:val="1"/>
      <w:marLeft w:val="0"/>
      <w:marRight w:val="0"/>
      <w:marTop w:val="0"/>
      <w:marBottom w:val="0"/>
      <w:divBdr>
        <w:top w:val="none" w:sz="0" w:space="0" w:color="auto"/>
        <w:left w:val="none" w:sz="0" w:space="0" w:color="auto"/>
        <w:bottom w:val="none" w:sz="0" w:space="0" w:color="auto"/>
        <w:right w:val="none" w:sz="0" w:space="0" w:color="auto"/>
      </w:divBdr>
    </w:div>
    <w:div w:id="1601717256">
      <w:bodyDiv w:val="1"/>
      <w:marLeft w:val="0"/>
      <w:marRight w:val="0"/>
      <w:marTop w:val="0"/>
      <w:marBottom w:val="0"/>
      <w:divBdr>
        <w:top w:val="none" w:sz="0" w:space="0" w:color="auto"/>
        <w:left w:val="none" w:sz="0" w:space="0" w:color="auto"/>
        <w:bottom w:val="none" w:sz="0" w:space="0" w:color="auto"/>
        <w:right w:val="none" w:sz="0" w:space="0" w:color="auto"/>
      </w:divBdr>
    </w:div>
    <w:div w:id="1668316129">
      <w:bodyDiv w:val="1"/>
      <w:marLeft w:val="0"/>
      <w:marRight w:val="0"/>
      <w:marTop w:val="0"/>
      <w:marBottom w:val="0"/>
      <w:divBdr>
        <w:top w:val="none" w:sz="0" w:space="0" w:color="auto"/>
        <w:left w:val="none" w:sz="0" w:space="0" w:color="auto"/>
        <w:bottom w:val="none" w:sz="0" w:space="0" w:color="auto"/>
        <w:right w:val="none" w:sz="0" w:space="0" w:color="auto"/>
      </w:divBdr>
    </w:div>
    <w:div w:id="1679187891">
      <w:bodyDiv w:val="1"/>
      <w:marLeft w:val="0"/>
      <w:marRight w:val="0"/>
      <w:marTop w:val="0"/>
      <w:marBottom w:val="0"/>
      <w:divBdr>
        <w:top w:val="none" w:sz="0" w:space="0" w:color="auto"/>
        <w:left w:val="none" w:sz="0" w:space="0" w:color="auto"/>
        <w:bottom w:val="none" w:sz="0" w:space="0" w:color="auto"/>
        <w:right w:val="none" w:sz="0" w:space="0" w:color="auto"/>
      </w:divBdr>
    </w:div>
    <w:div w:id="1730765999">
      <w:bodyDiv w:val="1"/>
      <w:marLeft w:val="0"/>
      <w:marRight w:val="0"/>
      <w:marTop w:val="0"/>
      <w:marBottom w:val="0"/>
      <w:divBdr>
        <w:top w:val="none" w:sz="0" w:space="0" w:color="auto"/>
        <w:left w:val="none" w:sz="0" w:space="0" w:color="auto"/>
        <w:bottom w:val="none" w:sz="0" w:space="0" w:color="auto"/>
        <w:right w:val="none" w:sz="0" w:space="0" w:color="auto"/>
      </w:divBdr>
    </w:div>
    <w:div w:id="1740395059">
      <w:bodyDiv w:val="1"/>
      <w:marLeft w:val="0"/>
      <w:marRight w:val="0"/>
      <w:marTop w:val="0"/>
      <w:marBottom w:val="0"/>
      <w:divBdr>
        <w:top w:val="none" w:sz="0" w:space="0" w:color="auto"/>
        <w:left w:val="none" w:sz="0" w:space="0" w:color="auto"/>
        <w:bottom w:val="none" w:sz="0" w:space="0" w:color="auto"/>
        <w:right w:val="none" w:sz="0" w:space="0" w:color="auto"/>
      </w:divBdr>
    </w:div>
    <w:div w:id="1810781322">
      <w:bodyDiv w:val="1"/>
      <w:marLeft w:val="0"/>
      <w:marRight w:val="0"/>
      <w:marTop w:val="0"/>
      <w:marBottom w:val="0"/>
      <w:divBdr>
        <w:top w:val="none" w:sz="0" w:space="0" w:color="auto"/>
        <w:left w:val="none" w:sz="0" w:space="0" w:color="auto"/>
        <w:bottom w:val="none" w:sz="0" w:space="0" w:color="auto"/>
        <w:right w:val="none" w:sz="0" w:space="0" w:color="auto"/>
      </w:divBdr>
    </w:div>
    <w:div w:id="1846825714">
      <w:bodyDiv w:val="1"/>
      <w:marLeft w:val="0"/>
      <w:marRight w:val="0"/>
      <w:marTop w:val="0"/>
      <w:marBottom w:val="0"/>
      <w:divBdr>
        <w:top w:val="none" w:sz="0" w:space="0" w:color="auto"/>
        <w:left w:val="none" w:sz="0" w:space="0" w:color="auto"/>
        <w:bottom w:val="none" w:sz="0" w:space="0" w:color="auto"/>
        <w:right w:val="none" w:sz="0" w:space="0" w:color="auto"/>
      </w:divBdr>
    </w:div>
    <w:div w:id="1865240496">
      <w:bodyDiv w:val="1"/>
      <w:marLeft w:val="0"/>
      <w:marRight w:val="0"/>
      <w:marTop w:val="0"/>
      <w:marBottom w:val="0"/>
      <w:divBdr>
        <w:top w:val="none" w:sz="0" w:space="0" w:color="auto"/>
        <w:left w:val="none" w:sz="0" w:space="0" w:color="auto"/>
        <w:bottom w:val="none" w:sz="0" w:space="0" w:color="auto"/>
        <w:right w:val="none" w:sz="0" w:space="0" w:color="auto"/>
      </w:divBdr>
    </w:div>
    <w:div w:id="1867979738">
      <w:bodyDiv w:val="1"/>
      <w:marLeft w:val="0"/>
      <w:marRight w:val="0"/>
      <w:marTop w:val="0"/>
      <w:marBottom w:val="0"/>
      <w:divBdr>
        <w:top w:val="none" w:sz="0" w:space="0" w:color="auto"/>
        <w:left w:val="none" w:sz="0" w:space="0" w:color="auto"/>
        <w:bottom w:val="none" w:sz="0" w:space="0" w:color="auto"/>
        <w:right w:val="none" w:sz="0" w:space="0" w:color="auto"/>
      </w:divBdr>
    </w:div>
    <w:div w:id="1964844181">
      <w:bodyDiv w:val="1"/>
      <w:marLeft w:val="0"/>
      <w:marRight w:val="0"/>
      <w:marTop w:val="0"/>
      <w:marBottom w:val="0"/>
      <w:divBdr>
        <w:top w:val="none" w:sz="0" w:space="0" w:color="auto"/>
        <w:left w:val="none" w:sz="0" w:space="0" w:color="auto"/>
        <w:bottom w:val="none" w:sz="0" w:space="0" w:color="auto"/>
        <w:right w:val="none" w:sz="0" w:space="0" w:color="auto"/>
      </w:divBdr>
    </w:div>
    <w:div w:id="2011449506">
      <w:bodyDiv w:val="1"/>
      <w:marLeft w:val="0"/>
      <w:marRight w:val="0"/>
      <w:marTop w:val="0"/>
      <w:marBottom w:val="0"/>
      <w:divBdr>
        <w:top w:val="none" w:sz="0" w:space="0" w:color="auto"/>
        <w:left w:val="none" w:sz="0" w:space="0" w:color="auto"/>
        <w:bottom w:val="none" w:sz="0" w:space="0" w:color="auto"/>
        <w:right w:val="none" w:sz="0" w:space="0" w:color="auto"/>
      </w:divBdr>
    </w:div>
    <w:div w:id="2076277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rada/show/v1800874-2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99E024-1A4E-42E3-8A9E-C6229BE47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47342</Words>
  <Characters>26986</Characters>
  <Application>Microsoft Office Word</Application>
  <DocSecurity>0</DocSecurity>
  <Lines>224</Lines>
  <Paragraphs>148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Редакція до змін</vt:lpstr>
      <vt:lpstr>Редакція до змін</vt:lpstr>
    </vt:vector>
  </TitlesOfParts>
  <Company>microsoft</Company>
  <LinksUpToDate>false</LinksUpToDate>
  <CharactersWithSpaces>74180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Редакція до змін</dc:title>
  <dc:subject/>
  <dc:creator>Rusnak</dc:creator>
  <cp:keywords/>
  <cp:lastModifiedBy>Григорій Туленко</cp:lastModifiedBy>
  <cp:revision>4</cp:revision>
  <cp:lastPrinted>2020-06-17T14:01:00Z</cp:lastPrinted>
  <dcterms:created xsi:type="dcterms:W3CDTF">2025-01-23T08:21:00Z</dcterms:created>
  <dcterms:modified xsi:type="dcterms:W3CDTF">2025-01-23T10:23:00Z</dcterms:modified>
</cp:coreProperties>
</file>