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B278B2A" w14:textId="77777777" w:rsidR="00F266F0" w:rsidRPr="00DD5941" w:rsidRDefault="00F266F0" w:rsidP="00F266F0">
      <w:pPr>
        <w:spacing w:line="240" w:lineRule="auto"/>
        <w:contextualSpacing/>
        <w:jc w:val="center"/>
        <w:rPr>
          <w:rFonts w:ascii="Times New Roman" w:hAnsi="Times New Roman" w:cs="Times New Roman"/>
          <w:b/>
          <w:bCs/>
          <w:sz w:val="24"/>
          <w:szCs w:val="24"/>
          <w:lang w:val="uk-UA" w:eastAsia="ru-RU"/>
        </w:rPr>
      </w:pPr>
      <w:bookmarkStart w:id="0" w:name="_Hlk182580102"/>
      <w:r w:rsidRPr="00DD5941">
        <w:rPr>
          <w:rFonts w:ascii="Times New Roman" w:hAnsi="Times New Roman" w:cs="Times New Roman"/>
          <w:b/>
          <w:bCs/>
          <w:sz w:val="24"/>
          <w:szCs w:val="24"/>
          <w:lang w:val="uk-UA" w:eastAsia="ru-RU"/>
        </w:rPr>
        <w:t>УЗАГАЛЬНЕНІ ЗАУВАЖЕННЯ</w:t>
      </w:r>
    </w:p>
    <w:p w14:paraId="434D2BE2" w14:textId="5DBBAC87" w:rsidR="00BD6230" w:rsidRPr="00DD5941" w:rsidRDefault="00F266F0" w:rsidP="00F266F0">
      <w:pPr>
        <w:spacing w:line="240" w:lineRule="auto"/>
        <w:contextualSpacing/>
        <w:jc w:val="center"/>
        <w:rPr>
          <w:rFonts w:ascii="Times New Roman" w:eastAsia="Times New Roman" w:hAnsi="Times New Roman" w:cs="Times New Roman"/>
          <w:b/>
          <w:sz w:val="24"/>
          <w:szCs w:val="24"/>
          <w:lang w:val="uk-UA"/>
        </w:rPr>
      </w:pPr>
      <w:r w:rsidRPr="00DD5941">
        <w:rPr>
          <w:rFonts w:ascii="Times New Roman" w:hAnsi="Times New Roman" w:cs="Times New Roman"/>
          <w:b/>
          <w:bCs/>
          <w:sz w:val="24"/>
          <w:szCs w:val="24"/>
          <w:lang w:val="uk-UA" w:eastAsia="ru-RU"/>
        </w:rPr>
        <w:t xml:space="preserve">та пропозиції </w:t>
      </w:r>
      <w:bookmarkStart w:id="1" w:name="_Hlk182579614"/>
      <w:r w:rsidRPr="00DD5941">
        <w:rPr>
          <w:rFonts w:ascii="Times New Roman" w:hAnsi="Times New Roman" w:cs="Times New Roman"/>
          <w:b/>
          <w:bCs/>
          <w:sz w:val="24"/>
          <w:szCs w:val="24"/>
          <w:lang w:val="uk-UA" w:eastAsia="ru-RU"/>
        </w:rPr>
        <w:t>до про</w:t>
      </w:r>
      <w:r w:rsidR="00651B4A" w:rsidRPr="0005533E">
        <w:rPr>
          <w:rFonts w:ascii="Times New Roman" w:hAnsi="Times New Roman" w:cs="Times New Roman"/>
          <w:b/>
          <w:bCs/>
          <w:sz w:val="24"/>
          <w:szCs w:val="24"/>
          <w:lang w:val="uk-UA" w:eastAsia="ru-RU"/>
        </w:rPr>
        <w:t>є</w:t>
      </w:r>
      <w:r w:rsidRPr="00DD5941">
        <w:rPr>
          <w:rFonts w:ascii="Times New Roman" w:hAnsi="Times New Roman" w:cs="Times New Roman"/>
          <w:b/>
          <w:bCs/>
          <w:sz w:val="24"/>
          <w:szCs w:val="24"/>
          <w:lang w:val="uk-UA" w:eastAsia="ru-RU"/>
        </w:rPr>
        <w:t>кту рішення НКРЕКП</w:t>
      </w:r>
      <w:bookmarkEnd w:id="1"/>
      <w:r w:rsidRPr="00DD5941">
        <w:rPr>
          <w:rFonts w:ascii="Times New Roman" w:hAnsi="Times New Roman" w:cs="Times New Roman"/>
          <w:b/>
          <w:bCs/>
          <w:sz w:val="24"/>
          <w:szCs w:val="24"/>
          <w:lang w:val="uk-UA" w:eastAsia="ru-RU"/>
        </w:rPr>
        <w:t xml:space="preserve">, що має ознаки регуляторного </w:t>
      </w:r>
      <w:proofErr w:type="spellStart"/>
      <w:r w:rsidRPr="00DD5941">
        <w:rPr>
          <w:rFonts w:ascii="Times New Roman" w:hAnsi="Times New Roman" w:cs="Times New Roman"/>
          <w:b/>
          <w:bCs/>
          <w:sz w:val="24"/>
          <w:szCs w:val="24"/>
          <w:lang w:val="uk-UA" w:eastAsia="ru-RU"/>
        </w:rPr>
        <w:t>акта</w:t>
      </w:r>
      <w:proofErr w:type="spellEnd"/>
      <w:r w:rsidR="00651B4A" w:rsidRPr="0005533E">
        <w:rPr>
          <w:rFonts w:ascii="Times New Roman" w:hAnsi="Times New Roman" w:cs="Times New Roman"/>
          <w:b/>
          <w:bCs/>
          <w:sz w:val="24"/>
          <w:szCs w:val="24"/>
          <w:lang w:val="uk-UA" w:eastAsia="ru-RU"/>
        </w:rPr>
        <w:t>,</w:t>
      </w:r>
      <w:r w:rsidRPr="0005533E">
        <w:rPr>
          <w:rFonts w:ascii="Times New Roman" w:hAnsi="Times New Roman" w:cs="Times New Roman"/>
          <w:b/>
          <w:bCs/>
          <w:sz w:val="24"/>
          <w:szCs w:val="24"/>
          <w:lang w:val="uk-UA" w:eastAsia="ru-RU"/>
        </w:rPr>
        <w:t xml:space="preserve"> – постанови НКРЕКП «Про внесення змін до Методики формування, розрахунку та встановлення тарифів на теплову енергію,</w:t>
      </w:r>
      <w:r w:rsidRPr="00DD5941">
        <w:rPr>
          <w:rFonts w:ascii="Times New Roman" w:hAnsi="Times New Roman" w:cs="Times New Roman"/>
          <w:b/>
          <w:bCs/>
          <w:sz w:val="24"/>
          <w:szCs w:val="24"/>
          <w:lang w:val="uk-UA" w:eastAsia="ru-RU"/>
        </w:rPr>
        <w:t xml:space="preserve"> що виробляється на теплоелектроцентралях, теплових електростанціях та когенераційних установках»</w:t>
      </w:r>
      <w:r w:rsidR="002B100F">
        <w:rPr>
          <w:rFonts w:ascii="Times New Roman" w:hAnsi="Times New Roman" w:cs="Times New Roman"/>
          <w:b/>
          <w:bCs/>
          <w:sz w:val="24"/>
          <w:szCs w:val="24"/>
          <w:lang w:val="uk-UA" w:eastAsia="ru-RU"/>
        </w:rPr>
        <w:t xml:space="preserve"> </w:t>
      </w:r>
    </w:p>
    <w:bookmarkEnd w:id="0"/>
    <w:p w14:paraId="071F541F" w14:textId="77777777" w:rsidR="00DC0127" w:rsidRPr="00DD5941" w:rsidRDefault="00DC0127" w:rsidP="003B196F">
      <w:pPr>
        <w:spacing w:line="240" w:lineRule="auto"/>
        <w:contextualSpacing/>
        <w:jc w:val="both"/>
        <w:rPr>
          <w:rFonts w:ascii="Times New Roman" w:eastAsia="Times New Roman" w:hAnsi="Times New Roman" w:cs="Times New Roman"/>
          <w:b/>
          <w:sz w:val="24"/>
          <w:szCs w:val="24"/>
          <w:lang w:val="uk-UA"/>
        </w:rPr>
      </w:pPr>
    </w:p>
    <w:tbl>
      <w:tblPr>
        <w:tblStyle w:val="a5"/>
        <w:tblW w:w="15452"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93"/>
        <w:gridCol w:w="2835"/>
        <w:gridCol w:w="2694"/>
        <w:gridCol w:w="4830"/>
      </w:tblGrid>
      <w:tr w:rsidR="00E11E1C" w:rsidRPr="00651B4A" w14:paraId="3D366932" w14:textId="77777777" w:rsidTr="00A00C8F">
        <w:trPr>
          <w:trHeight w:val="1332"/>
          <w:jc w:val="center"/>
        </w:trPr>
        <w:tc>
          <w:tcPr>
            <w:tcW w:w="5093" w:type="dxa"/>
            <w:shd w:val="clear" w:color="auto" w:fill="auto"/>
            <w:tcMar>
              <w:top w:w="100" w:type="dxa"/>
              <w:left w:w="100" w:type="dxa"/>
              <w:bottom w:w="100" w:type="dxa"/>
              <w:right w:w="100" w:type="dxa"/>
            </w:tcMar>
            <w:vAlign w:val="center"/>
          </w:tcPr>
          <w:p w14:paraId="727B4157" w14:textId="48FA6ACB" w:rsidR="005D4EE3" w:rsidRPr="00DD5941" w:rsidRDefault="00DC0127" w:rsidP="003B196F">
            <w:pPr>
              <w:spacing w:line="240" w:lineRule="auto"/>
              <w:contextualSpacing/>
              <w:jc w:val="center"/>
              <w:rPr>
                <w:rFonts w:ascii="Times New Roman" w:hAnsi="Times New Roman" w:cs="Times New Roman"/>
                <w:b/>
                <w:bCs/>
                <w:sz w:val="24"/>
                <w:szCs w:val="24"/>
                <w:lang w:val="uk-UA" w:eastAsia="ru-RU"/>
              </w:rPr>
            </w:pPr>
            <w:r w:rsidRPr="00DD5941">
              <w:rPr>
                <w:rFonts w:ascii="Times New Roman" w:hAnsi="Times New Roman" w:cs="Times New Roman"/>
                <w:b/>
                <w:bCs/>
                <w:sz w:val="24"/>
                <w:szCs w:val="24"/>
                <w:lang w:val="uk-UA" w:eastAsia="ru-RU"/>
              </w:rPr>
              <w:t>Редакція проекту рішення</w:t>
            </w:r>
            <w:r w:rsidR="00F266F0" w:rsidRPr="00DD5941">
              <w:rPr>
                <w:rFonts w:ascii="Times New Roman" w:hAnsi="Times New Roman" w:cs="Times New Roman"/>
                <w:b/>
                <w:bCs/>
                <w:sz w:val="24"/>
                <w:szCs w:val="24"/>
                <w:lang w:val="uk-UA" w:eastAsia="ru-RU"/>
              </w:rPr>
              <w:t xml:space="preserve"> НКРЕКП</w:t>
            </w:r>
          </w:p>
        </w:tc>
        <w:tc>
          <w:tcPr>
            <w:tcW w:w="5529" w:type="dxa"/>
            <w:gridSpan w:val="2"/>
            <w:shd w:val="clear" w:color="auto" w:fill="auto"/>
            <w:tcMar>
              <w:top w:w="100" w:type="dxa"/>
              <w:left w:w="100" w:type="dxa"/>
              <w:bottom w:w="100" w:type="dxa"/>
              <w:right w:w="100" w:type="dxa"/>
            </w:tcMar>
            <w:vAlign w:val="center"/>
          </w:tcPr>
          <w:p w14:paraId="7D86AE72" w14:textId="2ACD37C4" w:rsidR="005D4EE3" w:rsidRPr="00DD5941" w:rsidRDefault="00DC0127" w:rsidP="003B196F">
            <w:pPr>
              <w:spacing w:line="240" w:lineRule="auto"/>
              <w:contextualSpacing/>
              <w:jc w:val="center"/>
              <w:rPr>
                <w:rFonts w:ascii="Times New Roman" w:hAnsi="Times New Roman" w:cs="Times New Roman"/>
                <w:b/>
                <w:bCs/>
                <w:sz w:val="24"/>
                <w:szCs w:val="24"/>
                <w:lang w:val="uk-UA" w:eastAsia="ru-RU"/>
              </w:rPr>
            </w:pPr>
            <w:r w:rsidRPr="00DD5941">
              <w:rPr>
                <w:rFonts w:ascii="Times New Roman" w:hAnsi="Times New Roman" w:cs="Times New Roman"/>
                <w:b/>
                <w:bCs/>
                <w:sz w:val="24"/>
                <w:szCs w:val="24"/>
                <w:lang w:val="uk-UA" w:eastAsia="ru-RU"/>
              </w:rPr>
              <w:t>Зауваження та пропозиції</w:t>
            </w:r>
            <w:r w:rsidR="00F266F0" w:rsidRPr="00DD5941">
              <w:rPr>
                <w:rFonts w:ascii="Times New Roman" w:hAnsi="Times New Roman" w:cs="Times New Roman"/>
                <w:b/>
                <w:bCs/>
                <w:sz w:val="24"/>
                <w:szCs w:val="24"/>
                <w:lang w:val="uk-UA" w:eastAsia="ru-RU"/>
              </w:rPr>
              <w:t xml:space="preserve"> до проекту рішення НКРЕКП</w:t>
            </w:r>
            <w:r w:rsidR="0005533E" w:rsidRPr="0005533E">
              <w:rPr>
                <w:rFonts w:ascii="Times New Roman" w:hAnsi="Times New Roman" w:cs="Times New Roman"/>
                <w:b/>
                <w:bCs/>
                <w:color w:val="FF0000"/>
                <w:sz w:val="36"/>
                <w:szCs w:val="24"/>
                <w:lang w:val="uk-UA" w:eastAsia="ru-RU"/>
              </w:rPr>
              <w:t>*</w:t>
            </w:r>
          </w:p>
        </w:tc>
        <w:tc>
          <w:tcPr>
            <w:tcW w:w="4830" w:type="dxa"/>
            <w:shd w:val="clear" w:color="auto" w:fill="auto"/>
            <w:tcMar>
              <w:top w:w="100" w:type="dxa"/>
              <w:left w:w="100" w:type="dxa"/>
              <w:bottom w:w="100" w:type="dxa"/>
              <w:right w:w="100" w:type="dxa"/>
            </w:tcMar>
            <w:vAlign w:val="center"/>
          </w:tcPr>
          <w:p w14:paraId="32DF57C2" w14:textId="5CA44332" w:rsidR="005D4EE3" w:rsidRPr="00DD5941" w:rsidRDefault="00F266F0" w:rsidP="003B196F">
            <w:pPr>
              <w:widowControl w:val="0"/>
              <w:pBdr>
                <w:top w:val="nil"/>
                <w:left w:val="nil"/>
                <w:bottom w:val="nil"/>
                <w:right w:val="nil"/>
                <w:between w:val="nil"/>
              </w:pBdr>
              <w:spacing w:line="240" w:lineRule="auto"/>
              <w:contextualSpacing/>
              <w:jc w:val="center"/>
              <w:rPr>
                <w:rFonts w:ascii="Times New Roman" w:eastAsia="Times New Roman" w:hAnsi="Times New Roman" w:cs="Times New Roman"/>
                <w:b/>
                <w:sz w:val="24"/>
                <w:szCs w:val="24"/>
                <w:lang w:val="uk-UA"/>
              </w:rPr>
            </w:pPr>
            <w:r w:rsidRPr="00DD5941">
              <w:rPr>
                <w:rFonts w:ascii="Times New Roman" w:hAnsi="Times New Roman" w:cs="Times New Roman"/>
                <w:b/>
                <w:bCs/>
                <w:sz w:val="24"/>
                <w:szCs w:val="24"/>
                <w:lang w:val="uk-UA" w:eastAsia="ru-RU"/>
              </w:rPr>
              <w:t>Попередня позиція НКРЕКП щодо наданих зауважень та пропозицій з обґрунтуваннями щодо прийняття або відхилення</w:t>
            </w:r>
          </w:p>
        </w:tc>
      </w:tr>
      <w:tr w:rsidR="00632BEB" w:rsidRPr="00651B4A" w14:paraId="6E61EB4B" w14:textId="77777777" w:rsidTr="00A00C8F">
        <w:trPr>
          <w:trHeight w:val="403"/>
          <w:jc w:val="center"/>
        </w:trPr>
        <w:tc>
          <w:tcPr>
            <w:tcW w:w="5093" w:type="dxa"/>
            <w:vMerge w:val="restart"/>
            <w:shd w:val="clear" w:color="auto" w:fill="auto"/>
            <w:tcMar>
              <w:top w:w="100" w:type="dxa"/>
              <w:left w:w="100" w:type="dxa"/>
              <w:bottom w:w="100" w:type="dxa"/>
              <w:right w:w="100" w:type="dxa"/>
            </w:tcMar>
          </w:tcPr>
          <w:p w14:paraId="2068E1D1" w14:textId="77777777" w:rsidR="00632BEB" w:rsidRPr="00DD5941" w:rsidRDefault="00632BEB" w:rsidP="00CC6BE5">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p>
          <w:p w14:paraId="469209F2" w14:textId="77777777" w:rsidR="00632BEB" w:rsidRPr="00DD5941" w:rsidRDefault="00632BEB" w:rsidP="00CC6BE5">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p>
          <w:p w14:paraId="5531DEEB" w14:textId="72ABDEDF" w:rsidR="00632BEB" w:rsidRPr="00DD5941" w:rsidRDefault="00632BEB" w:rsidP="00CC6BE5">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r w:rsidRPr="00DD5941">
              <w:rPr>
                <w:rFonts w:ascii="Times New Roman" w:eastAsia="Times New Roman" w:hAnsi="Times New Roman" w:cs="Times New Roman"/>
                <w:color w:val="333333"/>
                <w:sz w:val="24"/>
                <w:szCs w:val="24"/>
                <w:lang w:val="uk-UA" w:eastAsia="uk-UA"/>
              </w:rPr>
              <w:t>3.3. До складу виробничої собівартості електричної та (або) теплової енергії включаються:</w:t>
            </w:r>
          </w:p>
          <w:p w14:paraId="7541D0C2" w14:textId="77777777" w:rsidR="00632BEB" w:rsidRPr="00DD5941" w:rsidRDefault="00632BEB" w:rsidP="00CC6BE5">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r w:rsidRPr="00DD5941">
              <w:rPr>
                <w:rFonts w:ascii="Times New Roman" w:eastAsia="Times New Roman" w:hAnsi="Times New Roman" w:cs="Times New Roman"/>
                <w:color w:val="333333"/>
                <w:sz w:val="24"/>
                <w:szCs w:val="24"/>
                <w:lang w:val="uk-UA" w:eastAsia="uk-UA"/>
              </w:rPr>
              <w:t>1) паливо, а саме:</w:t>
            </w:r>
          </w:p>
          <w:p w14:paraId="0206D4D9" w14:textId="2941F089" w:rsidR="006913A7" w:rsidRPr="00DD5941" w:rsidRDefault="006913A7" w:rsidP="00CC6BE5">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r w:rsidRPr="00DD5941">
              <w:rPr>
                <w:rFonts w:ascii="Times New Roman" w:eastAsia="Times New Roman" w:hAnsi="Times New Roman" w:cs="Times New Roman"/>
                <w:color w:val="333333"/>
                <w:sz w:val="24"/>
                <w:szCs w:val="24"/>
                <w:lang w:val="uk-UA" w:eastAsia="uk-UA"/>
              </w:rPr>
              <w:t>….</w:t>
            </w:r>
          </w:p>
          <w:p w14:paraId="7872B498" w14:textId="5D69AF27" w:rsidR="00671A4F" w:rsidRPr="00DD5941" w:rsidRDefault="00671A4F" w:rsidP="00671A4F">
            <w:pPr>
              <w:shd w:val="clear" w:color="auto" w:fill="FFFFFF"/>
              <w:spacing w:after="150" w:line="240" w:lineRule="auto"/>
              <w:jc w:val="center"/>
              <w:rPr>
                <w:rFonts w:ascii="Times New Roman" w:eastAsia="Times New Roman" w:hAnsi="Times New Roman" w:cs="Times New Roman"/>
                <w:color w:val="333333"/>
                <w:sz w:val="24"/>
                <w:szCs w:val="24"/>
                <w:lang w:val="uk-UA" w:eastAsia="uk-UA"/>
              </w:rPr>
            </w:pPr>
            <w:r w:rsidRPr="00DD5941">
              <w:rPr>
                <w:rFonts w:ascii="Times New Roman" w:eastAsia="Times New Roman" w:hAnsi="Times New Roman" w:cs="Times New Roman"/>
                <w:i/>
                <w:iCs/>
                <w:sz w:val="24"/>
                <w:szCs w:val="24"/>
                <w:lang w:val="uk-UA" w:eastAsia="ru-RU"/>
              </w:rPr>
              <w:t>(абзац другий підпункт 1 пункту 3.3 глави 3)</w:t>
            </w:r>
          </w:p>
          <w:p w14:paraId="78F29830" w14:textId="775CA4EA" w:rsidR="00632BEB" w:rsidRDefault="00632BEB" w:rsidP="00671A4F">
            <w:pPr>
              <w:pStyle w:val="rvps2"/>
              <w:shd w:val="clear" w:color="auto" w:fill="FFFFFF"/>
              <w:ind w:firstLine="0"/>
              <w:rPr>
                <w:lang w:val="uk-UA"/>
              </w:rPr>
            </w:pPr>
            <w:r w:rsidRPr="00DD5941">
              <w:rPr>
                <w:lang w:val="uk-UA"/>
              </w:rPr>
              <w:t xml:space="preserve">витрати на придбання палива та його транспортування для виробництва електричної та (або) теплової енергії, які визначаються виходячи з планованого обсягу відпуску/виробництва електричної та (або) теплової енергії відповідно до річного плану виробництва, питомих норм витрат паливно-енергетичних ресурсів, </w:t>
            </w:r>
            <w:r w:rsidRPr="00DD5941">
              <w:rPr>
                <w:b/>
                <w:lang w:val="uk-UA"/>
              </w:rPr>
              <w:t>визначених відповідно до</w:t>
            </w:r>
            <w:r w:rsidRPr="00DD5941">
              <w:rPr>
                <w:lang w:val="uk-UA"/>
              </w:rPr>
              <w:t xml:space="preserve"> </w:t>
            </w:r>
            <w:r w:rsidRPr="00DD5941">
              <w:rPr>
                <w:b/>
                <w:lang w:val="uk-UA"/>
              </w:rPr>
              <w:t xml:space="preserve">положень нормативного документу </w:t>
            </w:r>
            <w:r w:rsidRPr="00DD5941">
              <w:rPr>
                <w:b/>
                <w:color w:val="333333"/>
                <w:lang w:val="uk-UA"/>
              </w:rPr>
              <w:t xml:space="preserve">СОУ-Н МПЕ 40.1.09.111:2005. «Розрахункові питомі витрати палива на відпущену електричну та теплову енергію на </w:t>
            </w:r>
            <w:r w:rsidRPr="00DD5941">
              <w:rPr>
                <w:b/>
                <w:color w:val="333333"/>
                <w:lang w:val="uk-UA"/>
              </w:rPr>
              <w:lastRenderedPageBreak/>
              <w:t>прогнозований період. Методика визначення»</w:t>
            </w:r>
            <w:r w:rsidRPr="00DD5941">
              <w:rPr>
                <w:b/>
                <w:lang w:val="uk-UA"/>
              </w:rPr>
              <w:t>, затвердженого наказом Міністерством палива та енергетики України від 25.09.2005 № 486, діючих/планованих цін (тарифів) на паливно</w:t>
            </w:r>
            <w:r w:rsidRPr="00DD5941">
              <w:rPr>
                <w:lang w:val="uk-UA"/>
              </w:rPr>
              <w:t>-енергетичні ресурси та послуги (витрати) з їх транспортування, тобто з урахуванням усіх планованих логістичних ланцюгів транспортування паливно-енергетичних ресурсів, калорійних еквівалентів, обсягу енергії природного газу, визначених умовами договору, сертифікатами постачальників чи даними базового періоду.</w:t>
            </w:r>
          </w:p>
          <w:p w14:paraId="02DB8FB1" w14:textId="77777777" w:rsidR="00DD5941" w:rsidRDefault="00DD5941" w:rsidP="00DD5941">
            <w:pPr>
              <w:shd w:val="clear" w:color="auto" w:fill="FFFFFF"/>
              <w:spacing w:line="240" w:lineRule="auto"/>
              <w:ind w:firstLine="450"/>
              <w:jc w:val="both"/>
              <w:rPr>
                <w:rFonts w:ascii="Times New Roman" w:eastAsia="Times New Roman" w:hAnsi="Times New Roman" w:cs="Times New Roman"/>
                <w:sz w:val="24"/>
                <w:szCs w:val="24"/>
                <w:lang w:val="uk-UA" w:eastAsia="ru-RU"/>
              </w:rPr>
            </w:pPr>
          </w:p>
          <w:p w14:paraId="521328C3" w14:textId="77777777" w:rsidR="00DD5941" w:rsidRDefault="00DD5941" w:rsidP="00DD5941">
            <w:pPr>
              <w:shd w:val="clear" w:color="auto" w:fill="FFFFFF"/>
              <w:spacing w:line="240" w:lineRule="auto"/>
              <w:ind w:firstLine="450"/>
              <w:jc w:val="both"/>
              <w:rPr>
                <w:rFonts w:ascii="Times New Roman" w:eastAsia="Times New Roman" w:hAnsi="Times New Roman" w:cs="Times New Roman"/>
                <w:sz w:val="24"/>
                <w:szCs w:val="24"/>
                <w:lang w:val="uk-UA" w:eastAsia="ru-RU"/>
              </w:rPr>
            </w:pPr>
          </w:p>
          <w:p w14:paraId="250FBDFF" w14:textId="77777777" w:rsidR="00DD5941" w:rsidRDefault="00DD5941" w:rsidP="00DD5941">
            <w:pPr>
              <w:shd w:val="clear" w:color="auto" w:fill="FFFFFF"/>
              <w:spacing w:line="240" w:lineRule="auto"/>
              <w:ind w:firstLine="450"/>
              <w:jc w:val="both"/>
              <w:rPr>
                <w:rFonts w:ascii="Times New Roman" w:eastAsia="Times New Roman" w:hAnsi="Times New Roman" w:cs="Times New Roman"/>
                <w:sz w:val="24"/>
                <w:szCs w:val="24"/>
                <w:lang w:val="uk-UA" w:eastAsia="ru-RU"/>
              </w:rPr>
            </w:pPr>
          </w:p>
          <w:p w14:paraId="4B57F5D9" w14:textId="1DE12CC7" w:rsidR="00DD5941" w:rsidRDefault="00DD5941" w:rsidP="00DD5941">
            <w:pPr>
              <w:shd w:val="clear" w:color="auto" w:fill="FFFFFF"/>
              <w:spacing w:line="240" w:lineRule="auto"/>
              <w:ind w:firstLine="450"/>
              <w:jc w:val="both"/>
              <w:rPr>
                <w:rFonts w:ascii="Times New Roman" w:eastAsia="Times New Roman" w:hAnsi="Times New Roman" w:cs="Times New Roman"/>
                <w:sz w:val="24"/>
                <w:szCs w:val="24"/>
                <w:lang w:val="uk-UA" w:eastAsia="ru-RU"/>
              </w:rPr>
            </w:pPr>
          </w:p>
          <w:p w14:paraId="627F8836" w14:textId="5199691E" w:rsidR="0005533E" w:rsidRDefault="0005533E" w:rsidP="00DD5941">
            <w:pPr>
              <w:shd w:val="clear" w:color="auto" w:fill="FFFFFF"/>
              <w:spacing w:line="240" w:lineRule="auto"/>
              <w:ind w:firstLine="450"/>
              <w:jc w:val="both"/>
              <w:rPr>
                <w:rFonts w:ascii="Times New Roman" w:eastAsia="Times New Roman" w:hAnsi="Times New Roman" w:cs="Times New Roman"/>
                <w:sz w:val="24"/>
                <w:szCs w:val="24"/>
                <w:lang w:val="uk-UA" w:eastAsia="ru-RU"/>
              </w:rPr>
            </w:pPr>
          </w:p>
          <w:p w14:paraId="05627427" w14:textId="2D0E9DE3" w:rsidR="0005533E" w:rsidRDefault="0005533E" w:rsidP="00DD5941">
            <w:pPr>
              <w:shd w:val="clear" w:color="auto" w:fill="FFFFFF"/>
              <w:spacing w:line="240" w:lineRule="auto"/>
              <w:ind w:firstLine="450"/>
              <w:jc w:val="both"/>
              <w:rPr>
                <w:rFonts w:ascii="Times New Roman" w:eastAsia="Times New Roman" w:hAnsi="Times New Roman" w:cs="Times New Roman"/>
                <w:sz w:val="24"/>
                <w:szCs w:val="24"/>
                <w:lang w:val="uk-UA" w:eastAsia="ru-RU"/>
              </w:rPr>
            </w:pPr>
          </w:p>
          <w:p w14:paraId="24CBDD44" w14:textId="3BF43E57" w:rsidR="0005533E" w:rsidRDefault="0005533E" w:rsidP="00DD5941">
            <w:pPr>
              <w:shd w:val="clear" w:color="auto" w:fill="FFFFFF"/>
              <w:spacing w:line="240" w:lineRule="auto"/>
              <w:ind w:firstLine="450"/>
              <w:jc w:val="both"/>
              <w:rPr>
                <w:rFonts w:ascii="Times New Roman" w:eastAsia="Times New Roman" w:hAnsi="Times New Roman" w:cs="Times New Roman"/>
                <w:sz w:val="24"/>
                <w:szCs w:val="24"/>
                <w:lang w:val="uk-UA" w:eastAsia="ru-RU"/>
              </w:rPr>
            </w:pPr>
          </w:p>
          <w:p w14:paraId="240851C5" w14:textId="6E35B4F3" w:rsidR="0005533E" w:rsidRDefault="0005533E" w:rsidP="00DD5941">
            <w:pPr>
              <w:shd w:val="clear" w:color="auto" w:fill="FFFFFF"/>
              <w:spacing w:line="240" w:lineRule="auto"/>
              <w:ind w:firstLine="450"/>
              <w:jc w:val="both"/>
              <w:rPr>
                <w:rFonts w:ascii="Times New Roman" w:eastAsia="Times New Roman" w:hAnsi="Times New Roman" w:cs="Times New Roman"/>
                <w:sz w:val="24"/>
                <w:szCs w:val="24"/>
                <w:lang w:val="uk-UA" w:eastAsia="ru-RU"/>
              </w:rPr>
            </w:pPr>
          </w:p>
          <w:p w14:paraId="1D6BCBEF" w14:textId="4B7B5AD4" w:rsidR="0005533E" w:rsidRDefault="0005533E" w:rsidP="00DD5941">
            <w:pPr>
              <w:shd w:val="clear" w:color="auto" w:fill="FFFFFF"/>
              <w:spacing w:line="240" w:lineRule="auto"/>
              <w:ind w:firstLine="450"/>
              <w:jc w:val="both"/>
              <w:rPr>
                <w:rFonts w:ascii="Times New Roman" w:eastAsia="Times New Roman" w:hAnsi="Times New Roman" w:cs="Times New Roman"/>
                <w:sz w:val="24"/>
                <w:szCs w:val="24"/>
                <w:lang w:val="uk-UA" w:eastAsia="ru-RU"/>
              </w:rPr>
            </w:pPr>
          </w:p>
          <w:p w14:paraId="56584A09" w14:textId="141D1F01" w:rsidR="0005533E" w:rsidRDefault="0005533E" w:rsidP="00DD5941">
            <w:pPr>
              <w:shd w:val="clear" w:color="auto" w:fill="FFFFFF"/>
              <w:spacing w:line="240" w:lineRule="auto"/>
              <w:ind w:firstLine="450"/>
              <w:jc w:val="both"/>
              <w:rPr>
                <w:rFonts w:ascii="Times New Roman" w:eastAsia="Times New Roman" w:hAnsi="Times New Roman" w:cs="Times New Roman"/>
                <w:sz w:val="24"/>
                <w:szCs w:val="24"/>
                <w:lang w:val="uk-UA" w:eastAsia="ru-RU"/>
              </w:rPr>
            </w:pPr>
          </w:p>
          <w:p w14:paraId="3C3B13C6" w14:textId="4172656D" w:rsidR="0005533E" w:rsidRDefault="0005533E" w:rsidP="00DD5941">
            <w:pPr>
              <w:shd w:val="clear" w:color="auto" w:fill="FFFFFF"/>
              <w:spacing w:line="240" w:lineRule="auto"/>
              <w:ind w:firstLine="450"/>
              <w:jc w:val="both"/>
              <w:rPr>
                <w:rFonts w:ascii="Times New Roman" w:eastAsia="Times New Roman" w:hAnsi="Times New Roman" w:cs="Times New Roman"/>
                <w:sz w:val="24"/>
                <w:szCs w:val="24"/>
                <w:lang w:val="uk-UA" w:eastAsia="ru-RU"/>
              </w:rPr>
            </w:pPr>
          </w:p>
          <w:p w14:paraId="5CA9DFE9" w14:textId="7BFFDB43" w:rsidR="0005533E" w:rsidRDefault="0005533E" w:rsidP="00DD5941">
            <w:pPr>
              <w:shd w:val="clear" w:color="auto" w:fill="FFFFFF"/>
              <w:spacing w:line="240" w:lineRule="auto"/>
              <w:ind w:firstLine="450"/>
              <w:jc w:val="both"/>
              <w:rPr>
                <w:rFonts w:ascii="Times New Roman" w:eastAsia="Times New Roman" w:hAnsi="Times New Roman" w:cs="Times New Roman"/>
                <w:sz w:val="24"/>
                <w:szCs w:val="24"/>
                <w:lang w:val="uk-UA" w:eastAsia="ru-RU"/>
              </w:rPr>
            </w:pPr>
          </w:p>
          <w:p w14:paraId="218B8F94" w14:textId="020FEC86" w:rsidR="0005533E" w:rsidRDefault="0005533E" w:rsidP="00DD5941">
            <w:pPr>
              <w:shd w:val="clear" w:color="auto" w:fill="FFFFFF"/>
              <w:spacing w:line="240" w:lineRule="auto"/>
              <w:ind w:firstLine="450"/>
              <w:jc w:val="both"/>
              <w:rPr>
                <w:rFonts w:ascii="Times New Roman" w:eastAsia="Times New Roman" w:hAnsi="Times New Roman" w:cs="Times New Roman"/>
                <w:sz w:val="24"/>
                <w:szCs w:val="24"/>
                <w:lang w:val="uk-UA" w:eastAsia="ru-RU"/>
              </w:rPr>
            </w:pPr>
          </w:p>
          <w:p w14:paraId="37F1764B" w14:textId="4553FC21" w:rsidR="0005533E" w:rsidRDefault="0005533E" w:rsidP="00DD5941">
            <w:pPr>
              <w:shd w:val="clear" w:color="auto" w:fill="FFFFFF"/>
              <w:spacing w:line="240" w:lineRule="auto"/>
              <w:ind w:firstLine="450"/>
              <w:jc w:val="both"/>
              <w:rPr>
                <w:rFonts w:ascii="Times New Roman" w:eastAsia="Times New Roman" w:hAnsi="Times New Roman" w:cs="Times New Roman"/>
                <w:sz w:val="24"/>
                <w:szCs w:val="24"/>
                <w:lang w:val="uk-UA" w:eastAsia="ru-RU"/>
              </w:rPr>
            </w:pPr>
          </w:p>
          <w:p w14:paraId="41FC6983" w14:textId="116BF4DF" w:rsidR="0005533E" w:rsidRPr="009416CA" w:rsidRDefault="009416CA" w:rsidP="00DD5941">
            <w:pPr>
              <w:shd w:val="clear" w:color="auto" w:fill="FFFFFF"/>
              <w:spacing w:line="240" w:lineRule="auto"/>
              <w:ind w:firstLine="450"/>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Абзац</w:t>
            </w:r>
            <w:r w:rsidRPr="009416CA">
              <w:rPr>
                <w:rFonts w:ascii="Times New Roman" w:eastAsia="Times New Roman" w:hAnsi="Times New Roman" w:cs="Times New Roman"/>
                <w:b/>
                <w:sz w:val="24"/>
                <w:szCs w:val="24"/>
                <w:lang w:val="uk-UA" w:eastAsia="ru-RU"/>
              </w:rPr>
              <w:t xml:space="preserve"> відсутні</w:t>
            </w:r>
            <w:r>
              <w:rPr>
                <w:rFonts w:ascii="Times New Roman" w:eastAsia="Times New Roman" w:hAnsi="Times New Roman" w:cs="Times New Roman"/>
                <w:b/>
                <w:sz w:val="24"/>
                <w:szCs w:val="24"/>
                <w:lang w:val="uk-UA" w:eastAsia="ru-RU"/>
              </w:rPr>
              <w:t>й</w:t>
            </w:r>
          </w:p>
          <w:p w14:paraId="45E2A486" w14:textId="22CE8299" w:rsidR="0005533E" w:rsidRDefault="0005533E" w:rsidP="00DD5941">
            <w:pPr>
              <w:shd w:val="clear" w:color="auto" w:fill="FFFFFF"/>
              <w:spacing w:line="240" w:lineRule="auto"/>
              <w:ind w:firstLine="450"/>
              <w:jc w:val="both"/>
              <w:rPr>
                <w:rFonts w:ascii="Times New Roman" w:eastAsia="Times New Roman" w:hAnsi="Times New Roman" w:cs="Times New Roman"/>
                <w:sz w:val="24"/>
                <w:szCs w:val="24"/>
                <w:lang w:val="uk-UA" w:eastAsia="ru-RU"/>
              </w:rPr>
            </w:pPr>
          </w:p>
          <w:p w14:paraId="6774D9DB" w14:textId="08D6A232" w:rsidR="0005533E" w:rsidRDefault="0005533E" w:rsidP="00DD5941">
            <w:pPr>
              <w:shd w:val="clear" w:color="auto" w:fill="FFFFFF"/>
              <w:spacing w:line="240" w:lineRule="auto"/>
              <w:ind w:firstLine="450"/>
              <w:jc w:val="both"/>
              <w:rPr>
                <w:rFonts w:ascii="Times New Roman" w:eastAsia="Times New Roman" w:hAnsi="Times New Roman" w:cs="Times New Roman"/>
                <w:sz w:val="24"/>
                <w:szCs w:val="24"/>
                <w:lang w:val="uk-UA" w:eastAsia="ru-RU"/>
              </w:rPr>
            </w:pPr>
          </w:p>
          <w:p w14:paraId="2D190067" w14:textId="333137A6" w:rsidR="0005533E" w:rsidRDefault="0005533E" w:rsidP="00DD5941">
            <w:pPr>
              <w:shd w:val="clear" w:color="auto" w:fill="FFFFFF"/>
              <w:spacing w:line="240" w:lineRule="auto"/>
              <w:ind w:firstLine="450"/>
              <w:jc w:val="both"/>
              <w:rPr>
                <w:rFonts w:ascii="Times New Roman" w:eastAsia="Times New Roman" w:hAnsi="Times New Roman" w:cs="Times New Roman"/>
                <w:sz w:val="24"/>
                <w:szCs w:val="24"/>
                <w:lang w:val="uk-UA" w:eastAsia="ru-RU"/>
              </w:rPr>
            </w:pPr>
          </w:p>
          <w:p w14:paraId="0230B90B" w14:textId="22379764" w:rsidR="0005533E" w:rsidRDefault="0005533E" w:rsidP="00DD5941">
            <w:pPr>
              <w:shd w:val="clear" w:color="auto" w:fill="FFFFFF"/>
              <w:spacing w:line="240" w:lineRule="auto"/>
              <w:ind w:firstLine="450"/>
              <w:jc w:val="both"/>
              <w:rPr>
                <w:rFonts w:ascii="Times New Roman" w:eastAsia="Times New Roman" w:hAnsi="Times New Roman" w:cs="Times New Roman"/>
                <w:sz w:val="24"/>
                <w:szCs w:val="24"/>
                <w:lang w:val="uk-UA" w:eastAsia="ru-RU"/>
              </w:rPr>
            </w:pPr>
          </w:p>
          <w:p w14:paraId="49B79A3E" w14:textId="00E9CB69" w:rsidR="0005533E" w:rsidRDefault="0005533E" w:rsidP="00DD5941">
            <w:pPr>
              <w:shd w:val="clear" w:color="auto" w:fill="FFFFFF"/>
              <w:spacing w:line="240" w:lineRule="auto"/>
              <w:ind w:firstLine="450"/>
              <w:jc w:val="both"/>
              <w:rPr>
                <w:rFonts w:ascii="Times New Roman" w:eastAsia="Times New Roman" w:hAnsi="Times New Roman" w:cs="Times New Roman"/>
                <w:sz w:val="24"/>
                <w:szCs w:val="24"/>
                <w:lang w:val="uk-UA" w:eastAsia="ru-RU"/>
              </w:rPr>
            </w:pPr>
          </w:p>
          <w:p w14:paraId="0E384C65" w14:textId="20D767D4" w:rsidR="0005533E" w:rsidRDefault="0005533E" w:rsidP="00DD5941">
            <w:pPr>
              <w:shd w:val="clear" w:color="auto" w:fill="FFFFFF"/>
              <w:spacing w:line="240" w:lineRule="auto"/>
              <w:ind w:firstLine="450"/>
              <w:jc w:val="both"/>
              <w:rPr>
                <w:rFonts w:ascii="Times New Roman" w:eastAsia="Times New Roman" w:hAnsi="Times New Roman" w:cs="Times New Roman"/>
                <w:sz w:val="24"/>
                <w:szCs w:val="24"/>
                <w:lang w:val="uk-UA" w:eastAsia="ru-RU"/>
              </w:rPr>
            </w:pPr>
          </w:p>
          <w:p w14:paraId="02B6FF25" w14:textId="4166DAB9" w:rsidR="0005533E" w:rsidRDefault="0005533E" w:rsidP="00DD5941">
            <w:pPr>
              <w:shd w:val="clear" w:color="auto" w:fill="FFFFFF"/>
              <w:spacing w:line="240" w:lineRule="auto"/>
              <w:ind w:firstLine="450"/>
              <w:jc w:val="both"/>
              <w:rPr>
                <w:rFonts w:ascii="Times New Roman" w:eastAsia="Times New Roman" w:hAnsi="Times New Roman" w:cs="Times New Roman"/>
                <w:sz w:val="24"/>
                <w:szCs w:val="24"/>
                <w:lang w:val="uk-UA" w:eastAsia="ru-RU"/>
              </w:rPr>
            </w:pPr>
          </w:p>
          <w:p w14:paraId="21E1D276" w14:textId="6F53CEE2" w:rsidR="0005533E" w:rsidRDefault="0005533E" w:rsidP="00DD5941">
            <w:pPr>
              <w:shd w:val="clear" w:color="auto" w:fill="FFFFFF"/>
              <w:spacing w:line="240" w:lineRule="auto"/>
              <w:ind w:firstLine="450"/>
              <w:jc w:val="both"/>
              <w:rPr>
                <w:rFonts w:ascii="Times New Roman" w:eastAsia="Times New Roman" w:hAnsi="Times New Roman" w:cs="Times New Roman"/>
                <w:sz w:val="24"/>
                <w:szCs w:val="24"/>
                <w:lang w:val="uk-UA" w:eastAsia="ru-RU"/>
              </w:rPr>
            </w:pPr>
          </w:p>
          <w:p w14:paraId="7E6BA6BC" w14:textId="373A351D" w:rsidR="0005533E" w:rsidRDefault="009416CA" w:rsidP="00DD5941">
            <w:pPr>
              <w:shd w:val="clear" w:color="auto" w:fill="FFFFFF"/>
              <w:spacing w:line="240" w:lineRule="auto"/>
              <w:ind w:firstLine="45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4"/>
                <w:szCs w:val="24"/>
                <w:lang w:val="uk-UA" w:eastAsia="ru-RU"/>
              </w:rPr>
              <w:t>Абзац</w:t>
            </w:r>
            <w:r w:rsidRPr="009416CA">
              <w:rPr>
                <w:rFonts w:ascii="Times New Roman" w:eastAsia="Times New Roman" w:hAnsi="Times New Roman" w:cs="Times New Roman"/>
                <w:b/>
                <w:sz w:val="24"/>
                <w:szCs w:val="24"/>
                <w:lang w:val="uk-UA" w:eastAsia="ru-RU"/>
              </w:rPr>
              <w:t xml:space="preserve"> відсутні</w:t>
            </w:r>
            <w:r>
              <w:rPr>
                <w:rFonts w:ascii="Times New Roman" w:eastAsia="Times New Roman" w:hAnsi="Times New Roman" w:cs="Times New Roman"/>
                <w:b/>
                <w:sz w:val="24"/>
                <w:szCs w:val="24"/>
                <w:lang w:val="uk-UA" w:eastAsia="ru-RU"/>
              </w:rPr>
              <w:t>й</w:t>
            </w:r>
            <w:r>
              <w:rPr>
                <w:rFonts w:ascii="Times New Roman" w:eastAsia="Times New Roman" w:hAnsi="Times New Roman" w:cs="Times New Roman"/>
                <w:sz w:val="24"/>
                <w:szCs w:val="24"/>
                <w:lang w:val="uk-UA" w:eastAsia="ru-RU"/>
              </w:rPr>
              <w:t xml:space="preserve"> </w:t>
            </w:r>
          </w:p>
          <w:p w14:paraId="2DEC5896" w14:textId="5F0F4B5C" w:rsidR="0005533E" w:rsidRDefault="0005533E" w:rsidP="00DD5941">
            <w:pPr>
              <w:shd w:val="clear" w:color="auto" w:fill="FFFFFF"/>
              <w:spacing w:line="240" w:lineRule="auto"/>
              <w:ind w:firstLine="450"/>
              <w:jc w:val="both"/>
              <w:rPr>
                <w:rFonts w:ascii="Times New Roman" w:eastAsia="Times New Roman" w:hAnsi="Times New Roman" w:cs="Times New Roman"/>
                <w:sz w:val="24"/>
                <w:szCs w:val="24"/>
                <w:lang w:val="uk-UA" w:eastAsia="ru-RU"/>
              </w:rPr>
            </w:pPr>
          </w:p>
          <w:p w14:paraId="68CAE33C" w14:textId="4A7C5455" w:rsidR="0005533E" w:rsidRDefault="0005533E" w:rsidP="00DD5941">
            <w:pPr>
              <w:shd w:val="clear" w:color="auto" w:fill="FFFFFF"/>
              <w:spacing w:line="240" w:lineRule="auto"/>
              <w:ind w:firstLine="450"/>
              <w:jc w:val="both"/>
              <w:rPr>
                <w:rFonts w:ascii="Times New Roman" w:eastAsia="Times New Roman" w:hAnsi="Times New Roman" w:cs="Times New Roman"/>
                <w:sz w:val="24"/>
                <w:szCs w:val="24"/>
                <w:lang w:val="uk-UA" w:eastAsia="ru-RU"/>
              </w:rPr>
            </w:pPr>
          </w:p>
          <w:p w14:paraId="17B1903D" w14:textId="20378919" w:rsidR="00DD5941" w:rsidRDefault="00DD5941" w:rsidP="00DD5941">
            <w:pPr>
              <w:shd w:val="clear" w:color="auto" w:fill="FFFFFF"/>
              <w:spacing w:line="240" w:lineRule="auto"/>
              <w:ind w:firstLine="450"/>
              <w:jc w:val="both"/>
              <w:rPr>
                <w:rFonts w:ascii="Times New Roman" w:eastAsia="Times New Roman" w:hAnsi="Times New Roman" w:cs="Times New Roman"/>
                <w:sz w:val="24"/>
                <w:szCs w:val="24"/>
                <w:lang w:val="uk-UA" w:eastAsia="ru-RU"/>
              </w:rPr>
            </w:pPr>
          </w:p>
          <w:p w14:paraId="0D9355E8" w14:textId="4F147BB1" w:rsidR="00DD5941" w:rsidRDefault="00DD5941" w:rsidP="00DD5941">
            <w:pPr>
              <w:shd w:val="clear" w:color="auto" w:fill="FFFFFF"/>
              <w:spacing w:line="240" w:lineRule="auto"/>
              <w:ind w:firstLine="450"/>
              <w:jc w:val="both"/>
              <w:rPr>
                <w:rFonts w:ascii="Times New Roman" w:eastAsia="Times New Roman" w:hAnsi="Times New Roman" w:cs="Times New Roman"/>
                <w:sz w:val="24"/>
                <w:szCs w:val="24"/>
                <w:lang w:val="uk-UA" w:eastAsia="ru-RU"/>
              </w:rPr>
            </w:pPr>
          </w:p>
          <w:p w14:paraId="5FDA0D31" w14:textId="77777777" w:rsidR="009416CA" w:rsidRDefault="009416CA" w:rsidP="00DD5941">
            <w:pPr>
              <w:shd w:val="clear" w:color="auto" w:fill="FFFFFF"/>
              <w:spacing w:line="240" w:lineRule="auto"/>
              <w:ind w:firstLine="450"/>
              <w:jc w:val="both"/>
              <w:rPr>
                <w:rFonts w:ascii="Times New Roman" w:eastAsia="Times New Roman" w:hAnsi="Times New Roman" w:cs="Times New Roman"/>
                <w:sz w:val="24"/>
                <w:szCs w:val="24"/>
                <w:lang w:val="uk-UA" w:eastAsia="ru-RU"/>
              </w:rPr>
            </w:pPr>
          </w:p>
          <w:p w14:paraId="549568E8" w14:textId="77777777" w:rsidR="00DD5941" w:rsidRDefault="00DD5941" w:rsidP="00DD5941">
            <w:pPr>
              <w:shd w:val="clear" w:color="auto" w:fill="FFFFFF"/>
              <w:spacing w:line="240" w:lineRule="auto"/>
              <w:ind w:firstLine="450"/>
              <w:jc w:val="both"/>
              <w:rPr>
                <w:rFonts w:ascii="Times New Roman" w:eastAsia="Times New Roman" w:hAnsi="Times New Roman" w:cs="Times New Roman"/>
                <w:sz w:val="24"/>
                <w:szCs w:val="24"/>
                <w:lang w:val="uk-UA" w:eastAsia="ru-RU"/>
              </w:rPr>
            </w:pPr>
          </w:p>
          <w:p w14:paraId="5F553D7D" w14:textId="77777777" w:rsidR="00DD5941" w:rsidRDefault="00DD5941" w:rsidP="00DD5941">
            <w:pPr>
              <w:shd w:val="clear" w:color="auto" w:fill="FFFFFF"/>
              <w:spacing w:line="240" w:lineRule="auto"/>
              <w:ind w:firstLine="450"/>
              <w:jc w:val="both"/>
              <w:rPr>
                <w:rFonts w:ascii="Times New Roman" w:eastAsia="Times New Roman" w:hAnsi="Times New Roman" w:cs="Times New Roman"/>
                <w:sz w:val="24"/>
                <w:szCs w:val="24"/>
                <w:lang w:val="uk-UA" w:eastAsia="ru-RU"/>
              </w:rPr>
            </w:pPr>
          </w:p>
          <w:p w14:paraId="15F624F9" w14:textId="02E67CFA" w:rsidR="00DD5941" w:rsidRPr="00DD5941" w:rsidRDefault="00DD5941" w:rsidP="00DD5941">
            <w:pPr>
              <w:shd w:val="clear" w:color="auto" w:fill="FFFFFF"/>
              <w:spacing w:line="240" w:lineRule="auto"/>
              <w:ind w:firstLine="450"/>
              <w:jc w:val="both"/>
              <w:rPr>
                <w:rFonts w:ascii="Times New Roman" w:eastAsia="Times New Roman" w:hAnsi="Times New Roman" w:cs="Times New Roman"/>
                <w:sz w:val="24"/>
                <w:szCs w:val="24"/>
                <w:lang w:val="uk-UA" w:eastAsia="ru-RU"/>
              </w:rPr>
            </w:pPr>
            <w:r w:rsidRPr="00DD5941">
              <w:rPr>
                <w:rFonts w:ascii="Times New Roman" w:eastAsia="Times New Roman" w:hAnsi="Times New Roman" w:cs="Times New Roman"/>
                <w:sz w:val="24"/>
                <w:szCs w:val="24"/>
                <w:lang w:val="uk-UA" w:eastAsia="ru-RU"/>
              </w:rPr>
              <w:t>….</w:t>
            </w:r>
          </w:p>
          <w:p w14:paraId="1EF5171C" w14:textId="77777777" w:rsidR="00DD5941" w:rsidRPr="00DD5941" w:rsidRDefault="00DD5941" w:rsidP="00DD5941">
            <w:pPr>
              <w:shd w:val="clear" w:color="auto" w:fill="FFFFFF"/>
              <w:spacing w:line="240" w:lineRule="auto"/>
              <w:jc w:val="both"/>
              <w:rPr>
                <w:rFonts w:ascii="Times New Roman" w:eastAsia="Times New Roman" w:hAnsi="Times New Roman" w:cs="Times New Roman"/>
                <w:sz w:val="24"/>
                <w:szCs w:val="24"/>
                <w:lang w:val="uk-UA" w:eastAsia="ru-RU"/>
              </w:rPr>
            </w:pPr>
            <w:r w:rsidRPr="00DD5941">
              <w:rPr>
                <w:rFonts w:ascii="Times New Roman" w:eastAsia="Times New Roman" w:hAnsi="Times New Roman" w:cs="Times New Roman"/>
                <w:sz w:val="24"/>
                <w:szCs w:val="24"/>
                <w:lang w:val="uk-UA" w:eastAsia="ru-RU"/>
              </w:rPr>
              <w:t>(</w:t>
            </w:r>
            <w:r w:rsidRPr="00DD5941">
              <w:rPr>
                <w:rFonts w:ascii="Times New Roman" w:eastAsia="Times New Roman" w:hAnsi="Times New Roman" w:cs="Times New Roman"/>
                <w:i/>
                <w:iCs/>
                <w:lang w:val="uk-UA" w:eastAsia="ru-RU"/>
              </w:rPr>
              <w:t>абзац сорок сьомий підпункту 1 пункту 3.3 глави 3</w:t>
            </w:r>
            <w:r w:rsidRPr="00DD5941">
              <w:rPr>
                <w:rFonts w:ascii="Times New Roman" w:eastAsia="Times New Roman" w:hAnsi="Times New Roman" w:cs="Times New Roman"/>
                <w:sz w:val="24"/>
                <w:szCs w:val="24"/>
                <w:lang w:val="uk-UA" w:eastAsia="ru-RU"/>
              </w:rPr>
              <w:t>)</w:t>
            </w:r>
          </w:p>
          <w:p w14:paraId="3B845EEB" w14:textId="77777777" w:rsidR="00DD5941" w:rsidRPr="00DD5941" w:rsidRDefault="00DD5941" w:rsidP="00DD5941">
            <w:pPr>
              <w:shd w:val="clear" w:color="auto" w:fill="FFFFFF"/>
              <w:spacing w:line="240" w:lineRule="auto"/>
              <w:jc w:val="both"/>
              <w:rPr>
                <w:rFonts w:ascii="Times New Roman" w:eastAsia="Times New Roman" w:hAnsi="Times New Roman" w:cs="Times New Roman"/>
                <w:sz w:val="8"/>
                <w:szCs w:val="8"/>
                <w:lang w:val="uk-UA" w:eastAsia="ru-RU"/>
              </w:rPr>
            </w:pPr>
            <w:r w:rsidRPr="00DD5941">
              <w:rPr>
                <w:rFonts w:ascii="Times New Roman" w:eastAsia="Times New Roman" w:hAnsi="Times New Roman" w:cs="Times New Roman"/>
                <w:sz w:val="8"/>
                <w:szCs w:val="8"/>
                <w:lang w:val="uk-UA" w:eastAsia="ru-RU"/>
              </w:rPr>
              <w:t xml:space="preserve">  </w:t>
            </w:r>
          </w:p>
          <w:p w14:paraId="07EFFF0B" w14:textId="36B7CE55" w:rsidR="00632BEB" w:rsidRPr="00DD5941" w:rsidRDefault="00DD5941" w:rsidP="001E03F5">
            <w:pPr>
              <w:pStyle w:val="rvps2"/>
              <w:shd w:val="clear" w:color="auto" w:fill="FFFFFF"/>
              <w:ind w:firstLine="0"/>
              <w:rPr>
                <w:lang w:val="uk-UA"/>
              </w:rPr>
            </w:pPr>
            <w:r w:rsidRPr="00DD5941">
              <w:rPr>
                <w:color w:val="333333"/>
                <w:lang w:val="uk-UA" w:eastAsia="uk-UA"/>
              </w:rPr>
              <w:t xml:space="preserve">При формуванні, розрахунку та встановленні тарифів на виробництво теплової енергії витрати на паливо та структура використання палива (у разі використання декількох видів палива при виробництві електричної та теплової енергії) </w:t>
            </w:r>
            <w:r w:rsidRPr="00DD5941">
              <w:rPr>
                <w:b/>
                <w:color w:val="333333"/>
                <w:lang w:val="uk-UA" w:eastAsia="uk-UA"/>
              </w:rPr>
              <w:t>визначаються</w:t>
            </w:r>
            <w:r w:rsidRPr="00DD5941">
              <w:rPr>
                <w:color w:val="333333"/>
                <w:lang w:val="uk-UA" w:eastAsia="uk-UA"/>
              </w:rPr>
              <w:t xml:space="preserve"> </w:t>
            </w:r>
            <w:r w:rsidRPr="00DD5941">
              <w:rPr>
                <w:b/>
                <w:color w:val="333333"/>
                <w:lang w:val="uk-UA" w:eastAsia="uk-UA"/>
              </w:rPr>
              <w:t xml:space="preserve">з урахуванням </w:t>
            </w:r>
            <w:r w:rsidRPr="00DD5941">
              <w:rPr>
                <w:color w:val="333333"/>
                <w:lang w:val="uk-UA" w:eastAsia="uk-UA"/>
              </w:rPr>
              <w:t xml:space="preserve">аналізу фактичних даних за попередні періоди виходячи з особливостей роботи генеруючого обладнання та устаткування конкретного ліцензіата, режимів роботи генеруючого обладнання та устаткування, можливості використання паливно-енергетичних ресурсів з найменшою вартістю </w:t>
            </w:r>
            <w:r w:rsidRPr="00DD5941">
              <w:rPr>
                <w:b/>
                <w:color w:val="333333"/>
                <w:lang w:val="uk-UA" w:eastAsia="uk-UA"/>
              </w:rPr>
              <w:t>для досягнення найнижчої собівартості,</w:t>
            </w:r>
            <w:r w:rsidRPr="00DD5941">
              <w:rPr>
                <w:color w:val="333333"/>
                <w:lang w:val="uk-UA" w:eastAsia="uk-UA"/>
              </w:rPr>
              <w:t xml:space="preserve"> технічного стану чи технічної </w:t>
            </w:r>
            <w:r w:rsidRPr="00DD5941">
              <w:rPr>
                <w:color w:val="333333"/>
                <w:lang w:val="uk-UA" w:eastAsia="uk-UA"/>
              </w:rPr>
              <w:lastRenderedPageBreak/>
              <w:t>можливості роботи генеруючого обладнання та устаткування (значення максимального та мінімального навантажень котлів і турбін, характер добового графіка зміни навантаження, старіння устаткування, освоєння введеного устаткування, структура і якість спалюваного палива, температура зовнішнього повітря, температура охолоджувальної води на вході в конденсатори турбін тощо), а також інших зовнішніх факторів.</w:t>
            </w:r>
          </w:p>
          <w:p w14:paraId="3B82A809" w14:textId="77777777" w:rsidR="00632BEB" w:rsidRPr="00DD5941" w:rsidRDefault="00632BEB" w:rsidP="00CC6BE5">
            <w:pPr>
              <w:pStyle w:val="rvps2"/>
              <w:shd w:val="clear" w:color="auto" w:fill="FFFFFF"/>
              <w:ind w:firstLine="709"/>
              <w:rPr>
                <w:lang w:val="uk-UA"/>
              </w:rPr>
            </w:pPr>
          </w:p>
          <w:p w14:paraId="123E54C9" w14:textId="77777777" w:rsidR="00632BEB" w:rsidRPr="00DD5941" w:rsidRDefault="00632BEB" w:rsidP="00CC6BE5">
            <w:pPr>
              <w:pStyle w:val="rvps2"/>
              <w:shd w:val="clear" w:color="auto" w:fill="FFFFFF"/>
              <w:ind w:firstLine="709"/>
              <w:rPr>
                <w:lang w:val="uk-UA"/>
              </w:rPr>
            </w:pPr>
          </w:p>
          <w:p w14:paraId="5B40901B" w14:textId="77777777" w:rsidR="00632BEB" w:rsidRPr="00DD5941" w:rsidRDefault="00632BEB" w:rsidP="00CC6BE5">
            <w:pPr>
              <w:pStyle w:val="rvps2"/>
              <w:shd w:val="clear" w:color="auto" w:fill="FFFFFF"/>
              <w:ind w:firstLine="709"/>
              <w:rPr>
                <w:lang w:val="uk-UA"/>
              </w:rPr>
            </w:pPr>
          </w:p>
          <w:p w14:paraId="32593234" w14:textId="77777777" w:rsidR="00632BEB" w:rsidRPr="00DD5941" w:rsidRDefault="00632BEB" w:rsidP="00CC6BE5">
            <w:pPr>
              <w:pStyle w:val="rvps2"/>
              <w:shd w:val="clear" w:color="auto" w:fill="FFFFFF"/>
              <w:ind w:firstLine="709"/>
              <w:rPr>
                <w:lang w:val="uk-UA"/>
              </w:rPr>
            </w:pPr>
          </w:p>
          <w:p w14:paraId="2E2CD90F" w14:textId="77777777" w:rsidR="00632BEB" w:rsidRPr="00DD5941" w:rsidRDefault="00632BEB" w:rsidP="00CC6BE5">
            <w:pPr>
              <w:pStyle w:val="rvps2"/>
              <w:shd w:val="clear" w:color="auto" w:fill="FFFFFF"/>
              <w:ind w:firstLine="709"/>
              <w:rPr>
                <w:lang w:val="uk-UA"/>
              </w:rPr>
            </w:pPr>
          </w:p>
          <w:p w14:paraId="722E191F" w14:textId="77777777" w:rsidR="00632BEB" w:rsidRPr="00DD5941" w:rsidRDefault="00632BEB" w:rsidP="00CC6BE5">
            <w:pPr>
              <w:pStyle w:val="rvps2"/>
              <w:shd w:val="clear" w:color="auto" w:fill="FFFFFF"/>
              <w:ind w:firstLine="709"/>
              <w:rPr>
                <w:lang w:val="uk-UA"/>
              </w:rPr>
            </w:pPr>
          </w:p>
          <w:p w14:paraId="61A9DBA3" w14:textId="77777777" w:rsidR="00632BEB" w:rsidRPr="00DD5941" w:rsidRDefault="00632BEB" w:rsidP="00CC6BE5">
            <w:pPr>
              <w:pStyle w:val="rvps2"/>
              <w:shd w:val="clear" w:color="auto" w:fill="FFFFFF"/>
              <w:ind w:firstLine="709"/>
              <w:rPr>
                <w:lang w:val="uk-UA"/>
              </w:rPr>
            </w:pPr>
          </w:p>
          <w:p w14:paraId="79F62B57" w14:textId="77777777" w:rsidR="00632BEB" w:rsidRPr="00DD5941" w:rsidRDefault="00632BEB" w:rsidP="00CC6BE5">
            <w:pPr>
              <w:pStyle w:val="rvps2"/>
              <w:shd w:val="clear" w:color="auto" w:fill="FFFFFF"/>
              <w:ind w:firstLine="709"/>
              <w:rPr>
                <w:lang w:val="uk-UA"/>
              </w:rPr>
            </w:pPr>
          </w:p>
          <w:p w14:paraId="66C715E4" w14:textId="77777777" w:rsidR="00632BEB" w:rsidRPr="00DD5941" w:rsidRDefault="00632BEB" w:rsidP="00CC6BE5">
            <w:pPr>
              <w:pStyle w:val="rvps2"/>
              <w:shd w:val="clear" w:color="auto" w:fill="FFFFFF"/>
              <w:ind w:firstLine="709"/>
              <w:rPr>
                <w:lang w:val="uk-UA"/>
              </w:rPr>
            </w:pPr>
          </w:p>
          <w:p w14:paraId="51637799" w14:textId="77777777" w:rsidR="00632BEB" w:rsidRPr="00DD5941" w:rsidRDefault="00632BEB" w:rsidP="00CC6BE5">
            <w:pPr>
              <w:pStyle w:val="rvps2"/>
              <w:shd w:val="clear" w:color="auto" w:fill="FFFFFF"/>
              <w:ind w:firstLine="709"/>
              <w:rPr>
                <w:lang w:val="uk-UA"/>
              </w:rPr>
            </w:pPr>
          </w:p>
          <w:p w14:paraId="663AB3A9" w14:textId="77777777" w:rsidR="00632BEB" w:rsidRPr="00DD5941" w:rsidRDefault="00632BEB" w:rsidP="00CC6BE5">
            <w:pPr>
              <w:pStyle w:val="rvps2"/>
              <w:shd w:val="clear" w:color="auto" w:fill="FFFFFF"/>
              <w:ind w:firstLine="709"/>
              <w:rPr>
                <w:lang w:val="uk-UA"/>
              </w:rPr>
            </w:pPr>
          </w:p>
          <w:p w14:paraId="4F7CF2CE" w14:textId="77777777" w:rsidR="00632BEB" w:rsidRPr="00DD5941" w:rsidRDefault="00632BEB" w:rsidP="00CC6BE5">
            <w:pPr>
              <w:pStyle w:val="rvps2"/>
              <w:shd w:val="clear" w:color="auto" w:fill="FFFFFF"/>
              <w:ind w:firstLine="709"/>
              <w:rPr>
                <w:lang w:val="uk-UA"/>
              </w:rPr>
            </w:pPr>
          </w:p>
          <w:p w14:paraId="2EBA85E6" w14:textId="77777777" w:rsidR="00632BEB" w:rsidRPr="00DD5941" w:rsidRDefault="00632BEB" w:rsidP="00CC6BE5">
            <w:pPr>
              <w:pStyle w:val="rvps2"/>
              <w:shd w:val="clear" w:color="auto" w:fill="FFFFFF"/>
              <w:ind w:firstLine="709"/>
              <w:rPr>
                <w:lang w:val="uk-UA"/>
              </w:rPr>
            </w:pPr>
          </w:p>
          <w:p w14:paraId="1E32AE2E" w14:textId="77777777" w:rsidR="00632BEB" w:rsidRPr="00DD5941" w:rsidRDefault="00632BEB" w:rsidP="00CC6BE5">
            <w:pPr>
              <w:pStyle w:val="rvps2"/>
              <w:shd w:val="clear" w:color="auto" w:fill="FFFFFF"/>
              <w:ind w:firstLine="709"/>
              <w:rPr>
                <w:lang w:val="uk-UA"/>
              </w:rPr>
            </w:pPr>
          </w:p>
          <w:p w14:paraId="4E643DB1" w14:textId="77777777" w:rsidR="00632BEB" w:rsidRPr="00DD5941" w:rsidRDefault="00632BEB" w:rsidP="00CC6BE5">
            <w:pPr>
              <w:pStyle w:val="rvps2"/>
              <w:shd w:val="clear" w:color="auto" w:fill="FFFFFF"/>
              <w:ind w:firstLine="709"/>
              <w:rPr>
                <w:lang w:val="uk-UA"/>
              </w:rPr>
            </w:pPr>
          </w:p>
          <w:p w14:paraId="62992D86" w14:textId="77777777" w:rsidR="00632BEB" w:rsidRPr="00DD5941" w:rsidRDefault="00632BEB" w:rsidP="00CC6BE5">
            <w:pPr>
              <w:pStyle w:val="rvps2"/>
              <w:shd w:val="clear" w:color="auto" w:fill="FFFFFF"/>
              <w:ind w:firstLine="709"/>
              <w:rPr>
                <w:lang w:val="uk-UA"/>
              </w:rPr>
            </w:pPr>
          </w:p>
          <w:p w14:paraId="6DE57F9B" w14:textId="77777777" w:rsidR="00632BEB" w:rsidRPr="00DD5941" w:rsidRDefault="00632BEB" w:rsidP="00CC6BE5">
            <w:pPr>
              <w:pStyle w:val="rvps2"/>
              <w:shd w:val="clear" w:color="auto" w:fill="FFFFFF"/>
              <w:ind w:firstLine="709"/>
              <w:rPr>
                <w:lang w:val="uk-UA"/>
              </w:rPr>
            </w:pPr>
          </w:p>
          <w:p w14:paraId="4E2D1B1E" w14:textId="77777777" w:rsidR="00632BEB" w:rsidRPr="00DD5941" w:rsidRDefault="00632BEB" w:rsidP="00CC6BE5">
            <w:pPr>
              <w:pStyle w:val="rvps2"/>
              <w:shd w:val="clear" w:color="auto" w:fill="FFFFFF"/>
              <w:ind w:firstLine="709"/>
              <w:rPr>
                <w:lang w:val="uk-UA"/>
              </w:rPr>
            </w:pPr>
          </w:p>
          <w:p w14:paraId="555B40CA" w14:textId="77777777" w:rsidR="00632BEB" w:rsidRPr="00DD5941" w:rsidRDefault="00632BEB" w:rsidP="00CC6BE5">
            <w:pPr>
              <w:pStyle w:val="rvps2"/>
              <w:shd w:val="clear" w:color="auto" w:fill="FFFFFF"/>
              <w:ind w:firstLine="709"/>
              <w:rPr>
                <w:lang w:val="uk-UA"/>
              </w:rPr>
            </w:pPr>
          </w:p>
          <w:p w14:paraId="06105EEC" w14:textId="77777777" w:rsidR="00632BEB" w:rsidRPr="00DD5941" w:rsidRDefault="00632BEB" w:rsidP="00CC6BE5">
            <w:pPr>
              <w:pStyle w:val="rvps2"/>
              <w:shd w:val="clear" w:color="auto" w:fill="FFFFFF"/>
              <w:ind w:firstLine="709"/>
              <w:rPr>
                <w:lang w:val="uk-UA"/>
              </w:rPr>
            </w:pPr>
          </w:p>
          <w:p w14:paraId="1876429C" w14:textId="77777777" w:rsidR="00632BEB" w:rsidRPr="00DD5941" w:rsidRDefault="00632BEB" w:rsidP="00CC6BE5">
            <w:pPr>
              <w:pStyle w:val="rvps2"/>
              <w:shd w:val="clear" w:color="auto" w:fill="FFFFFF"/>
              <w:ind w:firstLine="709"/>
              <w:rPr>
                <w:lang w:val="uk-UA"/>
              </w:rPr>
            </w:pPr>
          </w:p>
          <w:p w14:paraId="1720924B" w14:textId="77777777" w:rsidR="00632BEB" w:rsidRPr="00DD5941" w:rsidRDefault="00632BEB" w:rsidP="00CC6BE5">
            <w:pPr>
              <w:pStyle w:val="rvps2"/>
              <w:shd w:val="clear" w:color="auto" w:fill="FFFFFF"/>
              <w:ind w:firstLine="709"/>
              <w:rPr>
                <w:lang w:val="uk-UA"/>
              </w:rPr>
            </w:pPr>
          </w:p>
          <w:p w14:paraId="255E1FC8" w14:textId="77777777" w:rsidR="00632BEB" w:rsidRPr="00DD5941" w:rsidRDefault="00632BEB" w:rsidP="00CC6BE5">
            <w:pPr>
              <w:pStyle w:val="rvps2"/>
              <w:shd w:val="clear" w:color="auto" w:fill="FFFFFF"/>
              <w:ind w:firstLine="709"/>
              <w:rPr>
                <w:lang w:val="uk-UA"/>
              </w:rPr>
            </w:pPr>
          </w:p>
          <w:p w14:paraId="489826D6" w14:textId="77777777" w:rsidR="00632BEB" w:rsidRPr="00DD5941" w:rsidRDefault="00632BEB" w:rsidP="00CC6BE5">
            <w:pPr>
              <w:pStyle w:val="rvps2"/>
              <w:shd w:val="clear" w:color="auto" w:fill="FFFFFF"/>
              <w:ind w:firstLine="709"/>
              <w:rPr>
                <w:lang w:val="uk-UA"/>
              </w:rPr>
            </w:pPr>
          </w:p>
          <w:p w14:paraId="52BABC39" w14:textId="77777777" w:rsidR="00632BEB" w:rsidRPr="00DD5941" w:rsidRDefault="00632BEB" w:rsidP="00CC6BE5">
            <w:pPr>
              <w:pStyle w:val="rvps2"/>
              <w:shd w:val="clear" w:color="auto" w:fill="FFFFFF"/>
              <w:ind w:firstLine="709"/>
              <w:rPr>
                <w:lang w:val="uk-UA"/>
              </w:rPr>
            </w:pPr>
          </w:p>
          <w:p w14:paraId="3522D148" w14:textId="77777777" w:rsidR="00632BEB" w:rsidRPr="00DD5941" w:rsidRDefault="00632BEB" w:rsidP="00CC6BE5">
            <w:pPr>
              <w:pStyle w:val="rvps2"/>
              <w:shd w:val="clear" w:color="auto" w:fill="FFFFFF"/>
              <w:ind w:firstLine="709"/>
              <w:rPr>
                <w:lang w:val="uk-UA"/>
              </w:rPr>
            </w:pPr>
          </w:p>
          <w:p w14:paraId="4E904FFA" w14:textId="77777777" w:rsidR="00632BEB" w:rsidRPr="00DD5941" w:rsidRDefault="00632BEB" w:rsidP="00CC6BE5">
            <w:pPr>
              <w:pStyle w:val="rvps2"/>
              <w:shd w:val="clear" w:color="auto" w:fill="FFFFFF"/>
              <w:ind w:firstLine="709"/>
              <w:rPr>
                <w:lang w:val="uk-UA"/>
              </w:rPr>
            </w:pPr>
          </w:p>
          <w:p w14:paraId="1CE5F37A" w14:textId="77777777" w:rsidR="00632BEB" w:rsidRPr="00DD5941" w:rsidRDefault="00632BEB" w:rsidP="00CC6BE5">
            <w:pPr>
              <w:pStyle w:val="rvps2"/>
              <w:shd w:val="clear" w:color="auto" w:fill="FFFFFF"/>
              <w:ind w:firstLine="709"/>
              <w:rPr>
                <w:lang w:val="uk-UA"/>
              </w:rPr>
            </w:pPr>
          </w:p>
          <w:p w14:paraId="531CA133" w14:textId="77777777" w:rsidR="00632BEB" w:rsidRPr="00DD5941" w:rsidRDefault="00632BEB" w:rsidP="00CC6BE5">
            <w:pPr>
              <w:pStyle w:val="rvps2"/>
              <w:shd w:val="clear" w:color="auto" w:fill="FFFFFF"/>
              <w:ind w:firstLine="709"/>
              <w:rPr>
                <w:lang w:val="uk-UA"/>
              </w:rPr>
            </w:pPr>
          </w:p>
          <w:p w14:paraId="01052666" w14:textId="77777777" w:rsidR="00632BEB" w:rsidRPr="00DD5941" w:rsidRDefault="00632BEB" w:rsidP="00CC6BE5">
            <w:pPr>
              <w:pStyle w:val="rvps2"/>
              <w:shd w:val="clear" w:color="auto" w:fill="FFFFFF"/>
              <w:ind w:firstLine="709"/>
              <w:rPr>
                <w:lang w:val="uk-UA"/>
              </w:rPr>
            </w:pPr>
          </w:p>
          <w:p w14:paraId="11C95E31" w14:textId="77777777" w:rsidR="00632BEB" w:rsidRPr="00DD5941" w:rsidRDefault="00632BEB" w:rsidP="00CC6BE5">
            <w:pPr>
              <w:pStyle w:val="rvps2"/>
              <w:shd w:val="clear" w:color="auto" w:fill="FFFFFF"/>
              <w:ind w:firstLine="709"/>
              <w:rPr>
                <w:lang w:val="uk-UA"/>
              </w:rPr>
            </w:pPr>
          </w:p>
          <w:p w14:paraId="3014B05C" w14:textId="77777777" w:rsidR="00632BEB" w:rsidRPr="00DD5941" w:rsidRDefault="00632BEB" w:rsidP="00CC6BE5">
            <w:pPr>
              <w:pStyle w:val="rvps2"/>
              <w:shd w:val="clear" w:color="auto" w:fill="FFFFFF"/>
              <w:ind w:firstLine="709"/>
              <w:rPr>
                <w:lang w:val="uk-UA"/>
              </w:rPr>
            </w:pPr>
          </w:p>
          <w:p w14:paraId="3DDF461E" w14:textId="77777777" w:rsidR="00632BEB" w:rsidRPr="00DD5941" w:rsidRDefault="00632BEB" w:rsidP="00CC6BE5">
            <w:pPr>
              <w:pStyle w:val="rvps2"/>
              <w:shd w:val="clear" w:color="auto" w:fill="FFFFFF"/>
              <w:ind w:firstLine="709"/>
              <w:rPr>
                <w:lang w:val="uk-UA"/>
              </w:rPr>
            </w:pPr>
          </w:p>
          <w:p w14:paraId="2603EF0B" w14:textId="77777777" w:rsidR="00632BEB" w:rsidRPr="00DD5941" w:rsidRDefault="00632BEB" w:rsidP="00CC6BE5">
            <w:pPr>
              <w:pStyle w:val="rvps2"/>
              <w:shd w:val="clear" w:color="auto" w:fill="FFFFFF"/>
              <w:ind w:firstLine="709"/>
              <w:rPr>
                <w:lang w:val="uk-UA"/>
              </w:rPr>
            </w:pPr>
          </w:p>
          <w:p w14:paraId="26E33847" w14:textId="77777777" w:rsidR="00632BEB" w:rsidRPr="00DD5941" w:rsidRDefault="00632BEB" w:rsidP="00CC6BE5">
            <w:pPr>
              <w:pStyle w:val="rvps2"/>
              <w:shd w:val="clear" w:color="auto" w:fill="FFFFFF"/>
              <w:ind w:firstLine="709"/>
              <w:rPr>
                <w:lang w:val="uk-UA"/>
              </w:rPr>
            </w:pPr>
          </w:p>
          <w:p w14:paraId="0011787E" w14:textId="77777777" w:rsidR="00632BEB" w:rsidRPr="00DD5941" w:rsidRDefault="00632BEB" w:rsidP="00CC6BE5">
            <w:pPr>
              <w:pStyle w:val="rvps2"/>
              <w:shd w:val="clear" w:color="auto" w:fill="FFFFFF"/>
              <w:ind w:firstLine="709"/>
              <w:rPr>
                <w:lang w:val="uk-UA"/>
              </w:rPr>
            </w:pPr>
          </w:p>
          <w:p w14:paraId="21C03922" w14:textId="77777777" w:rsidR="00632BEB" w:rsidRPr="00DD5941" w:rsidRDefault="00632BEB" w:rsidP="00CC6BE5">
            <w:pPr>
              <w:pStyle w:val="rvps2"/>
              <w:shd w:val="clear" w:color="auto" w:fill="FFFFFF"/>
              <w:ind w:firstLine="709"/>
              <w:rPr>
                <w:lang w:val="uk-UA"/>
              </w:rPr>
            </w:pPr>
          </w:p>
          <w:p w14:paraId="0600941B" w14:textId="77777777" w:rsidR="00632BEB" w:rsidRPr="00DD5941" w:rsidRDefault="00632BEB" w:rsidP="00CC6BE5">
            <w:pPr>
              <w:pStyle w:val="rvps2"/>
              <w:shd w:val="clear" w:color="auto" w:fill="FFFFFF"/>
              <w:ind w:firstLine="709"/>
              <w:rPr>
                <w:lang w:val="uk-UA"/>
              </w:rPr>
            </w:pPr>
          </w:p>
          <w:p w14:paraId="7B53A3CB" w14:textId="77777777" w:rsidR="00632BEB" w:rsidRPr="00DD5941" w:rsidRDefault="00632BEB" w:rsidP="00CC6BE5">
            <w:pPr>
              <w:pStyle w:val="rvps2"/>
              <w:shd w:val="clear" w:color="auto" w:fill="FFFFFF"/>
              <w:ind w:firstLine="709"/>
              <w:rPr>
                <w:lang w:val="uk-UA"/>
              </w:rPr>
            </w:pPr>
          </w:p>
          <w:p w14:paraId="1BB0237A" w14:textId="77777777" w:rsidR="00632BEB" w:rsidRPr="00DD5941" w:rsidRDefault="00632BEB" w:rsidP="00CC6BE5">
            <w:pPr>
              <w:pStyle w:val="rvps2"/>
              <w:shd w:val="clear" w:color="auto" w:fill="FFFFFF"/>
              <w:ind w:firstLine="709"/>
              <w:rPr>
                <w:lang w:val="uk-UA"/>
              </w:rPr>
            </w:pPr>
          </w:p>
          <w:p w14:paraId="74C81725" w14:textId="77777777" w:rsidR="00632BEB" w:rsidRPr="00DD5941" w:rsidRDefault="00632BEB" w:rsidP="00CC6BE5">
            <w:pPr>
              <w:pStyle w:val="rvps2"/>
              <w:shd w:val="clear" w:color="auto" w:fill="FFFFFF"/>
              <w:ind w:firstLine="709"/>
              <w:rPr>
                <w:lang w:val="uk-UA"/>
              </w:rPr>
            </w:pPr>
          </w:p>
          <w:p w14:paraId="45AFED12" w14:textId="77777777" w:rsidR="00632BEB" w:rsidRPr="00DD5941" w:rsidRDefault="00632BEB" w:rsidP="00CC6BE5">
            <w:pPr>
              <w:pStyle w:val="rvps2"/>
              <w:shd w:val="clear" w:color="auto" w:fill="FFFFFF"/>
              <w:ind w:firstLine="709"/>
              <w:rPr>
                <w:lang w:val="uk-UA"/>
              </w:rPr>
            </w:pPr>
          </w:p>
          <w:p w14:paraId="2828087E" w14:textId="77777777" w:rsidR="00632BEB" w:rsidRPr="00DD5941" w:rsidRDefault="00632BEB" w:rsidP="00CC6BE5">
            <w:pPr>
              <w:pStyle w:val="rvps2"/>
              <w:shd w:val="clear" w:color="auto" w:fill="FFFFFF"/>
              <w:ind w:firstLine="709"/>
              <w:rPr>
                <w:lang w:val="uk-UA"/>
              </w:rPr>
            </w:pPr>
          </w:p>
          <w:p w14:paraId="373401AF" w14:textId="77777777" w:rsidR="00632BEB" w:rsidRPr="00DD5941" w:rsidRDefault="00632BEB" w:rsidP="00CC6BE5">
            <w:pPr>
              <w:pStyle w:val="rvps2"/>
              <w:shd w:val="clear" w:color="auto" w:fill="FFFFFF"/>
              <w:ind w:firstLine="709"/>
              <w:rPr>
                <w:lang w:val="uk-UA"/>
              </w:rPr>
            </w:pPr>
          </w:p>
          <w:p w14:paraId="403C897B" w14:textId="77777777" w:rsidR="00632BEB" w:rsidRPr="00DD5941" w:rsidRDefault="00632BEB" w:rsidP="00CC6BE5">
            <w:pPr>
              <w:pStyle w:val="rvps2"/>
              <w:shd w:val="clear" w:color="auto" w:fill="FFFFFF"/>
              <w:ind w:firstLine="709"/>
              <w:rPr>
                <w:lang w:val="uk-UA"/>
              </w:rPr>
            </w:pPr>
          </w:p>
          <w:p w14:paraId="741C655B" w14:textId="77777777" w:rsidR="00632BEB" w:rsidRPr="00DD5941" w:rsidRDefault="00632BEB" w:rsidP="00CC6BE5">
            <w:pPr>
              <w:pStyle w:val="rvps2"/>
              <w:shd w:val="clear" w:color="auto" w:fill="FFFFFF"/>
              <w:ind w:firstLine="709"/>
              <w:rPr>
                <w:lang w:val="uk-UA"/>
              </w:rPr>
            </w:pPr>
          </w:p>
          <w:p w14:paraId="605D07EB" w14:textId="77777777" w:rsidR="00632BEB" w:rsidRPr="00DD5941" w:rsidRDefault="00632BEB" w:rsidP="00CC6BE5">
            <w:pPr>
              <w:pStyle w:val="rvps2"/>
              <w:shd w:val="clear" w:color="auto" w:fill="FFFFFF"/>
              <w:ind w:firstLine="709"/>
              <w:rPr>
                <w:lang w:val="uk-UA"/>
              </w:rPr>
            </w:pPr>
          </w:p>
          <w:p w14:paraId="2FBF32BC" w14:textId="77777777" w:rsidR="00632BEB" w:rsidRPr="00DD5941" w:rsidRDefault="00632BEB" w:rsidP="00CC6BE5">
            <w:pPr>
              <w:pStyle w:val="rvps2"/>
              <w:shd w:val="clear" w:color="auto" w:fill="FFFFFF"/>
              <w:ind w:firstLine="709"/>
              <w:rPr>
                <w:lang w:val="uk-UA"/>
              </w:rPr>
            </w:pPr>
          </w:p>
          <w:p w14:paraId="01B4CE19" w14:textId="77777777" w:rsidR="00632BEB" w:rsidRPr="00DD5941" w:rsidRDefault="00632BEB" w:rsidP="00CC6BE5">
            <w:pPr>
              <w:pStyle w:val="rvps2"/>
              <w:shd w:val="clear" w:color="auto" w:fill="FFFFFF"/>
              <w:ind w:firstLine="709"/>
              <w:rPr>
                <w:lang w:val="uk-UA"/>
              </w:rPr>
            </w:pPr>
          </w:p>
          <w:p w14:paraId="683B4ECA" w14:textId="77777777" w:rsidR="00632BEB" w:rsidRPr="00DD5941" w:rsidRDefault="00632BEB" w:rsidP="00CC6BE5">
            <w:pPr>
              <w:pStyle w:val="rvps2"/>
              <w:shd w:val="clear" w:color="auto" w:fill="FFFFFF"/>
              <w:ind w:firstLine="709"/>
              <w:rPr>
                <w:lang w:val="uk-UA"/>
              </w:rPr>
            </w:pPr>
          </w:p>
          <w:p w14:paraId="3708FD9F" w14:textId="77777777" w:rsidR="00632BEB" w:rsidRPr="00DD5941" w:rsidRDefault="00632BEB" w:rsidP="00CC6BE5">
            <w:pPr>
              <w:pStyle w:val="rvps2"/>
              <w:shd w:val="clear" w:color="auto" w:fill="FFFFFF"/>
              <w:ind w:firstLine="709"/>
              <w:rPr>
                <w:lang w:val="uk-UA"/>
              </w:rPr>
            </w:pPr>
          </w:p>
          <w:p w14:paraId="052781AE" w14:textId="77777777" w:rsidR="00632BEB" w:rsidRPr="00DD5941" w:rsidRDefault="00632BEB" w:rsidP="00CC6BE5">
            <w:pPr>
              <w:pStyle w:val="rvps2"/>
              <w:shd w:val="clear" w:color="auto" w:fill="FFFFFF"/>
              <w:ind w:firstLine="709"/>
              <w:rPr>
                <w:lang w:val="uk-UA"/>
              </w:rPr>
            </w:pPr>
          </w:p>
          <w:p w14:paraId="31100F85" w14:textId="77777777" w:rsidR="00632BEB" w:rsidRPr="00DD5941" w:rsidRDefault="00632BEB" w:rsidP="00CC6BE5">
            <w:pPr>
              <w:pStyle w:val="rvps2"/>
              <w:shd w:val="clear" w:color="auto" w:fill="FFFFFF"/>
              <w:ind w:firstLine="709"/>
              <w:rPr>
                <w:lang w:val="uk-UA"/>
              </w:rPr>
            </w:pPr>
          </w:p>
          <w:p w14:paraId="6634B55F" w14:textId="77777777" w:rsidR="00632BEB" w:rsidRPr="00DD5941" w:rsidRDefault="00632BEB" w:rsidP="00CC6BE5">
            <w:pPr>
              <w:pStyle w:val="rvps2"/>
              <w:shd w:val="clear" w:color="auto" w:fill="FFFFFF"/>
              <w:ind w:firstLine="709"/>
              <w:rPr>
                <w:lang w:val="uk-UA"/>
              </w:rPr>
            </w:pPr>
          </w:p>
          <w:p w14:paraId="31F572CB" w14:textId="77777777" w:rsidR="00632BEB" w:rsidRPr="00DD5941" w:rsidRDefault="00632BEB" w:rsidP="00CC6BE5">
            <w:pPr>
              <w:pStyle w:val="rvps2"/>
              <w:shd w:val="clear" w:color="auto" w:fill="FFFFFF"/>
              <w:ind w:firstLine="709"/>
              <w:rPr>
                <w:lang w:val="uk-UA"/>
              </w:rPr>
            </w:pPr>
          </w:p>
          <w:p w14:paraId="60FFF5EC" w14:textId="77777777" w:rsidR="00632BEB" w:rsidRPr="00DD5941" w:rsidRDefault="00632BEB" w:rsidP="00CC6BE5">
            <w:pPr>
              <w:pStyle w:val="rvps2"/>
              <w:shd w:val="clear" w:color="auto" w:fill="FFFFFF"/>
              <w:ind w:firstLine="709"/>
              <w:rPr>
                <w:lang w:val="uk-UA"/>
              </w:rPr>
            </w:pPr>
          </w:p>
          <w:p w14:paraId="14CDB5D9" w14:textId="77777777" w:rsidR="00632BEB" w:rsidRPr="00DD5941" w:rsidRDefault="00632BEB" w:rsidP="00CC6BE5">
            <w:pPr>
              <w:pStyle w:val="rvps2"/>
              <w:shd w:val="clear" w:color="auto" w:fill="FFFFFF"/>
              <w:ind w:firstLine="709"/>
              <w:rPr>
                <w:lang w:val="uk-UA"/>
              </w:rPr>
            </w:pPr>
          </w:p>
          <w:p w14:paraId="6EC3AB56" w14:textId="77777777" w:rsidR="00632BEB" w:rsidRPr="00DD5941" w:rsidRDefault="00632BEB" w:rsidP="00CC6BE5">
            <w:pPr>
              <w:pStyle w:val="rvps2"/>
              <w:shd w:val="clear" w:color="auto" w:fill="FFFFFF"/>
              <w:ind w:firstLine="709"/>
              <w:rPr>
                <w:lang w:val="uk-UA"/>
              </w:rPr>
            </w:pPr>
          </w:p>
          <w:p w14:paraId="4ABBFC52" w14:textId="77777777" w:rsidR="00632BEB" w:rsidRPr="00DD5941" w:rsidRDefault="00632BEB" w:rsidP="00CC6BE5">
            <w:pPr>
              <w:pStyle w:val="rvps2"/>
              <w:shd w:val="clear" w:color="auto" w:fill="FFFFFF"/>
              <w:ind w:firstLine="709"/>
              <w:rPr>
                <w:lang w:val="uk-UA"/>
              </w:rPr>
            </w:pPr>
          </w:p>
          <w:p w14:paraId="278DF723" w14:textId="77777777" w:rsidR="00632BEB" w:rsidRPr="00DD5941" w:rsidRDefault="00632BEB" w:rsidP="00CC6BE5">
            <w:pPr>
              <w:pStyle w:val="rvps2"/>
              <w:shd w:val="clear" w:color="auto" w:fill="FFFFFF"/>
              <w:ind w:firstLine="709"/>
              <w:rPr>
                <w:lang w:val="uk-UA"/>
              </w:rPr>
            </w:pPr>
          </w:p>
          <w:p w14:paraId="46A0E58F" w14:textId="77777777" w:rsidR="00632BEB" w:rsidRPr="00DD5941" w:rsidRDefault="00632BEB" w:rsidP="00CC6BE5">
            <w:pPr>
              <w:pStyle w:val="rvps2"/>
              <w:shd w:val="clear" w:color="auto" w:fill="FFFFFF"/>
              <w:ind w:firstLine="709"/>
              <w:rPr>
                <w:lang w:val="uk-UA"/>
              </w:rPr>
            </w:pPr>
          </w:p>
          <w:p w14:paraId="27CF7510" w14:textId="77777777" w:rsidR="00632BEB" w:rsidRPr="00DD5941" w:rsidRDefault="00632BEB" w:rsidP="00CC6BE5">
            <w:pPr>
              <w:pStyle w:val="rvps2"/>
              <w:shd w:val="clear" w:color="auto" w:fill="FFFFFF"/>
              <w:ind w:firstLine="709"/>
              <w:rPr>
                <w:lang w:val="uk-UA"/>
              </w:rPr>
            </w:pPr>
          </w:p>
          <w:p w14:paraId="65D5604D" w14:textId="77777777" w:rsidR="00632BEB" w:rsidRPr="00DD5941" w:rsidRDefault="00632BEB" w:rsidP="00CC6BE5">
            <w:pPr>
              <w:pStyle w:val="rvps2"/>
              <w:shd w:val="clear" w:color="auto" w:fill="FFFFFF"/>
              <w:ind w:firstLine="709"/>
              <w:rPr>
                <w:lang w:val="uk-UA"/>
              </w:rPr>
            </w:pPr>
          </w:p>
          <w:p w14:paraId="2F2DA835" w14:textId="77777777" w:rsidR="00632BEB" w:rsidRPr="00DD5941" w:rsidRDefault="00632BEB" w:rsidP="00CC6BE5">
            <w:pPr>
              <w:pStyle w:val="rvps2"/>
              <w:shd w:val="clear" w:color="auto" w:fill="FFFFFF"/>
              <w:ind w:firstLine="709"/>
              <w:rPr>
                <w:lang w:val="uk-UA"/>
              </w:rPr>
            </w:pPr>
          </w:p>
          <w:p w14:paraId="117279DF" w14:textId="08C59EFB" w:rsidR="00632BEB" w:rsidRPr="00DD5941" w:rsidRDefault="00632BEB" w:rsidP="00A00C8F">
            <w:pPr>
              <w:pStyle w:val="rvps2"/>
              <w:shd w:val="clear" w:color="auto" w:fill="FFFFFF"/>
              <w:ind w:firstLine="0"/>
              <w:rPr>
                <w:b/>
                <w:bCs/>
                <w:lang w:val="uk-UA"/>
              </w:rPr>
            </w:pPr>
          </w:p>
        </w:tc>
        <w:tc>
          <w:tcPr>
            <w:tcW w:w="5529" w:type="dxa"/>
            <w:gridSpan w:val="2"/>
            <w:shd w:val="clear" w:color="auto" w:fill="auto"/>
            <w:tcMar>
              <w:top w:w="100" w:type="dxa"/>
              <w:left w:w="100" w:type="dxa"/>
              <w:bottom w:w="100" w:type="dxa"/>
              <w:right w:w="100" w:type="dxa"/>
            </w:tcMar>
          </w:tcPr>
          <w:p w14:paraId="1B199129" w14:textId="20AEF07B" w:rsidR="00632BEB" w:rsidRPr="00DD5941" w:rsidRDefault="00632BEB" w:rsidP="00FB5CB9">
            <w:pPr>
              <w:spacing w:line="240" w:lineRule="auto"/>
              <w:contextualSpacing/>
              <w:jc w:val="both"/>
              <w:rPr>
                <w:rFonts w:ascii="Times New Roman" w:hAnsi="Times New Roman" w:cs="Times New Roman"/>
                <w:sz w:val="24"/>
                <w:szCs w:val="24"/>
                <w:lang w:val="uk-UA" w:eastAsia="ru-RU"/>
              </w:rPr>
            </w:pPr>
            <w:r w:rsidRPr="0005533E">
              <w:rPr>
                <w:rFonts w:ascii="Times New Roman" w:hAnsi="Times New Roman" w:cs="Times New Roman"/>
                <w:sz w:val="24"/>
                <w:szCs w:val="24"/>
                <w:highlight w:val="lightGray"/>
                <w:lang w:val="uk-UA" w:eastAsia="ru-RU"/>
              </w:rPr>
              <w:lastRenderedPageBreak/>
              <w:t>(Асоціація «УКРТЕЦ», ТОВ «НАФТОГАЗ ТЕПЛО»)</w:t>
            </w:r>
          </w:p>
          <w:p w14:paraId="65F5B03E" w14:textId="1A3DB59B" w:rsidR="00632BEB" w:rsidRPr="00DD5941" w:rsidRDefault="006913A7" w:rsidP="00CC6BE5">
            <w:pPr>
              <w:shd w:val="clear" w:color="auto" w:fill="FFFFFF"/>
              <w:spacing w:line="240" w:lineRule="auto"/>
              <w:ind w:firstLine="450"/>
              <w:jc w:val="both"/>
              <w:rPr>
                <w:rFonts w:ascii="Times New Roman" w:eastAsia="Times New Roman" w:hAnsi="Times New Roman" w:cs="Times New Roman"/>
                <w:i/>
                <w:iCs/>
                <w:sz w:val="24"/>
                <w:szCs w:val="24"/>
                <w:lang w:val="uk-UA" w:eastAsia="ru-RU"/>
              </w:rPr>
            </w:pPr>
            <w:r w:rsidRPr="00DD5941">
              <w:rPr>
                <w:rFonts w:ascii="Times New Roman" w:eastAsia="Times New Roman" w:hAnsi="Times New Roman" w:cs="Times New Roman"/>
                <w:i/>
                <w:iCs/>
                <w:sz w:val="24"/>
                <w:szCs w:val="24"/>
                <w:lang w:val="uk-UA" w:eastAsia="ru-RU"/>
              </w:rPr>
              <w:t>Абзац другий п</w:t>
            </w:r>
            <w:r w:rsidR="00632BEB" w:rsidRPr="00DD5941">
              <w:rPr>
                <w:rFonts w:ascii="Times New Roman" w:eastAsia="Times New Roman" w:hAnsi="Times New Roman" w:cs="Times New Roman"/>
                <w:i/>
                <w:iCs/>
                <w:sz w:val="24"/>
                <w:szCs w:val="24"/>
                <w:lang w:val="uk-UA" w:eastAsia="ru-RU"/>
              </w:rPr>
              <w:t xml:space="preserve">ідпункт 1 пункту 3.3 глави 3 викласти в такій редакції: </w:t>
            </w:r>
          </w:p>
          <w:p w14:paraId="28AF18E2" w14:textId="1588CC30" w:rsidR="00632BEB" w:rsidRPr="00DD5941" w:rsidRDefault="00632BEB" w:rsidP="00CC6BE5">
            <w:pPr>
              <w:shd w:val="clear" w:color="auto" w:fill="FFFFFF"/>
              <w:spacing w:line="240" w:lineRule="auto"/>
              <w:ind w:firstLine="450"/>
              <w:jc w:val="both"/>
              <w:rPr>
                <w:rFonts w:ascii="Times New Roman" w:eastAsia="Times New Roman" w:hAnsi="Times New Roman" w:cs="Times New Roman"/>
                <w:sz w:val="24"/>
                <w:szCs w:val="24"/>
                <w:lang w:val="uk-UA" w:eastAsia="ru-RU"/>
              </w:rPr>
            </w:pPr>
            <w:r w:rsidRPr="00DD5941">
              <w:rPr>
                <w:rFonts w:ascii="Times New Roman" w:eastAsia="Times New Roman" w:hAnsi="Times New Roman" w:cs="Times New Roman"/>
                <w:sz w:val="24"/>
                <w:szCs w:val="24"/>
                <w:lang w:val="uk-UA" w:eastAsia="ru-RU"/>
              </w:rPr>
              <w:t>3.3. До складу виробничої собівартості електричної та (або) теплової енергії включаються:</w:t>
            </w:r>
          </w:p>
          <w:p w14:paraId="2F13D6D1" w14:textId="2724DED4" w:rsidR="00632BEB" w:rsidRPr="00DD5941" w:rsidRDefault="00632BEB" w:rsidP="00CC6BE5">
            <w:pPr>
              <w:shd w:val="clear" w:color="auto" w:fill="FFFFFF"/>
              <w:spacing w:line="240" w:lineRule="auto"/>
              <w:ind w:firstLine="450"/>
              <w:jc w:val="both"/>
              <w:rPr>
                <w:rFonts w:ascii="Times New Roman" w:eastAsia="Times New Roman" w:hAnsi="Times New Roman" w:cs="Times New Roman"/>
                <w:sz w:val="10"/>
                <w:szCs w:val="10"/>
                <w:lang w:val="uk-UA" w:eastAsia="ru-RU"/>
              </w:rPr>
            </w:pPr>
            <w:r w:rsidRPr="00DD5941">
              <w:rPr>
                <w:rFonts w:ascii="Times New Roman" w:eastAsia="Times New Roman" w:hAnsi="Times New Roman" w:cs="Times New Roman"/>
                <w:sz w:val="10"/>
                <w:szCs w:val="10"/>
                <w:lang w:val="uk-UA" w:eastAsia="ru-RU"/>
              </w:rPr>
              <w:t xml:space="preserve"> </w:t>
            </w:r>
          </w:p>
          <w:p w14:paraId="06D8F57F" w14:textId="77777777" w:rsidR="00632BEB" w:rsidRPr="00DD5941" w:rsidRDefault="00632BEB" w:rsidP="00CC6BE5">
            <w:pPr>
              <w:shd w:val="clear" w:color="auto" w:fill="FFFFFF"/>
              <w:spacing w:line="240" w:lineRule="auto"/>
              <w:ind w:firstLine="709"/>
              <w:jc w:val="both"/>
              <w:rPr>
                <w:rFonts w:ascii="Times New Roman" w:eastAsia="Times New Roman" w:hAnsi="Times New Roman" w:cs="Times New Roman"/>
                <w:bCs/>
                <w:sz w:val="24"/>
                <w:szCs w:val="24"/>
                <w:bdr w:val="none" w:sz="0" w:space="0" w:color="auto" w:frame="1"/>
                <w:lang w:val="uk-UA" w:eastAsia="ru-RU"/>
              </w:rPr>
            </w:pPr>
            <w:r w:rsidRPr="00DD5941">
              <w:rPr>
                <w:rFonts w:ascii="Times New Roman" w:eastAsia="Times New Roman" w:hAnsi="Times New Roman" w:cs="Times New Roman"/>
                <w:sz w:val="24"/>
                <w:szCs w:val="24"/>
                <w:lang w:val="uk-UA" w:eastAsia="ru-RU"/>
              </w:rPr>
              <w:t xml:space="preserve">1) </w:t>
            </w:r>
            <w:r w:rsidRPr="00DD5941">
              <w:rPr>
                <w:rFonts w:ascii="Times New Roman" w:eastAsia="Times New Roman" w:hAnsi="Times New Roman" w:cs="Times New Roman"/>
                <w:bCs/>
                <w:sz w:val="24"/>
                <w:szCs w:val="24"/>
                <w:bdr w:val="none" w:sz="0" w:space="0" w:color="auto" w:frame="1"/>
                <w:lang w:val="uk-UA" w:eastAsia="ru-RU"/>
              </w:rPr>
              <w:t>паливо, а саме:</w:t>
            </w:r>
          </w:p>
          <w:p w14:paraId="4C4EBC63" w14:textId="77777777" w:rsidR="00632BEB" w:rsidRPr="00DD5941" w:rsidRDefault="00632BEB" w:rsidP="00CC6BE5">
            <w:pPr>
              <w:shd w:val="clear" w:color="auto" w:fill="FFFFFF"/>
              <w:spacing w:line="240" w:lineRule="auto"/>
              <w:ind w:firstLine="709"/>
              <w:jc w:val="both"/>
              <w:rPr>
                <w:rFonts w:ascii="Times New Roman" w:eastAsia="Times New Roman" w:hAnsi="Times New Roman" w:cs="Times New Roman"/>
                <w:bCs/>
                <w:sz w:val="24"/>
                <w:szCs w:val="24"/>
                <w:bdr w:val="none" w:sz="0" w:space="0" w:color="auto" w:frame="1"/>
                <w:lang w:val="uk-UA" w:eastAsia="ru-RU"/>
              </w:rPr>
            </w:pPr>
            <w:r w:rsidRPr="00DD5941">
              <w:rPr>
                <w:rFonts w:ascii="Times New Roman" w:eastAsia="Times New Roman" w:hAnsi="Times New Roman" w:cs="Times New Roman"/>
                <w:bCs/>
                <w:sz w:val="24"/>
                <w:szCs w:val="24"/>
                <w:bdr w:val="none" w:sz="0" w:space="0" w:color="auto" w:frame="1"/>
                <w:lang w:val="uk-UA" w:eastAsia="ru-RU"/>
              </w:rPr>
              <w:t>…</w:t>
            </w:r>
          </w:p>
          <w:p w14:paraId="087891B6" w14:textId="77777777" w:rsidR="006913A7" w:rsidRPr="00DD5941" w:rsidRDefault="006913A7" w:rsidP="00CC6BE5">
            <w:pPr>
              <w:shd w:val="clear" w:color="auto" w:fill="FFFFFF"/>
              <w:spacing w:line="240" w:lineRule="auto"/>
              <w:ind w:firstLine="709"/>
              <w:jc w:val="both"/>
              <w:rPr>
                <w:rFonts w:ascii="Times New Roman" w:eastAsia="Times New Roman" w:hAnsi="Times New Roman" w:cs="Times New Roman"/>
                <w:bCs/>
                <w:sz w:val="24"/>
                <w:szCs w:val="24"/>
                <w:bdr w:val="none" w:sz="0" w:space="0" w:color="auto" w:frame="1"/>
                <w:lang w:val="uk-UA" w:eastAsia="ru-RU"/>
              </w:rPr>
            </w:pPr>
          </w:p>
          <w:p w14:paraId="039E0519" w14:textId="77777777" w:rsidR="00632BEB" w:rsidRPr="00DD5941" w:rsidRDefault="00632BEB" w:rsidP="00CC6BE5">
            <w:pPr>
              <w:shd w:val="clear" w:color="auto" w:fill="FFFFFF"/>
              <w:spacing w:after="150" w:line="240" w:lineRule="auto"/>
              <w:ind w:firstLine="709"/>
              <w:contextualSpacing/>
              <w:jc w:val="both"/>
              <w:rPr>
                <w:rFonts w:ascii="Times New Roman" w:eastAsia="Times New Roman" w:hAnsi="Times New Roman" w:cs="Times New Roman"/>
                <w:sz w:val="24"/>
                <w:szCs w:val="24"/>
                <w:lang w:val="uk-UA" w:eastAsia="ru-RU"/>
              </w:rPr>
            </w:pPr>
            <w:r w:rsidRPr="00DD5941">
              <w:rPr>
                <w:rFonts w:ascii="Times New Roman" w:eastAsia="Times New Roman" w:hAnsi="Times New Roman" w:cs="Times New Roman"/>
                <w:sz w:val="24"/>
                <w:szCs w:val="24"/>
                <w:lang w:val="uk-UA" w:eastAsia="ru-RU"/>
              </w:rPr>
              <w:t xml:space="preserve">витрати на придбання палива та його транспортування для виробництва електричної та (або) теплової енергії, які визначаються виходячи з планованого обсягу відпуску/виробництва електричної та (або) теплової енергії відповідно до річного плану виробництва, питомих норм витрат паливно-енергетичних ресурсів, </w:t>
            </w:r>
            <w:r w:rsidRPr="00DD5941">
              <w:rPr>
                <w:rFonts w:ascii="Times New Roman" w:eastAsia="Times New Roman" w:hAnsi="Times New Roman" w:cs="Times New Roman"/>
                <w:b/>
                <w:sz w:val="24"/>
                <w:szCs w:val="24"/>
                <w:lang w:val="uk-UA" w:eastAsia="ru-RU"/>
              </w:rPr>
              <w:t>визначених відповідно до</w:t>
            </w:r>
            <w:r w:rsidRPr="00DD5941">
              <w:rPr>
                <w:rFonts w:ascii="Times New Roman" w:eastAsia="Times New Roman" w:hAnsi="Times New Roman" w:cs="Times New Roman"/>
                <w:sz w:val="24"/>
                <w:szCs w:val="24"/>
                <w:lang w:val="uk-UA" w:eastAsia="ru-RU"/>
              </w:rPr>
              <w:t xml:space="preserve"> </w:t>
            </w:r>
            <w:r w:rsidRPr="00DD5941">
              <w:rPr>
                <w:rFonts w:ascii="Times New Roman" w:eastAsia="Times New Roman" w:hAnsi="Times New Roman" w:cs="Times New Roman"/>
                <w:b/>
                <w:sz w:val="24"/>
                <w:szCs w:val="24"/>
                <w:lang w:val="uk-UA" w:eastAsia="ru-RU"/>
              </w:rPr>
              <w:t xml:space="preserve">положень нормативних документів </w:t>
            </w:r>
            <w:r w:rsidRPr="00DD5941">
              <w:rPr>
                <w:rFonts w:ascii="Times New Roman" w:eastAsia="Times New Roman" w:hAnsi="Times New Roman" w:cs="Times New Roman"/>
                <w:b/>
                <w:color w:val="333333"/>
                <w:sz w:val="24"/>
                <w:szCs w:val="24"/>
                <w:lang w:val="uk-UA" w:eastAsia="ru-RU"/>
              </w:rPr>
              <w:t>ГКД 34.09.103, ГКД 34.09.107, ГКД 34.20.541, ГНД 34.09.104, ГНД 34.09.203, СОУ 40.1-21677681-32, СОУ-Н МПЕ 40.1.09.111, СОУ-Н МПЕ 40.1.09.151, СОУ-Н ЕЕ 40.1-00100227-96, СОУ-Н ЕЕ 40.1-37471933-82</w:t>
            </w:r>
            <w:r w:rsidRPr="00DD5941">
              <w:rPr>
                <w:rFonts w:ascii="Times New Roman" w:eastAsia="Times New Roman" w:hAnsi="Times New Roman" w:cs="Times New Roman"/>
                <w:b/>
                <w:sz w:val="24"/>
                <w:szCs w:val="24"/>
                <w:lang w:val="uk-UA" w:eastAsia="ru-RU"/>
              </w:rPr>
              <w:t xml:space="preserve">, </w:t>
            </w:r>
            <w:r w:rsidRPr="00DD5941">
              <w:rPr>
                <w:rFonts w:ascii="Times New Roman" w:eastAsia="Times New Roman" w:hAnsi="Times New Roman" w:cs="Times New Roman"/>
                <w:bCs/>
                <w:sz w:val="24"/>
                <w:szCs w:val="24"/>
                <w:lang w:val="uk-UA" w:eastAsia="ru-RU"/>
              </w:rPr>
              <w:t xml:space="preserve">діючих/планованих цін (тарифів) на паливно-енергетичні ресурси та </w:t>
            </w:r>
            <w:r w:rsidRPr="00DD5941">
              <w:rPr>
                <w:rFonts w:ascii="Times New Roman" w:eastAsia="Times New Roman" w:hAnsi="Times New Roman" w:cs="Times New Roman"/>
                <w:bCs/>
                <w:sz w:val="24"/>
                <w:szCs w:val="24"/>
                <w:lang w:val="uk-UA" w:eastAsia="ru-RU"/>
              </w:rPr>
              <w:lastRenderedPageBreak/>
              <w:t>послуги (витрати) з ї</w:t>
            </w:r>
            <w:r w:rsidRPr="00DD5941">
              <w:rPr>
                <w:rFonts w:ascii="Times New Roman" w:eastAsia="Times New Roman" w:hAnsi="Times New Roman" w:cs="Times New Roman"/>
                <w:sz w:val="24"/>
                <w:szCs w:val="24"/>
                <w:lang w:val="uk-UA" w:eastAsia="ru-RU"/>
              </w:rPr>
              <w:t>х транспортування, тобто з урахуванням усіх планованих логістичних ланцюгів транспортування паливно-енергетичних ресурсів, калорійних еквівалентів, обсягу енергії природного газу, визначених умовами договору, сертифікатами постачальників чи даними базового періоду.</w:t>
            </w:r>
          </w:p>
          <w:p w14:paraId="75E413FA" w14:textId="77777777" w:rsidR="00632BEB" w:rsidRPr="00DD5941" w:rsidRDefault="00632BEB" w:rsidP="00332B69">
            <w:pPr>
              <w:spacing w:line="240" w:lineRule="auto"/>
              <w:contextualSpacing/>
              <w:jc w:val="both"/>
              <w:rPr>
                <w:rFonts w:ascii="Times New Roman" w:hAnsi="Times New Roman" w:cs="Times New Roman"/>
                <w:sz w:val="24"/>
                <w:szCs w:val="24"/>
                <w:lang w:val="uk-UA" w:eastAsia="ru-RU"/>
              </w:rPr>
            </w:pPr>
          </w:p>
          <w:p w14:paraId="16835C3F" w14:textId="5656A727" w:rsidR="00632BEB" w:rsidRPr="00DD5941" w:rsidRDefault="00632BEB" w:rsidP="00332B69">
            <w:pPr>
              <w:spacing w:line="240" w:lineRule="auto"/>
              <w:contextualSpacing/>
              <w:jc w:val="both"/>
              <w:rPr>
                <w:rFonts w:ascii="Times New Roman" w:hAnsi="Times New Roman" w:cs="Times New Roman"/>
                <w:i/>
                <w:iCs/>
                <w:sz w:val="24"/>
                <w:szCs w:val="24"/>
                <w:lang w:val="uk-UA" w:eastAsia="ru-RU"/>
              </w:rPr>
            </w:pPr>
            <w:r w:rsidRPr="00DD5941">
              <w:rPr>
                <w:rFonts w:ascii="Times New Roman" w:hAnsi="Times New Roman" w:cs="Times New Roman"/>
                <w:b/>
                <w:bCs/>
                <w:i/>
                <w:iCs/>
                <w:sz w:val="24"/>
                <w:szCs w:val="24"/>
                <w:lang w:val="uk-UA" w:eastAsia="ru-RU"/>
              </w:rPr>
              <w:t>ОБГРУНТУВАННЯ:</w:t>
            </w:r>
          </w:p>
          <w:p w14:paraId="3DE8B309" w14:textId="77777777" w:rsidR="00632BEB" w:rsidRPr="00DD5941" w:rsidRDefault="00632BEB" w:rsidP="00FB5CB9">
            <w:pPr>
              <w:pStyle w:val="a6"/>
              <w:spacing w:line="240" w:lineRule="auto"/>
              <w:ind w:left="0" w:firstLine="454"/>
              <w:jc w:val="both"/>
              <w:rPr>
                <w:rFonts w:ascii="Times New Roman" w:hAnsi="Times New Roman" w:cs="Times New Roman"/>
                <w:bCs/>
                <w:sz w:val="24"/>
                <w:szCs w:val="24"/>
                <w:lang w:val="uk-UA"/>
              </w:rPr>
            </w:pPr>
            <w:r w:rsidRPr="00DD5941">
              <w:rPr>
                <w:rFonts w:ascii="Times New Roman" w:hAnsi="Times New Roman" w:cs="Times New Roman"/>
                <w:bCs/>
                <w:sz w:val="24"/>
                <w:szCs w:val="24"/>
                <w:lang w:val="uk-UA"/>
              </w:rPr>
              <w:t xml:space="preserve">Пунктом 5.4.2 «Технічна експлуатація електричних станцій і мереж. Правила» (далі – Правила) затверджених наказом Міністерства палива та енергетики України № 296 від 13.06.2003р, із змінами відповідно до наказу Міністерства енергетики та вугільної промисловості України № 271 від 21.06.2019 р. зазначено наступне, методологічне визначення основних ТЕП роботи устаткування має базуватись на матеріальних і енергетичних балансах. Порядок визначення фактичних, нормативних основних та проміжних ТЕП здійснюється згідно з ГКД 34.09.103, ГКД 34.09.107, ГКД 34.20.541, ГНД 34.09.104, ГНД 34.09.203, СОУ 40.1-21677681-32, СОУ-Н МПЕ 40.1.09.111, СОУ-Н МПЕ 40.1.09.151, СОУ-Н ЕЕ 40.1-00100227-96, СОУ-Н ЕЕ 40.1-37471933-82. </w:t>
            </w:r>
          </w:p>
          <w:p w14:paraId="232943ED" w14:textId="77777777" w:rsidR="00632BEB" w:rsidRPr="00DD5941" w:rsidRDefault="00632BEB" w:rsidP="00FB5CB9">
            <w:pPr>
              <w:pStyle w:val="a6"/>
              <w:spacing w:line="240" w:lineRule="auto"/>
              <w:ind w:left="0" w:firstLine="454"/>
              <w:jc w:val="both"/>
              <w:rPr>
                <w:rFonts w:ascii="Times New Roman" w:hAnsi="Times New Roman" w:cs="Times New Roman"/>
                <w:bCs/>
                <w:sz w:val="24"/>
                <w:szCs w:val="24"/>
                <w:lang w:val="uk-UA"/>
              </w:rPr>
            </w:pPr>
            <w:r w:rsidRPr="00DD5941">
              <w:rPr>
                <w:rFonts w:ascii="Times New Roman" w:hAnsi="Times New Roman" w:cs="Times New Roman"/>
                <w:bCs/>
                <w:sz w:val="24"/>
                <w:szCs w:val="24"/>
                <w:lang w:val="uk-UA"/>
              </w:rPr>
              <w:t>Пунктом 1.1 Правил зазначено, що цей документ поширюється на всі суб’єкти та об’єкти електроенергетики, а пунктом 1.3 вказано, що є обов’язковим для знання та дотримання працівниками енергетики (</w:t>
            </w:r>
            <w:proofErr w:type="spellStart"/>
            <w:r w:rsidRPr="00DD5941">
              <w:rPr>
                <w:rFonts w:ascii="Times New Roman" w:hAnsi="Times New Roman" w:cs="Times New Roman"/>
                <w:bCs/>
                <w:sz w:val="24"/>
                <w:szCs w:val="24"/>
                <w:lang w:val="uk-UA"/>
              </w:rPr>
              <w:t>енерго</w:t>
            </w:r>
            <w:proofErr w:type="spellEnd"/>
            <w:r w:rsidRPr="00DD5941">
              <w:rPr>
                <w:rFonts w:ascii="Times New Roman" w:hAnsi="Times New Roman" w:cs="Times New Roman"/>
                <w:bCs/>
                <w:sz w:val="24"/>
                <w:szCs w:val="24"/>
                <w:lang w:val="uk-UA"/>
              </w:rPr>
              <w:t xml:space="preserve">-генеруючих компаній, теплових електричних станцій, </w:t>
            </w:r>
            <w:r w:rsidRPr="00DD5941">
              <w:rPr>
                <w:rFonts w:ascii="Times New Roman" w:hAnsi="Times New Roman" w:cs="Times New Roman"/>
                <w:bCs/>
                <w:sz w:val="24"/>
                <w:szCs w:val="24"/>
                <w:lang w:val="uk-UA"/>
              </w:rPr>
              <w:lastRenderedPageBreak/>
              <w:t xml:space="preserve">теплоелектроцентралей і </w:t>
            </w:r>
            <w:proofErr w:type="spellStart"/>
            <w:r w:rsidRPr="00DD5941">
              <w:rPr>
                <w:rFonts w:ascii="Times New Roman" w:hAnsi="Times New Roman" w:cs="Times New Roman"/>
                <w:bCs/>
                <w:sz w:val="24"/>
                <w:szCs w:val="24"/>
                <w:lang w:val="uk-UA"/>
              </w:rPr>
              <w:t>котелень</w:t>
            </w:r>
            <w:proofErr w:type="spellEnd"/>
            <w:r w:rsidRPr="00DD5941">
              <w:rPr>
                <w:rFonts w:ascii="Times New Roman" w:hAnsi="Times New Roman" w:cs="Times New Roman"/>
                <w:bCs/>
                <w:sz w:val="24"/>
                <w:szCs w:val="24"/>
                <w:lang w:val="uk-UA"/>
              </w:rPr>
              <w:t xml:space="preserve"> з котлами тепловою потужністю понад 35 </w:t>
            </w:r>
            <w:proofErr w:type="spellStart"/>
            <w:r w:rsidRPr="00DD5941">
              <w:rPr>
                <w:rFonts w:ascii="Times New Roman" w:hAnsi="Times New Roman" w:cs="Times New Roman"/>
                <w:bCs/>
                <w:sz w:val="24"/>
                <w:szCs w:val="24"/>
                <w:lang w:val="uk-UA"/>
              </w:rPr>
              <w:t>Гкал</w:t>
            </w:r>
            <w:proofErr w:type="spellEnd"/>
            <w:r w:rsidRPr="00DD5941">
              <w:rPr>
                <w:rFonts w:ascii="Times New Roman" w:hAnsi="Times New Roman" w:cs="Times New Roman"/>
                <w:bCs/>
                <w:sz w:val="24"/>
                <w:szCs w:val="24"/>
                <w:lang w:val="uk-UA"/>
              </w:rPr>
              <w:t>/год).</w:t>
            </w:r>
          </w:p>
          <w:p w14:paraId="011FA4E8" w14:textId="77777777" w:rsidR="00632BEB" w:rsidRPr="00DD5941" w:rsidRDefault="00632BEB" w:rsidP="00FB5CB9">
            <w:pPr>
              <w:pStyle w:val="a6"/>
              <w:spacing w:line="240" w:lineRule="auto"/>
              <w:ind w:left="0" w:firstLine="454"/>
              <w:jc w:val="both"/>
              <w:rPr>
                <w:rFonts w:ascii="Times New Roman" w:hAnsi="Times New Roman" w:cs="Times New Roman"/>
                <w:bCs/>
                <w:sz w:val="24"/>
                <w:szCs w:val="24"/>
                <w:lang w:val="uk-UA"/>
              </w:rPr>
            </w:pPr>
            <w:r w:rsidRPr="00DD5941">
              <w:rPr>
                <w:rFonts w:ascii="Times New Roman" w:hAnsi="Times New Roman" w:cs="Times New Roman"/>
                <w:bCs/>
                <w:sz w:val="24"/>
                <w:szCs w:val="24"/>
                <w:lang w:val="uk-UA"/>
              </w:rPr>
              <w:t>Також варто зазначити що абзацом 2 пункту 4 статті 17 Закону України «Про Національну комісію, що здійснює державне регулювання у сферах енергетики та комунальних послуг», зазначено що у разі застосування будь-якого способу державного регулювання цін порядки (методики) формування, розрахунку та встановлення тарифів повинні забезпечити покриття економічно обґрунтованих витрат, залучення необхідних інвестицій, дотримання екологічних вимог, вимог якості та безпеки, обґрунтованої прибутковості.</w:t>
            </w:r>
          </w:p>
          <w:p w14:paraId="5003D3BA" w14:textId="208248B6" w:rsidR="00632BEB" w:rsidRPr="00DD5941" w:rsidRDefault="00632BEB" w:rsidP="00FB5CB9">
            <w:pPr>
              <w:spacing w:line="240" w:lineRule="auto"/>
              <w:contextualSpacing/>
              <w:jc w:val="both"/>
              <w:rPr>
                <w:rFonts w:ascii="Times New Roman" w:hAnsi="Times New Roman" w:cs="Times New Roman"/>
                <w:bCs/>
                <w:sz w:val="24"/>
                <w:szCs w:val="24"/>
                <w:lang w:val="uk-UA"/>
              </w:rPr>
            </w:pPr>
            <w:r w:rsidRPr="00DD5941">
              <w:rPr>
                <w:rFonts w:ascii="Times New Roman" w:hAnsi="Times New Roman" w:cs="Times New Roman"/>
                <w:bCs/>
                <w:sz w:val="24"/>
                <w:szCs w:val="24"/>
                <w:lang w:val="uk-UA"/>
              </w:rPr>
              <w:t>Окрім того, пунктом 1 статті 3 Закону України «Про житлово-комунальні послуги» зазначена державна політика у сфері житлово-комунальних послуг та ґрунтується на принципі забезпеченні функціонування підприємств, установ та організацій, що виробляють, виконують та/або надають житлово-комунальні послуги на умовах самофінансування, досягнення рівня економічно обґрунтованих витрат на виробництво таких послуг. В той же час відсутні державні програми та механізми, які дали б змогу оновити/замінити морально та фізично застаріле обладнання, яке використовується при комбінованому виробництві теплової та електричної енергії.</w:t>
            </w:r>
          </w:p>
          <w:p w14:paraId="705E96A2" w14:textId="77777777" w:rsidR="00632BEB" w:rsidRPr="00DD5941" w:rsidRDefault="00632BEB" w:rsidP="00FB5CB9">
            <w:pPr>
              <w:spacing w:line="240" w:lineRule="auto"/>
              <w:contextualSpacing/>
              <w:jc w:val="both"/>
              <w:rPr>
                <w:rFonts w:ascii="Times New Roman" w:hAnsi="Times New Roman" w:cs="Times New Roman"/>
                <w:sz w:val="24"/>
                <w:szCs w:val="24"/>
                <w:lang w:val="uk-UA" w:eastAsia="ru-RU"/>
              </w:rPr>
            </w:pPr>
          </w:p>
          <w:p w14:paraId="4DE31470" w14:textId="77777777" w:rsidR="00632BEB" w:rsidRPr="00DD5941" w:rsidRDefault="00632BEB" w:rsidP="00FB5CB9">
            <w:pPr>
              <w:spacing w:line="240" w:lineRule="auto"/>
              <w:contextualSpacing/>
              <w:jc w:val="both"/>
              <w:rPr>
                <w:rFonts w:ascii="Times New Roman" w:hAnsi="Times New Roman" w:cs="Times New Roman"/>
                <w:sz w:val="24"/>
                <w:szCs w:val="24"/>
                <w:lang w:val="uk-UA" w:eastAsia="ru-RU"/>
              </w:rPr>
            </w:pPr>
          </w:p>
          <w:p w14:paraId="12506E1E" w14:textId="77777777" w:rsidR="00632BEB" w:rsidRPr="00DD5941" w:rsidRDefault="00632BEB" w:rsidP="00FB5CB9">
            <w:pPr>
              <w:spacing w:line="240" w:lineRule="auto"/>
              <w:contextualSpacing/>
              <w:jc w:val="both"/>
              <w:rPr>
                <w:rFonts w:ascii="Times New Roman" w:hAnsi="Times New Roman" w:cs="Times New Roman"/>
                <w:sz w:val="24"/>
                <w:szCs w:val="24"/>
                <w:lang w:val="uk-UA" w:eastAsia="ru-RU"/>
              </w:rPr>
            </w:pPr>
          </w:p>
          <w:p w14:paraId="08E32212" w14:textId="77777777" w:rsidR="00632BEB" w:rsidRPr="00DD5941" w:rsidRDefault="00632BEB" w:rsidP="00332B69">
            <w:pPr>
              <w:spacing w:line="240" w:lineRule="auto"/>
              <w:contextualSpacing/>
              <w:jc w:val="both"/>
              <w:rPr>
                <w:rFonts w:ascii="Times New Roman" w:hAnsi="Times New Roman" w:cs="Times New Roman"/>
                <w:sz w:val="24"/>
                <w:szCs w:val="24"/>
                <w:lang w:val="uk-UA" w:eastAsia="ru-RU"/>
              </w:rPr>
            </w:pPr>
          </w:p>
          <w:p w14:paraId="4E85D73B" w14:textId="77777777" w:rsidR="00632BEB" w:rsidRPr="00DD5941" w:rsidRDefault="00632BEB" w:rsidP="00332B69">
            <w:pPr>
              <w:spacing w:line="240" w:lineRule="auto"/>
              <w:contextualSpacing/>
              <w:jc w:val="both"/>
              <w:rPr>
                <w:rFonts w:ascii="Times New Roman" w:hAnsi="Times New Roman" w:cs="Times New Roman"/>
                <w:sz w:val="24"/>
                <w:szCs w:val="24"/>
                <w:highlight w:val="cyan"/>
                <w:lang w:val="uk-UA" w:eastAsia="ru-RU"/>
              </w:rPr>
            </w:pPr>
          </w:p>
          <w:p w14:paraId="0C1D5A9B" w14:textId="70D24AA0" w:rsidR="00632BEB" w:rsidRPr="00DD5941" w:rsidRDefault="00632BEB" w:rsidP="00332B69">
            <w:pPr>
              <w:spacing w:line="240" w:lineRule="auto"/>
              <w:contextualSpacing/>
              <w:jc w:val="both"/>
              <w:rPr>
                <w:rFonts w:ascii="Times New Roman" w:hAnsi="Times New Roman" w:cs="Times New Roman"/>
                <w:sz w:val="24"/>
                <w:szCs w:val="24"/>
                <w:lang w:val="uk-UA" w:eastAsia="ru-RU"/>
              </w:rPr>
            </w:pPr>
            <w:r w:rsidRPr="0005533E">
              <w:rPr>
                <w:rFonts w:ascii="Times New Roman" w:hAnsi="Times New Roman" w:cs="Times New Roman"/>
                <w:sz w:val="24"/>
                <w:szCs w:val="24"/>
                <w:highlight w:val="lightGray"/>
                <w:lang w:val="uk-UA" w:eastAsia="ru-RU"/>
              </w:rPr>
              <w:t>(ПрАТ «МИКОЛАЇВСЬКА ТЕЦ»)</w:t>
            </w:r>
          </w:p>
          <w:p w14:paraId="2B238B5A" w14:textId="3FC5C9F7" w:rsidR="00632BEB" w:rsidRPr="00DD5941" w:rsidRDefault="00632BEB" w:rsidP="008365CC">
            <w:pPr>
              <w:shd w:val="clear" w:color="auto" w:fill="FFFFFF"/>
              <w:spacing w:line="240" w:lineRule="auto"/>
              <w:ind w:firstLine="450"/>
              <w:jc w:val="both"/>
              <w:rPr>
                <w:rFonts w:ascii="Times New Roman" w:eastAsia="Times New Roman" w:hAnsi="Times New Roman" w:cs="Times New Roman"/>
                <w:i/>
                <w:iCs/>
                <w:sz w:val="24"/>
                <w:szCs w:val="24"/>
                <w:lang w:val="uk-UA" w:eastAsia="ru-RU"/>
              </w:rPr>
            </w:pPr>
            <w:r w:rsidRPr="00DD5941">
              <w:rPr>
                <w:rFonts w:ascii="Times New Roman" w:eastAsia="Times New Roman" w:hAnsi="Times New Roman" w:cs="Times New Roman"/>
                <w:i/>
                <w:iCs/>
                <w:sz w:val="24"/>
                <w:szCs w:val="24"/>
                <w:lang w:val="uk-UA" w:eastAsia="ru-RU"/>
              </w:rPr>
              <w:t xml:space="preserve">Підпункт 1 пункту 3.3 глави 3 викласти в такій редакції: </w:t>
            </w:r>
          </w:p>
          <w:p w14:paraId="3B3BD686" w14:textId="77777777" w:rsidR="00632BEB" w:rsidRPr="00DD5941" w:rsidRDefault="00632BEB" w:rsidP="008365CC">
            <w:pPr>
              <w:spacing w:line="240" w:lineRule="auto"/>
              <w:contextualSpacing/>
              <w:jc w:val="both"/>
              <w:rPr>
                <w:rFonts w:ascii="Times New Roman" w:hAnsi="Times New Roman" w:cs="Times New Roman"/>
                <w:sz w:val="24"/>
                <w:szCs w:val="24"/>
                <w:lang w:val="uk-UA" w:eastAsia="ru-RU"/>
              </w:rPr>
            </w:pPr>
            <w:r w:rsidRPr="00DD5941">
              <w:rPr>
                <w:rFonts w:ascii="Times New Roman" w:hAnsi="Times New Roman" w:cs="Times New Roman"/>
                <w:sz w:val="24"/>
                <w:szCs w:val="24"/>
                <w:lang w:val="uk-UA" w:eastAsia="ru-RU"/>
              </w:rPr>
              <w:t>3.3. До складу виробничої собівартості електричної та (або) теплової енергії включаються:</w:t>
            </w:r>
          </w:p>
          <w:p w14:paraId="2A7CE2CB" w14:textId="21E1DF5A" w:rsidR="00632BEB" w:rsidRPr="00DD5941" w:rsidRDefault="00632BEB" w:rsidP="008365CC">
            <w:pPr>
              <w:spacing w:line="240" w:lineRule="auto"/>
              <w:contextualSpacing/>
              <w:jc w:val="both"/>
              <w:rPr>
                <w:rFonts w:ascii="Times New Roman" w:hAnsi="Times New Roman" w:cs="Times New Roman"/>
                <w:sz w:val="10"/>
                <w:szCs w:val="10"/>
                <w:lang w:val="uk-UA" w:eastAsia="ru-RU"/>
              </w:rPr>
            </w:pPr>
            <w:r w:rsidRPr="00DD5941">
              <w:rPr>
                <w:rFonts w:ascii="Times New Roman" w:hAnsi="Times New Roman" w:cs="Times New Roman"/>
                <w:sz w:val="24"/>
                <w:szCs w:val="24"/>
                <w:lang w:val="uk-UA" w:eastAsia="ru-RU"/>
              </w:rPr>
              <w:t xml:space="preserve"> </w:t>
            </w:r>
          </w:p>
          <w:p w14:paraId="329AD988" w14:textId="0DA5BE29" w:rsidR="00632BEB" w:rsidRPr="00DD5941" w:rsidRDefault="00632BEB" w:rsidP="008365CC">
            <w:pPr>
              <w:spacing w:line="240" w:lineRule="auto"/>
              <w:contextualSpacing/>
              <w:jc w:val="both"/>
              <w:rPr>
                <w:rFonts w:ascii="Times New Roman" w:hAnsi="Times New Roman" w:cs="Times New Roman"/>
                <w:bCs/>
                <w:sz w:val="24"/>
                <w:szCs w:val="24"/>
                <w:lang w:val="uk-UA" w:eastAsia="ru-RU"/>
              </w:rPr>
            </w:pPr>
            <w:r w:rsidRPr="00DD5941">
              <w:rPr>
                <w:rFonts w:ascii="Times New Roman" w:hAnsi="Times New Roman" w:cs="Times New Roman"/>
                <w:sz w:val="24"/>
                <w:szCs w:val="24"/>
                <w:lang w:val="uk-UA" w:eastAsia="ru-RU"/>
              </w:rPr>
              <w:t xml:space="preserve">1) </w:t>
            </w:r>
            <w:r w:rsidRPr="00DD5941">
              <w:rPr>
                <w:rFonts w:ascii="Times New Roman" w:hAnsi="Times New Roman" w:cs="Times New Roman"/>
                <w:bCs/>
                <w:sz w:val="24"/>
                <w:szCs w:val="24"/>
                <w:lang w:val="uk-UA" w:eastAsia="ru-RU"/>
              </w:rPr>
              <w:t>паливо, а саме:</w:t>
            </w:r>
          </w:p>
          <w:p w14:paraId="48ACCA67" w14:textId="79980E38" w:rsidR="00632BEB" w:rsidRPr="00DD5941" w:rsidRDefault="00632BEB" w:rsidP="008365CC">
            <w:pPr>
              <w:spacing w:line="240" w:lineRule="auto"/>
              <w:contextualSpacing/>
              <w:jc w:val="both"/>
              <w:rPr>
                <w:rFonts w:ascii="Times New Roman" w:hAnsi="Times New Roman" w:cs="Times New Roman"/>
                <w:sz w:val="24"/>
                <w:szCs w:val="24"/>
                <w:lang w:val="uk-UA" w:eastAsia="ru-RU"/>
              </w:rPr>
            </w:pPr>
            <w:r w:rsidRPr="00DD5941">
              <w:rPr>
                <w:rFonts w:ascii="Times New Roman" w:hAnsi="Times New Roman" w:cs="Times New Roman"/>
                <w:sz w:val="24"/>
                <w:szCs w:val="24"/>
                <w:lang w:val="uk-UA" w:eastAsia="ru-RU"/>
              </w:rPr>
              <w:t xml:space="preserve">витрати на придбання палива та його транспортування для виробництва електричної та (або) теплової енергії, які визначаються виходячи з планованого обсягу відпуску/виробництва електричної та (або) теплової енергії відповідно до річного плану виробництва, питомих норм витрат паливно-енергетичних ресурсів, </w:t>
            </w:r>
            <w:r w:rsidRPr="00DD5941">
              <w:rPr>
                <w:rFonts w:ascii="Times New Roman" w:hAnsi="Times New Roman" w:cs="Times New Roman"/>
                <w:b/>
                <w:sz w:val="24"/>
                <w:szCs w:val="24"/>
                <w:lang w:val="uk-UA" w:eastAsia="ru-RU"/>
              </w:rPr>
              <w:t>визначених відповідно до</w:t>
            </w:r>
            <w:r w:rsidRPr="00DD5941">
              <w:rPr>
                <w:rFonts w:ascii="Times New Roman" w:hAnsi="Times New Roman" w:cs="Times New Roman"/>
                <w:sz w:val="24"/>
                <w:szCs w:val="24"/>
                <w:lang w:val="uk-UA" w:eastAsia="ru-RU"/>
              </w:rPr>
              <w:t xml:space="preserve"> </w:t>
            </w:r>
            <w:r w:rsidRPr="00DD5941">
              <w:rPr>
                <w:rFonts w:ascii="Times New Roman" w:hAnsi="Times New Roman" w:cs="Times New Roman"/>
                <w:b/>
                <w:sz w:val="24"/>
                <w:szCs w:val="24"/>
                <w:lang w:val="uk-UA" w:eastAsia="ru-RU"/>
              </w:rPr>
              <w:t xml:space="preserve">положень нормативних документів ГКД 34.09.103-96, ГКД 34.09.107-2004, СОУ-Н МПЕ 40.1.09.111:2005,СОУ-Н МПЕ 40.1.09.151:2005 </w:t>
            </w:r>
            <w:r w:rsidRPr="00DD5941">
              <w:rPr>
                <w:rFonts w:ascii="Times New Roman" w:hAnsi="Times New Roman" w:cs="Times New Roman"/>
                <w:bCs/>
                <w:sz w:val="24"/>
                <w:szCs w:val="24"/>
                <w:lang w:val="uk-UA" w:eastAsia="ru-RU"/>
              </w:rPr>
              <w:t>(в частині складання енергетичних характеристик устаткування).</w:t>
            </w:r>
          </w:p>
          <w:p w14:paraId="64251A21" w14:textId="77777777" w:rsidR="00632BEB" w:rsidRPr="00DD5941" w:rsidRDefault="00632BEB" w:rsidP="00332B69">
            <w:pPr>
              <w:spacing w:line="240" w:lineRule="auto"/>
              <w:contextualSpacing/>
              <w:jc w:val="both"/>
              <w:rPr>
                <w:rFonts w:ascii="Times New Roman" w:hAnsi="Times New Roman" w:cs="Times New Roman"/>
                <w:sz w:val="24"/>
                <w:szCs w:val="24"/>
                <w:lang w:val="uk-UA" w:eastAsia="ru-RU"/>
              </w:rPr>
            </w:pPr>
          </w:p>
          <w:p w14:paraId="627984F9" w14:textId="77777777" w:rsidR="00632BEB" w:rsidRPr="00DD5941" w:rsidRDefault="00632BEB" w:rsidP="008365CC">
            <w:pPr>
              <w:spacing w:line="240" w:lineRule="auto"/>
              <w:contextualSpacing/>
              <w:jc w:val="both"/>
              <w:rPr>
                <w:rFonts w:ascii="Times New Roman" w:hAnsi="Times New Roman" w:cs="Times New Roman"/>
                <w:i/>
                <w:iCs/>
                <w:sz w:val="24"/>
                <w:szCs w:val="24"/>
                <w:lang w:val="uk-UA" w:eastAsia="ru-RU"/>
              </w:rPr>
            </w:pPr>
            <w:r w:rsidRPr="00DD5941">
              <w:rPr>
                <w:rFonts w:ascii="Times New Roman" w:hAnsi="Times New Roman" w:cs="Times New Roman"/>
                <w:b/>
                <w:bCs/>
                <w:i/>
                <w:iCs/>
                <w:sz w:val="24"/>
                <w:szCs w:val="24"/>
                <w:lang w:val="uk-UA" w:eastAsia="ru-RU"/>
              </w:rPr>
              <w:t>ОБГРУНТУВАННЯ:</w:t>
            </w:r>
          </w:p>
          <w:p w14:paraId="5A67B54F" w14:textId="48BFD2AA" w:rsidR="00632BEB" w:rsidRPr="00DD5941" w:rsidRDefault="00632BEB" w:rsidP="008365CC">
            <w:pPr>
              <w:spacing w:line="240" w:lineRule="auto"/>
              <w:contextualSpacing/>
              <w:jc w:val="both"/>
              <w:rPr>
                <w:rFonts w:ascii="Times New Roman" w:hAnsi="Times New Roman" w:cs="Times New Roman"/>
                <w:sz w:val="24"/>
                <w:szCs w:val="24"/>
                <w:lang w:val="uk-UA" w:eastAsia="ru-RU"/>
              </w:rPr>
            </w:pPr>
            <w:r w:rsidRPr="00DD5941">
              <w:rPr>
                <w:rFonts w:ascii="Times New Roman" w:hAnsi="Times New Roman" w:cs="Times New Roman"/>
                <w:sz w:val="24"/>
                <w:szCs w:val="24"/>
                <w:lang w:val="uk-UA" w:eastAsia="ru-RU"/>
              </w:rPr>
              <w:t xml:space="preserve">      Для теплоцентралей, які виробляють енергію комбінованим способом, розподіл витрат між тепловою і електричною енергією, необхідно розраховувати фізичним методом за ГКД 34.09.103-96, що дозволить знизити собівартість електричної енергії.</w:t>
            </w:r>
          </w:p>
          <w:p w14:paraId="57A38E29" w14:textId="53B510EC" w:rsidR="00632BEB" w:rsidRPr="00DD5941" w:rsidRDefault="00632BEB" w:rsidP="008365CC">
            <w:pPr>
              <w:spacing w:line="240" w:lineRule="auto"/>
              <w:contextualSpacing/>
              <w:jc w:val="both"/>
              <w:rPr>
                <w:rFonts w:ascii="Times New Roman" w:hAnsi="Times New Roman" w:cs="Times New Roman"/>
                <w:sz w:val="24"/>
                <w:szCs w:val="24"/>
                <w:lang w:val="uk-UA" w:eastAsia="ru-RU"/>
              </w:rPr>
            </w:pPr>
            <w:r w:rsidRPr="00DD5941">
              <w:rPr>
                <w:rFonts w:ascii="Times New Roman" w:hAnsi="Times New Roman" w:cs="Times New Roman"/>
                <w:sz w:val="24"/>
                <w:szCs w:val="24"/>
                <w:lang w:val="uk-UA" w:eastAsia="ru-RU"/>
              </w:rPr>
              <w:t xml:space="preserve">     Для аналізу вибраний період роботи ТЕЦ у лютому 2023 року: </w:t>
            </w:r>
          </w:p>
          <w:p w14:paraId="38919B67" w14:textId="35AFF0C1" w:rsidR="00632BEB" w:rsidRPr="00DD5941" w:rsidRDefault="00632BEB" w:rsidP="008365CC">
            <w:pPr>
              <w:spacing w:line="240" w:lineRule="auto"/>
              <w:contextualSpacing/>
              <w:jc w:val="center"/>
              <w:rPr>
                <w:rFonts w:ascii="Times New Roman" w:hAnsi="Times New Roman" w:cs="Times New Roman"/>
                <w:sz w:val="24"/>
                <w:szCs w:val="24"/>
                <w:lang w:val="uk-UA" w:eastAsia="ru-RU"/>
              </w:rPr>
            </w:pPr>
            <w:r w:rsidRPr="00DD5941">
              <w:rPr>
                <w:rFonts w:ascii="Times New Roman" w:hAnsi="Times New Roman" w:cs="Times New Roman"/>
                <w:sz w:val="24"/>
                <w:szCs w:val="24"/>
                <w:lang w:val="uk-UA" w:eastAsia="ru-RU"/>
              </w:rPr>
              <w:t>фактичні показники ТЕЦ, розраховані</w:t>
            </w:r>
          </w:p>
          <w:p w14:paraId="6FBA18E1" w14:textId="6D792F19" w:rsidR="00632BEB" w:rsidRPr="00DD5941" w:rsidRDefault="00632BEB" w:rsidP="008365CC">
            <w:pPr>
              <w:spacing w:line="240" w:lineRule="auto"/>
              <w:contextualSpacing/>
              <w:jc w:val="center"/>
              <w:rPr>
                <w:rFonts w:ascii="Times New Roman" w:hAnsi="Times New Roman" w:cs="Times New Roman"/>
                <w:sz w:val="24"/>
                <w:szCs w:val="24"/>
                <w:lang w:val="uk-UA" w:eastAsia="ru-RU"/>
              </w:rPr>
            </w:pPr>
            <w:r w:rsidRPr="00DD5941">
              <w:rPr>
                <w:rFonts w:ascii="Times New Roman" w:hAnsi="Times New Roman" w:cs="Times New Roman"/>
                <w:sz w:val="24"/>
                <w:szCs w:val="24"/>
                <w:lang w:val="uk-UA" w:eastAsia="ru-RU"/>
              </w:rPr>
              <w:t>за різними методиками*</w:t>
            </w:r>
          </w:p>
        </w:tc>
        <w:tc>
          <w:tcPr>
            <w:tcW w:w="4830" w:type="dxa"/>
            <w:vMerge w:val="restart"/>
            <w:shd w:val="clear" w:color="auto" w:fill="auto"/>
            <w:tcMar>
              <w:top w:w="100" w:type="dxa"/>
              <w:left w:w="100" w:type="dxa"/>
              <w:bottom w:w="100" w:type="dxa"/>
              <w:right w:w="100" w:type="dxa"/>
            </w:tcMar>
          </w:tcPr>
          <w:p w14:paraId="6075515B" w14:textId="77777777" w:rsidR="00DD5941" w:rsidRPr="0005533E" w:rsidRDefault="00DD5941" w:rsidP="00DD5941">
            <w:pPr>
              <w:widowControl w:val="0"/>
              <w:spacing w:line="240" w:lineRule="auto"/>
              <w:jc w:val="both"/>
              <w:rPr>
                <w:rFonts w:ascii="Times New Roman" w:eastAsia="Times New Roman" w:hAnsi="Times New Roman" w:cs="Times New Roman"/>
                <w:sz w:val="24"/>
                <w:szCs w:val="24"/>
                <w:lang w:val="uk-UA"/>
              </w:rPr>
            </w:pPr>
            <w:r w:rsidRPr="0005533E">
              <w:rPr>
                <w:rFonts w:ascii="Times New Roman" w:eastAsia="Times New Roman" w:hAnsi="Times New Roman" w:cs="Times New Roman"/>
                <w:b/>
                <w:sz w:val="24"/>
                <w:szCs w:val="24"/>
                <w:lang w:val="uk-UA"/>
              </w:rPr>
              <w:lastRenderedPageBreak/>
              <w:t>Пропозиції</w:t>
            </w:r>
            <w:r w:rsidRPr="0005533E">
              <w:rPr>
                <w:rFonts w:ascii="Times New Roman" w:eastAsia="Times New Roman" w:hAnsi="Times New Roman" w:cs="Times New Roman"/>
                <w:sz w:val="24"/>
                <w:szCs w:val="24"/>
                <w:lang w:val="uk-UA"/>
              </w:rPr>
              <w:t xml:space="preserve"> </w:t>
            </w:r>
            <w:r w:rsidRPr="0005533E">
              <w:rPr>
                <w:rFonts w:ascii="Times New Roman" w:eastAsia="Times New Roman" w:hAnsi="Times New Roman" w:cs="Times New Roman"/>
                <w:b/>
                <w:sz w:val="24"/>
                <w:szCs w:val="24"/>
                <w:lang w:val="uk-UA"/>
              </w:rPr>
              <w:t xml:space="preserve">запропоновані </w:t>
            </w:r>
            <w:r w:rsidRPr="0005533E">
              <w:rPr>
                <w:rFonts w:ascii="Times New Roman" w:hAnsi="Times New Roman" w:cs="Times New Roman"/>
                <w:b/>
                <w:sz w:val="24"/>
                <w:szCs w:val="24"/>
                <w:lang w:val="uk-UA" w:eastAsia="ru-RU"/>
              </w:rPr>
              <w:t xml:space="preserve">Асоціацією «УКРТЕЦ», ТОВ «НАФТОГАЗ ТЕПЛО», ПрАТ «МИКОЛАЇВСЬКА ТЕЦ», АТ «ОДЕСЬКА ТЕЦ» </w:t>
            </w:r>
            <w:r w:rsidRPr="0005533E">
              <w:rPr>
                <w:rFonts w:ascii="Times New Roman" w:eastAsia="Times New Roman" w:hAnsi="Times New Roman" w:cs="Times New Roman"/>
                <w:b/>
                <w:sz w:val="24"/>
                <w:szCs w:val="24"/>
                <w:lang w:val="uk-UA"/>
              </w:rPr>
              <w:t>попередньо частково враховуються в редакції:</w:t>
            </w:r>
          </w:p>
          <w:p w14:paraId="5C101DCA" w14:textId="077D8E67" w:rsidR="00DD5941" w:rsidRPr="0005533E" w:rsidRDefault="00651B4A" w:rsidP="00DD5941">
            <w:pPr>
              <w:pStyle w:val="rvps2"/>
              <w:shd w:val="clear" w:color="auto" w:fill="FFFFFF"/>
              <w:spacing w:after="0"/>
              <w:ind w:firstLine="709"/>
              <w:contextualSpacing/>
              <w:rPr>
                <w:highlight w:val="lightGray"/>
                <w:lang w:val="uk-UA"/>
              </w:rPr>
            </w:pPr>
            <w:r w:rsidRPr="0005533E">
              <w:rPr>
                <w:color w:val="333333"/>
                <w:highlight w:val="lightGray"/>
                <w:lang w:val="uk-UA" w:eastAsia="uk-UA"/>
              </w:rPr>
              <w:t>«</w:t>
            </w:r>
            <w:r w:rsidR="00DD5941" w:rsidRPr="0005533E">
              <w:rPr>
                <w:color w:val="333333"/>
                <w:highlight w:val="lightGray"/>
                <w:lang w:val="uk-UA" w:eastAsia="uk-UA"/>
              </w:rPr>
              <w:t>3.3. До складу виробничої собівартості електричної та (або) теплової енергії включаються</w:t>
            </w:r>
            <w:r w:rsidRPr="0005533E">
              <w:rPr>
                <w:color w:val="333333"/>
                <w:highlight w:val="lightGray"/>
                <w:lang w:val="uk-UA" w:eastAsia="uk-UA"/>
              </w:rPr>
              <w:t>:</w:t>
            </w:r>
          </w:p>
          <w:p w14:paraId="7153B675" w14:textId="77777777" w:rsidR="00DD5941" w:rsidRPr="0005533E" w:rsidRDefault="00DD5941" w:rsidP="00DD5941">
            <w:pPr>
              <w:pStyle w:val="rvps2"/>
              <w:shd w:val="clear" w:color="auto" w:fill="FFFFFF"/>
              <w:spacing w:after="0"/>
              <w:ind w:firstLine="709"/>
              <w:contextualSpacing/>
              <w:rPr>
                <w:bCs/>
                <w:highlight w:val="lightGray"/>
                <w:bdr w:val="none" w:sz="0" w:space="0" w:color="auto" w:frame="1"/>
                <w:lang w:val="uk-UA"/>
              </w:rPr>
            </w:pPr>
            <w:r w:rsidRPr="0005533E">
              <w:rPr>
                <w:highlight w:val="lightGray"/>
                <w:lang w:val="uk-UA"/>
              </w:rPr>
              <w:t xml:space="preserve">1) </w:t>
            </w:r>
            <w:r w:rsidRPr="0005533E">
              <w:rPr>
                <w:bCs/>
                <w:highlight w:val="lightGray"/>
                <w:bdr w:val="none" w:sz="0" w:space="0" w:color="auto" w:frame="1"/>
                <w:lang w:val="uk-UA"/>
              </w:rPr>
              <w:t>паливо, а саме:</w:t>
            </w:r>
          </w:p>
          <w:p w14:paraId="338B8BCF" w14:textId="77777777" w:rsidR="00DD5941" w:rsidRPr="0005533E" w:rsidRDefault="00DD5941" w:rsidP="00DD5941">
            <w:pPr>
              <w:pStyle w:val="rvps2"/>
              <w:shd w:val="clear" w:color="auto" w:fill="FFFFFF"/>
              <w:spacing w:after="0"/>
              <w:ind w:firstLine="709"/>
              <w:contextualSpacing/>
              <w:rPr>
                <w:bCs/>
                <w:highlight w:val="lightGray"/>
                <w:bdr w:val="none" w:sz="0" w:space="0" w:color="auto" w:frame="1"/>
                <w:lang w:val="uk-UA"/>
              </w:rPr>
            </w:pPr>
            <w:r w:rsidRPr="0005533E">
              <w:rPr>
                <w:bCs/>
                <w:highlight w:val="lightGray"/>
                <w:bdr w:val="none" w:sz="0" w:space="0" w:color="auto" w:frame="1"/>
                <w:lang w:val="uk-UA"/>
              </w:rPr>
              <w:t>…</w:t>
            </w:r>
          </w:p>
          <w:p w14:paraId="0B7F4DDB" w14:textId="34411D6B" w:rsidR="00DD5941" w:rsidRPr="0005533E" w:rsidRDefault="00DD5941" w:rsidP="00DD5941">
            <w:pPr>
              <w:pStyle w:val="rvps2"/>
              <w:shd w:val="clear" w:color="auto" w:fill="FFFFFF"/>
              <w:spacing w:after="0"/>
              <w:ind w:firstLine="709"/>
              <w:contextualSpacing/>
              <w:rPr>
                <w:highlight w:val="lightGray"/>
                <w:lang w:val="uk-UA"/>
              </w:rPr>
            </w:pPr>
            <w:r w:rsidRPr="0005533E">
              <w:rPr>
                <w:highlight w:val="lightGray"/>
                <w:lang w:val="uk-UA"/>
              </w:rPr>
              <w:t xml:space="preserve">витрати на придбання палива та його транспортування для виробництва електричної та (або) теплової енергії, які визначаються виходячи з планованого обсягу відпуску/виробництва електричної та (або) теплової енергії відповідно до річного плану виробництва, питомих норм витрат паливно-енергетичних ресурсів, </w:t>
            </w:r>
            <w:r w:rsidRPr="0005533E">
              <w:rPr>
                <w:b/>
                <w:highlight w:val="lightGray"/>
                <w:lang w:val="uk-UA"/>
              </w:rPr>
              <w:t>визначених відповідно до</w:t>
            </w:r>
            <w:r w:rsidRPr="0005533E">
              <w:rPr>
                <w:highlight w:val="lightGray"/>
                <w:lang w:val="uk-UA"/>
              </w:rPr>
              <w:t xml:space="preserve"> </w:t>
            </w:r>
            <w:r w:rsidRPr="0005533E">
              <w:rPr>
                <w:b/>
                <w:highlight w:val="lightGray"/>
                <w:lang w:val="uk-UA"/>
              </w:rPr>
              <w:t>положень ГКД 34.09.103-96 та з урахуванням положень п</w:t>
            </w:r>
            <w:r w:rsidRPr="0005533E">
              <w:rPr>
                <w:b/>
                <w:bCs/>
                <w:highlight w:val="lightGray"/>
                <w:lang w:val="uk-UA"/>
              </w:rPr>
              <w:t xml:space="preserve">ункту 5.4.2 нормативного документа </w:t>
            </w:r>
            <w:r w:rsidRPr="0005533E">
              <w:rPr>
                <w:b/>
                <w:highlight w:val="lightGray"/>
                <w:lang w:val="uk-UA"/>
              </w:rPr>
              <w:t xml:space="preserve">ГКД 34.20.507-2003 </w:t>
            </w:r>
            <w:r w:rsidRPr="0005533E">
              <w:rPr>
                <w:b/>
                <w:bCs/>
                <w:highlight w:val="lightGray"/>
                <w:lang w:val="uk-UA"/>
              </w:rPr>
              <w:t xml:space="preserve">«Технічна експлуатація електричних станцій і мереж. Правила», затвердженого </w:t>
            </w:r>
            <w:r w:rsidRPr="0005533E">
              <w:rPr>
                <w:b/>
                <w:bCs/>
                <w:highlight w:val="lightGray"/>
                <w:lang w:val="uk-UA"/>
              </w:rPr>
              <w:lastRenderedPageBreak/>
              <w:t xml:space="preserve">наказом Міністерства палива та енергетики України від 13.06.2003 № 296, </w:t>
            </w:r>
            <w:r w:rsidRPr="0005533E">
              <w:rPr>
                <w:b/>
                <w:highlight w:val="lightGray"/>
                <w:lang w:val="uk-UA"/>
              </w:rPr>
              <w:t>у редакції наказу Міністерства енергетики та вугільної промисловості України від 21.06.2019 № 271 (в  частині складання енергетичних характеристик устаткування та визнач</w:t>
            </w:r>
            <w:r w:rsidR="00651B4A" w:rsidRPr="0005533E">
              <w:rPr>
                <w:b/>
                <w:highlight w:val="lightGray"/>
                <w:lang w:val="uk-UA"/>
              </w:rPr>
              <w:t>е</w:t>
            </w:r>
            <w:r w:rsidRPr="0005533E">
              <w:rPr>
                <w:b/>
                <w:highlight w:val="lightGray"/>
                <w:lang w:val="uk-UA"/>
              </w:rPr>
              <w:t xml:space="preserve">ння обсягів витрат палива на </w:t>
            </w:r>
            <w:r w:rsidRPr="0005533E">
              <w:rPr>
                <w:b/>
                <w:bCs/>
                <w:highlight w:val="lightGray"/>
                <w:lang w:val="uk-UA"/>
              </w:rPr>
              <w:t>виробництво теплової та електричної енергії</w:t>
            </w:r>
            <w:r w:rsidRPr="0005533E">
              <w:rPr>
                <w:b/>
                <w:highlight w:val="lightGray"/>
                <w:lang w:val="uk-UA"/>
              </w:rPr>
              <w:t xml:space="preserve">), </w:t>
            </w:r>
            <w:r w:rsidRPr="0005533E">
              <w:rPr>
                <w:bCs/>
                <w:highlight w:val="lightGray"/>
                <w:lang w:val="uk-UA"/>
              </w:rPr>
              <w:t>діючих/планованих цін (тарифів) на паливно-енергетичні ресурси та послуги (витрати) з ї</w:t>
            </w:r>
            <w:r w:rsidRPr="0005533E">
              <w:rPr>
                <w:highlight w:val="lightGray"/>
                <w:lang w:val="uk-UA"/>
              </w:rPr>
              <w:t xml:space="preserve">х транспортування, тобто з урахуванням усіх планованих логістичних ланцюгів транспортування паливно-енергетичних ресурсів, калорійних еквівалентів, </w:t>
            </w:r>
            <w:r w:rsidRPr="0005533E">
              <w:rPr>
                <w:b/>
                <w:bCs/>
                <w:highlight w:val="lightGray"/>
                <w:lang w:val="uk-UA"/>
              </w:rPr>
              <w:t>якісних характеристик палива,</w:t>
            </w:r>
            <w:r w:rsidRPr="0005533E">
              <w:rPr>
                <w:highlight w:val="lightGray"/>
                <w:lang w:val="uk-UA"/>
              </w:rPr>
              <w:t xml:space="preserve"> обсягу енергії природного газу, визначених умовами договору, сертифікатами постачальників чи даними базового/</w:t>
            </w:r>
            <w:r w:rsidRPr="0005533E">
              <w:rPr>
                <w:b/>
                <w:bCs/>
                <w:highlight w:val="lightGray"/>
                <w:lang w:val="uk-UA"/>
              </w:rPr>
              <w:t>попереднього до базового</w:t>
            </w:r>
            <w:r w:rsidRPr="0005533E">
              <w:rPr>
                <w:highlight w:val="lightGray"/>
                <w:lang w:val="uk-UA"/>
              </w:rPr>
              <w:t xml:space="preserve"> </w:t>
            </w:r>
            <w:r w:rsidRPr="0005533E">
              <w:rPr>
                <w:b/>
                <w:bCs/>
                <w:highlight w:val="lightGray"/>
                <w:lang w:val="uk-UA"/>
              </w:rPr>
              <w:t xml:space="preserve">періоду або інформації  інших </w:t>
            </w:r>
            <w:r w:rsidR="0005533E" w:rsidRPr="0005533E">
              <w:rPr>
                <w:b/>
                <w:bCs/>
                <w:highlight w:val="lightGray"/>
                <w:lang w:val="uk-UA"/>
              </w:rPr>
              <w:t>центральних органів виконавчої влади</w:t>
            </w:r>
            <w:r w:rsidRPr="0005533E">
              <w:rPr>
                <w:b/>
                <w:bCs/>
                <w:highlight w:val="lightGray"/>
                <w:lang w:val="uk-UA"/>
              </w:rPr>
              <w:t>/державних установ</w:t>
            </w:r>
            <w:r w:rsidRPr="0005533E">
              <w:rPr>
                <w:highlight w:val="lightGray"/>
                <w:lang w:val="uk-UA"/>
              </w:rPr>
              <w:t>.</w:t>
            </w:r>
          </w:p>
          <w:p w14:paraId="628644DE" w14:textId="77777777" w:rsidR="00DD5941" w:rsidRPr="0005533E" w:rsidRDefault="00DD5941" w:rsidP="00DD5941">
            <w:pPr>
              <w:pStyle w:val="rvps2"/>
              <w:shd w:val="clear" w:color="auto" w:fill="FFFFFF"/>
              <w:spacing w:after="0"/>
              <w:ind w:firstLine="709"/>
              <w:contextualSpacing/>
              <w:rPr>
                <w:b/>
                <w:color w:val="333333"/>
                <w:highlight w:val="lightGray"/>
                <w:lang w:val="uk-UA"/>
              </w:rPr>
            </w:pPr>
          </w:p>
          <w:p w14:paraId="2DDA933E" w14:textId="457E7ABD" w:rsidR="00DD5941" w:rsidRPr="0005533E" w:rsidRDefault="00DD5941" w:rsidP="00DD5941">
            <w:pPr>
              <w:pStyle w:val="rvps2"/>
              <w:shd w:val="clear" w:color="auto" w:fill="FFFFFF"/>
              <w:spacing w:after="0"/>
              <w:ind w:firstLine="709"/>
              <w:contextualSpacing/>
              <w:rPr>
                <w:highlight w:val="lightGray"/>
                <w:lang w:val="uk-UA"/>
              </w:rPr>
            </w:pPr>
            <w:r w:rsidRPr="0005533E">
              <w:rPr>
                <w:highlight w:val="lightGray"/>
                <w:lang w:val="uk-UA"/>
              </w:rPr>
              <w:t>…</w:t>
            </w:r>
          </w:p>
          <w:p w14:paraId="354F6C58" w14:textId="77777777" w:rsidR="00DD5941" w:rsidRPr="0005533E" w:rsidRDefault="00DD5941" w:rsidP="00DD5941">
            <w:pPr>
              <w:pStyle w:val="rvps2"/>
              <w:shd w:val="clear" w:color="auto" w:fill="FFFFFF"/>
              <w:spacing w:after="0"/>
              <w:ind w:firstLine="709"/>
              <w:contextualSpacing/>
              <w:rPr>
                <w:b/>
                <w:bCs/>
                <w:highlight w:val="lightGray"/>
                <w:lang w:val="uk-UA"/>
              </w:rPr>
            </w:pPr>
            <w:r w:rsidRPr="0005533E">
              <w:rPr>
                <w:b/>
                <w:bCs/>
                <w:highlight w:val="lightGray"/>
                <w:lang w:val="uk-UA"/>
              </w:rPr>
              <w:t xml:space="preserve">При розрахунку питомих витрат палива на відпущену теплову енергію не допускається застосування коефіцієнтів (математичних алгоритмів тощо), які збільшують витрати палива (питомі витрати палива) на виробництво теплової енергії за рахунок зменшення витрат </w:t>
            </w:r>
            <w:r w:rsidRPr="0005533E">
              <w:rPr>
                <w:b/>
                <w:bCs/>
                <w:highlight w:val="lightGray"/>
                <w:lang w:val="uk-UA"/>
              </w:rPr>
              <w:lastRenderedPageBreak/>
              <w:t xml:space="preserve">палива (питомих витрат палива) на виробництво електричної енергії при її комбінованому виробництві та які не передбачені </w:t>
            </w:r>
            <w:r w:rsidRPr="0005533E">
              <w:rPr>
                <w:b/>
                <w:highlight w:val="lightGray"/>
                <w:lang w:val="uk-UA"/>
              </w:rPr>
              <w:t>ГКД 34.09.103-96 та СОУ-Н МПЕ 40.1.09.111:2005</w:t>
            </w:r>
            <w:r w:rsidRPr="0005533E">
              <w:rPr>
                <w:b/>
                <w:bCs/>
                <w:highlight w:val="lightGray"/>
                <w:lang w:val="uk-UA"/>
              </w:rPr>
              <w:t>.</w:t>
            </w:r>
          </w:p>
          <w:p w14:paraId="42FC3600" w14:textId="77777777" w:rsidR="00DD5941" w:rsidRPr="0005533E" w:rsidRDefault="00DD5941" w:rsidP="00DD5941">
            <w:pPr>
              <w:pStyle w:val="rvps2"/>
              <w:shd w:val="clear" w:color="auto" w:fill="FFFFFF"/>
              <w:spacing w:after="0"/>
              <w:ind w:firstLine="709"/>
              <w:contextualSpacing/>
              <w:rPr>
                <w:b/>
                <w:bCs/>
                <w:highlight w:val="lightGray"/>
                <w:lang w:val="uk-UA"/>
              </w:rPr>
            </w:pPr>
            <w:r w:rsidRPr="0005533E">
              <w:rPr>
                <w:b/>
                <w:bCs/>
                <w:highlight w:val="lightGray"/>
                <w:lang w:val="uk-UA"/>
              </w:rPr>
              <w:t>В окремих випадках за наявності обґрунтованих причин на час дії воєнного стану та 6 місяців після його припинення або скасування дозволяється ліцензіатам застосовувати нормативні документи, які використовувалися при розрахунку витрат палива (питомих витрат палива), що враховані в діючих (встановлених) тарифах на виробництво теплової енергії.</w:t>
            </w:r>
          </w:p>
          <w:p w14:paraId="60B06328" w14:textId="77777777" w:rsidR="00DD5941" w:rsidRPr="0005533E" w:rsidRDefault="00DD5941" w:rsidP="00DD5941">
            <w:pPr>
              <w:pStyle w:val="rvps2"/>
              <w:shd w:val="clear" w:color="auto" w:fill="FFFFFF"/>
              <w:spacing w:after="0"/>
              <w:ind w:firstLine="709"/>
              <w:contextualSpacing/>
              <w:rPr>
                <w:b/>
                <w:highlight w:val="lightGray"/>
                <w:lang w:val="uk-UA"/>
              </w:rPr>
            </w:pPr>
          </w:p>
          <w:p w14:paraId="69D8E878" w14:textId="77777777" w:rsidR="00DD5941" w:rsidRPr="0005533E" w:rsidRDefault="00DD5941" w:rsidP="00DD5941">
            <w:pPr>
              <w:shd w:val="clear" w:color="auto" w:fill="FFFFFF"/>
              <w:spacing w:line="240" w:lineRule="auto"/>
              <w:contextualSpacing/>
              <w:jc w:val="both"/>
              <w:rPr>
                <w:rFonts w:ascii="Times New Roman" w:hAnsi="Times New Roman" w:cs="Times New Roman"/>
                <w:color w:val="000000"/>
                <w:sz w:val="24"/>
                <w:szCs w:val="24"/>
                <w:highlight w:val="lightGray"/>
                <w:lang w:val="uk-UA"/>
              </w:rPr>
            </w:pPr>
            <w:r w:rsidRPr="0005533E">
              <w:rPr>
                <w:rFonts w:ascii="Times New Roman" w:hAnsi="Times New Roman" w:cs="Times New Roman"/>
                <w:color w:val="000000"/>
                <w:sz w:val="24"/>
                <w:szCs w:val="24"/>
                <w:highlight w:val="lightGray"/>
                <w:lang w:val="uk-UA"/>
              </w:rPr>
              <w:t>…</w:t>
            </w:r>
          </w:p>
          <w:p w14:paraId="415B35DC" w14:textId="1D9D2A28" w:rsidR="00DD5941" w:rsidRPr="0005533E" w:rsidRDefault="00DD5941" w:rsidP="00DD5941">
            <w:pPr>
              <w:shd w:val="clear" w:color="auto" w:fill="FFFFFF"/>
              <w:spacing w:line="240" w:lineRule="auto"/>
              <w:ind w:firstLine="450"/>
              <w:contextualSpacing/>
              <w:jc w:val="both"/>
              <w:rPr>
                <w:rFonts w:ascii="Times New Roman" w:eastAsia="Times New Roman" w:hAnsi="Times New Roman" w:cs="Times New Roman"/>
                <w:sz w:val="24"/>
                <w:szCs w:val="24"/>
                <w:lang w:val="uk-UA" w:eastAsia="uk-UA"/>
              </w:rPr>
            </w:pPr>
            <w:r w:rsidRPr="0005533E">
              <w:rPr>
                <w:rFonts w:ascii="Times New Roman" w:eastAsia="Times New Roman" w:hAnsi="Times New Roman" w:cs="Times New Roman"/>
                <w:sz w:val="24"/>
                <w:szCs w:val="24"/>
                <w:highlight w:val="lightGray"/>
                <w:lang w:val="uk-UA" w:eastAsia="uk-UA"/>
              </w:rPr>
              <w:t xml:space="preserve">При формуванні, розрахунку та встановленні тарифів на виробництво теплової енергії витрати на паливо та структура використання палива (у разі використання декількох видів палива при виробництві електричної та теплової енергії) </w:t>
            </w:r>
            <w:r w:rsidRPr="0005533E">
              <w:rPr>
                <w:rFonts w:ascii="Times New Roman" w:eastAsia="Times New Roman" w:hAnsi="Times New Roman" w:cs="Times New Roman"/>
                <w:b/>
                <w:sz w:val="24"/>
                <w:szCs w:val="24"/>
                <w:highlight w:val="lightGray"/>
                <w:lang w:val="uk-UA" w:eastAsia="uk-UA"/>
              </w:rPr>
              <w:t>визначаються</w:t>
            </w:r>
            <w:r w:rsidRPr="0005533E">
              <w:rPr>
                <w:rFonts w:ascii="Times New Roman" w:eastAsia="Times New Roman" w:hAnsi="Times New Roman" w:cs="Times New Roman"/>
                <w:sz w:val="24"/>
                <w:szCs w:val="24"/>
                <w:highlight w:val="lightGray"/>
                <w:lang w:val="uk-UA" w:eastAsia="uk-UA"/>
              </w:rPr>
              <w:t xml:space="preserve"> </w:t>
            </w:r>
            <w:r w:rsidRPr="0005533E">
              <w:rPr>
                <w:rFonts w:ascii="Times New Roman" w:eastAsia="Times New Roman" w:hAnsi="Times New Roman" w:cs="Times New Roman"/>
                <w:b/>
                <w:sz w:val="24"/>
                <w:szCs w:val="24"/>
                <w:highlight w:val="lightGray"/>
                <w:lang w:val="uk-UA" w:eastAsia="uk-UA"/>
              </w:rPr>
              <w:t xml:space="preserve">з урахуванням </w:t>
            </w:r>
            <w:r w:rsidRPr="0005533E">
              <w:rPr>
                <w:rFonts w:ascii="Times New Roman" w:eastAsia="Times New Roman" w:hAnsi="Times New Roman" w:cs="Times New Roman"/>
                <w:sz w:val="24"/>
                <w:szCs w:val="24"/>
                <w:highlight w:val="lightGray"/>
                <w:lang w:val="uk-UA" w:eastAsia="uk-UA"/>
              </w:rPr>
              <w:t xml:space="preserve">аналізу фактичних даних за попередні періоди виходячи з особливостей роботи генеруючого обладнання та устаткування конкретного ліцензіата, режимів роботи генеруючого обладнання та устаткування, можливості використання паливно-енергетичних ресурсів з найменшою вартістю </w:t>
            </w:r>
            <w:r w:rsidRPr="0005533E">
              <w:rPr>
                <w:rFonts w:ascii="Times New Roman" w:eastAsia="Times New Roman" w:hAnsi="Times New Roman" w:cs="Times New Roman"/>
                <w:b/>
                <w:sz w:val="24"/>
                <w:szCs w:val="24"/>
                <w:highlight w:val="lightGray"/>
                <w:lang w:val="uk-UA" w:eastAsia="uk-UA"/>
              </w:rPr>
              <w:t>для досягнення найнижчої собівартості,</w:t>
            </w:r>
            <w:r w:rsidRPr="0005533E">
              <w:rPr>
                <w:rFonts w:ascii="Times New Roman" w:eastAsia="Times New Roman" w:hAnsi="Times New Roman" w:cs="Times New Roman"/>
                <w:sz w:val="24"/>
                <w:szCs w:val="24"/>
                <w:highlight w:val="lightGray"/>
                <w:lang w:val="uk-UA" w:eastAsia="uk-UA"/>
              </w:rPr>
              <w:t xml:space="preserve"> технічного стану чи технічної </w:t>
            </w:r>
            <w:r w:rsidRPr="0005533E">
              <w:rPr>
                <w:rFonts w:ascii="Times New Roman" w:eastAsia="Times New Roman" w:hAnsi="Times New Roman" w:cs="Times New Roman"/>
                <w:sz w:val="24"/>
                <w:szCs w:val="24"/>
                <w:highlight w:val="lightGray"/>
                <w:lang w:val="uk-UA" w:eastAsia="uk-UA"/>
              </w:rPr>
              <w:lastRenderedPageBreak/>
              <w:t>можливості роботи генеруючого обладнання та устаткування (значення максимального та мінімального навантажень котлів і турбін, характер добового графіка зміни навантаження, старіння устаткування, освоєння введеного устаткування, структура і якість спалюваного палива, температура зовнішнього повітря, температура охолоджувальної води на вході в конденсатори турбін тощо), а також інших зовнішніх факторів.</w:t>
            </w:r>
            <w:r w:rsidR="002B100F" w:rsidRPr="0005533E">
              <w:rPr>
                <w:rFonts w:ascii="Times New Roman" w:eastAsia="Times New Roman" w:hAnsi="Times New Roman" w:cs="Times New Roman"/>
                <w:sz w:val="24"/>
                <w:szCs w:val="24"/>
                <w:highlight w:val="lightGray"/>
                <w:lang w:val="uk-UA" w:eastAsia="uk-UA"/>
              </w:rPr>
              <w:t>»</w:t>
            </w:r>
          </w:p>
          <w:p w14:paraId="632E12D6" w14:textId="77777777" w:rsidR="00DD5941" w:rsidRPr="0005533E" w:rsidRDefault="00DD5941" w:rsidP="00DD5941">
            <w:pPr>
              <w:pStyle w:val="rvps2"/>
              <w:shd w:val="clear" w:color="auto" w:fill="FFFFFF"/>
              <w:spacing w:after="0"/>
              <w:ind w:firstLine="709"/>
              <w:contextualSpacing/>
              <w:rPr>
                <w:b/>
                <w:lang w:val="uk-UA"/>
              </w:rPr>
            </w:pPr>
          </w:p>
          <w:p w14:paraId="79957461" w14:textId="77777777" w:rsidR="00DD5941" w:rsidRPr="0005533E" w:rsidRDefault="00DD5941" w:rsidP="00DD5941">
            <w:pPr>
              <w:pStyle w:val="rvps2"/>
              <w:shd w:val="clear" w:color="auto" w:fill="FFFFFF"/>
              <w:spacing w:after="0"/>
              <w:ind w:firstLine="709"/>
              <w:contextualSpacing/>
              <w:rPr>
                <w:bCs/>
                <w:i/>
                <w:iCs/>
                <w:lang w:val="uk-UA"/>
              </w:rPr>
            </w:pPr>
            <w:r w:rsidRPr="0005533E">
              <w:rPr>
                <w:bCs/>
                <w:i/>
                <w:iCs/>
                <w:lang w:val="uk-UA"/>
              </w:rPr>
              <w:t>Обґрунтування:</w:t>
            </w:r>
          </w:p>
          <w:p w14:paraId="759EA8DE" w14:textId="77777777" w:rsidR="00DD5941" w:rsidRPr="0005533E" w:rsidRDefault="00DD5941" w:rsidP="00DD5941">
            <w:pPr>
              <w:pStyle w:val="rvps2"/>
              <w:shd w:val="clear" w:color="auto" w:fill="FFFFFF"/>
              <w:spacing w:after="0"/>
              <w:ind w:firstLine="709"/>
              <w:contextualSpacing/>
              <w:rPr>
                <w:b/>
                <w:lang w:val="uk-UA"/>
              </w:rPr>
            </w:pPr>
          </w:p>
          <w:p w14:paraId="62C141C2" w14:textId="2C5471EB" w:rsidR="00DD5941" w:rsidRPr="0005533E" w:rsidRDefault="00DD5941" w:rsidP="00DD5941">
            <w:pPr>
              <w:pStyle w:val="rvps2"/>
              <w:shd w:val="clear" w:color="auto" w:fill="FFFFFF"/>
              <w:spacing w:after="0"/>
              <w:ind w:firstLine="709"/>
              <w:contextualSpacing/>
              <w:rPr>
                <w:bCs/>
                <w:lang w:val="uk-UA"/>
              </w:rPr>
            </w:pPr>
            <w:r w:rsidRPr="0005533E">
              <w:rPr>
                <w:bCs/>
                <w:lang w:val="uk-UA"/>
              </w:rPr>
              <w:t xml:space="preserve">Положеннями пункту 5.4.2 нормативного </w:t>
            </w:r>
            <w:bookmarkStart w:id="2" w:name="_Hlk182823878"/>
            <w:r w:rsidRPr="0005533E">
              <w:rPr>
                <w:bCs/>
                <w:lang w:val="uk-UA"/>
              </w:rPr>
              <w:t>документа ГКД 34.20.507-2003 «Технічна експлуатація електричних станцій і мереж. Правила»</w:t>
            </w:r>
            <w:bookmarkEnd w:id="2"/>
            <w:r w:rsidRPr="0005533E">
              <w:rPr>
                <w:bCs/>
                <w:lang w:val="uk-UA"/>
              </w:rPr>
              <w:t xml:space="preserve">, затвердженого наказом Міністерства палива та енергетики України від 13.06.2003 № 296, у редакції наказу Міністерства енергетики та вугільної промисловості України від 21.06.2019 № 271 передбачено, що методологічне визначення основних ТЕП роботи устаткування має базуватися на матеріальних і енергетичних балансах. Порядок визначення фактичних, нормативних основних та проміжних ТЕП здійснюється згідно з ГКД 34.09.103, ГКД 34.09.107, ГКД 34.20.541, ГНД 34.09.104, ГНД 34.09.203, СОУ 40.1-21677681-32, СОУ-Н МНЕ 40.1.09.111, СОУ-Н МПЕ 40.1.09.151, </w:t>
            </w:r>
            <w:r w:rsidRPr="0005533E">
              <w:rPr>
                <w:bCs/>
                <w:lang w:val="uk-UA"/>
              </w:rPr>
              <w:lastRenderedPageBreak/>
              <w:t xml:space="preserve">СОУ-Н ЕЕ 40.1-00100227-96, СОУ-Н ЕЕ 40.1-37471933-82. </w:t>
            </w:r>
            <w:r w:rsidR="002B100F" w:rsidRPr="0005533E">
              <w:rPr>
                <w:bCs/>
                <w:lang w:val="uk-UA"/>
              </w:rPr>
              <w:t>Водночас</w:t>
            </w:r>
            <w:r w:rsidRPr="0005533E">
              <w:rPr>
                <w:bCs/>
                <w:lang w:val="uk-UA"/>
              </w:rPr>
              <w:t xml:space="preserve"> має бути забезпечено методологічну єдність і автоматизацію розрахунків фактичних і нормативних ТЕП, створення бази даних ТЕП.</w:t>
            </w:r>
          </w:p>
          <w:p w14:paraId="2B04AC15" w14:textId="463AC284" w:rsidR="00DD5941" w:rsidRPr="0005533E" w:rsidRDefault="00DD5941" w:rsidP="00DD5941">
            <w:pPr>
              <w:pStyle w:val="rvps2"/>
              <w:shd w:val="clear" w:color="auto" w:fill="FFFFFF"/>
              <w:ind w:firstLine="709"/>
              <w:rPr>
                <w:b/>
                <w:lang w:val="uk-UA"/>
              </w:rPr>
            </w:pPr>
            <w:r w:rsidRPr="0005533E">
              <w:rPr>
                <w:lang w:val="uk-UA"/>
              </w:rPr>
              <w:t xml:space="preserve">Враховуючи зазначене, посилання на ГКД 34.09.103-96 та відповідний пункт ГКД 34.20.507-2003 </w:t>
            </w:r>
            <w:r w:rsidRPr="0005533E">
              <w:rPr>
                <w:bCs/>
                <w:lang w:val="uk-UA"/>
              </w:rPr>
              <w:t xml:space="preserve">враховує (включає) основні пропозиції до пункту 3.3 </w:t>
            </w:r>
            <w:r w:rsidR="002B100F" w:rsidRPr="0005533E">
              <w:rPr>
                <w:bCs/>
                <w:lang w:val="uk-UA"/>
              </w:rPr>
              <w:t>п</w:t>
            </w:r>
            <w:r w:rsidRPr="0005533E">
              <w:rPr>
                <w:bCs/>
                <w:lang w:val="uk-UA"/>
              </w:rPr>
              <w:t xml:space="preserve">роєкту </w:t>
            </w:r>
            <w:r w:rsidR="00D65D68" w:rsidRPr="0005533E">
              <w:rPr>
                <w:bCs/>
                <w:lang w:val="uk-UA"/>
              </w:rPr>
              <w:t>зазначеної Методики</w:t>
            </w:r>
            <w:r w:rsidRPr="0005533E">
              <w:rPr>
                <w:bCs/>
                <w:lang w:val="uk-UA"/>
              </w:rPr>
              <w:t>, що були надані ліцензіатами, в частині деталізації галузевих документів, задіяних в розрахунку питомих витрат палива при комбінованому виробництві теплової та електричної енергії.</w:t>
            </w:r>
          </w:p>
          <w:p w14:paraId="6D4A7E17" w14:textId="7AB73652" w:rsidR="00DD5941" w:rsidRPr="0005533E" w:rsidRDefault="00DD5941" w:rsidP="00DD5941">
            <w:pPr>
              <w:pStyle w:val="rvps2"/>
              <w:shd w:val="clear" w:color="auto" w:fill="FFFFFF"/>
              <w:ind w:firstLine="709"/>
              <w:rPr>
                <w:bCs/>
                <w:lang w:val="uk-UA"/>
              </w:rPr>
            </w:pPr>
            <w:r w:rsidRPr="0005533E">
              <w:rPr>
                <w:bCs/>
                <w:lang w:val="uk-UA"/>
              </w:rPr>
              <w:t>Разом з цим, для недопущення віднесення економічно необґрунтованих витрат на діяльність з виробництва теплової енергії, і як наслідок розрахунку економічно необґрунтованих тарифів на виробництво теплової енергії, або їх зростання, у тому числі за рахунок безпідставного перерозподілу палива, необґрунтованого збільшення дотацій з Д</w:t>
            </w:r>
            <w:r w:rsidR="00451F3F" w:rsidRPr="0005533E">
              <w:rPr>
                <w:bCs/>
                <w:lang w:val="uk-UA"/>
              </w:rPr>
              <w:t xml:space="preserve">ержавного бюджету України </w:t>
            </w:r>
            <w:r w:rsidRPr="0005533E">
              <w:rPr>
                <w:bCs/>
                <w:lang w:val="uk-UA"/>
              </w:rPr>
              <w:t xml:space="preserve">уточнено застосування коефіцієнтів (математичних алгоритмів тощо), які збільшують витрати палива (питомі витрати палива) на виробництво теплової енергії за рахунок зменшення витрат палива (питомих витрат палива) на виробництво електричної енергії при її комбінованому виробництві та </w:t>
            </w:r>
            <w:r w:rsidRPr="0005533E">
              <w:rPr>
                <w:bCs/>
                <w:lang w:val="uk-UA"/>
              </w:rPr>
              <w:lastRenderedPageBreak/>
              <w:t>які не передбачені ГКД 34.09.103-96 та СОУ-Н МПЕ 40.1.09.111:2005.</w:t>
            </w:r>
          </w:p>
          <w:p w14:paraId="51596AC5" w14:textId="41126916" w:rsidR="00632BEB" w:rsidRPr="0005533E" w:rsidRDefault="00DD5941" w:rsidP="00DD5941">
            <w:pPr>
              <w:widowControl w:val="0"/>
              <w:pBdr>
                <w:top w:val="nil"/>
                <w:left w:val="nil"/>
                <w:bottom w:val="nil"/>
                <w:right w:val="nil"/>
                <w:between w:val="nil"/>
              </w:pBdr>
              <w:spacing w:line="240" w:lineRule="auto"/>
              <w:contextualSpacing/>
              <w:jc w:val="both"/>
              <w:rPr>
                <w:rFonts w:ascii="Times New Roman" w:hAnsi="Times New Roman" w:cs="Times New Roman"/>
                <w:b/>
                <w:bCs/>
                <w:sz w:val="24"/>
                <w:szCs w:val="24"/>
                <w:lang w:val="uk-UA" w:eastAsia="ru-RU"/>
              </w:rPr>
            </w:pPr>
            <w:r w:rsidRPr="0005533E">
              <w:rPr>
                <w:rFonts w:ascii="Times New Roman" w:hAnsi="Times New Roman" w:cs="Times New Roman"/>
                <w:bCs/>
                <w:sz w:val="24"/>
                <w:szCs w:val="24"/>
                <w:lang w:val="uk-UA"/>
              </w:rPr>
              <w:t xml:space="preserve">Крім того, враховуючи збройну агресію </w:t>
            </w:r>
            <w:proofErr w:type="spellStart"/>
            <w:r w:rsidRPr="0005533E">
              <w:rPr>
                <w:rFonts w:ascii="Times New Roman" w:hAnsi="Times New Roman" w:cs="Times New Roman"/>
                <w:bCs/>
                <w:sz w:val="24"/>
                <w:szCs w:val="24"/>
                <w:lang w:val="uk-UA"/>
              </w:rPr>
              <w:t>рф</w:t>
            </w:r>
            <w:proofErr w:type="spellEnd"/>
            <w:r w:rsidRPr="0005533E">
              <w:rPr>
                <w:rFonts w:ascii="Times New Roman" w:hAnsi="Times New Roman" w:cs="Times New Roman"/>
                <w:bCs/>
                <w:sz w:val="24"/>
                <w:szCs w:val="24"/>
                <w:lang w:val="uk-UA"/>
              </w:rPr>
              <w:t xml:space="preserve">, для недопущення збільшення вартості послуг сторонніх організацій та ускладнення розрахунків </w:t>
            </w:r>
            <w:r w:rsidRPr="0005533E">
              <w:rPr>
                <w:rFonts w:ascii="Times New Roman" w:hAnsi="Times New Roman" w:cs="Times New Roman"/>
                <w:sz w:val="24"/>
                <w:szCs w:val="24"/>
                <w:lang w:val="uk-UA"/>
              </w:rPr>
              <w:t>витрат на придбання палива</w:t>
            </w:r>
            <w:r w:rsidRPr="0005533E">
              <w:rPr>
                <w:rFonts w:ascii="Times New Roman" w:hAnsi="Times New Roman" w:cs="Times New Roman"/>
                <w:bCs/>
                <w:sz w:val="24"/>
                <w:szCs w:val="24"/>
                <w:lang w:val="uk-UA"/>
              </w:rPr>
              <w:t xml:space="preserve"> при формуванні тарифів на виробництво теплової енергії для ліцензіатів передбачена можливість </w:t>
            </w:r>
            <w:r w:rsidRPr="0005533E">
              <w:rPr>
                <w:rFonts w:ascii="Times New Roman" w:hAnsi="Times New Roman" w:cs="Times New Roman"/>
                <w:b/>
                <w:bCs/>
                <w:sz w:val="24"/>
                <w:szCs w:val="24"/>
                <w:lang w:val="uk-UA"/>
              </w:rPr>
              <w:t>застосовувати нормативні документи, які використовувалися при розрахунку витрат палива (питомих витрат палива), що враховані в діючих (встановлених) тарифах на виробництво теплової енергії.</w:t>
            </w:r>
          </w:p>
        </w:tc>
      </w:tr>
      <w:tr w:rsidR="00632BEB" w:rsidRPr="00DD5941" w14:paraId="0BA66911" w14:textId="77777777" w:rsidTr="0036398C">
        <w:trPr>
          <w:trHeight w:val="293"/>
          <w:jc w:val="center"/>
        </w:trPr>
        <w:tc>
          <w:tcPr>
            <w:tcW w:w="5093" w:type="dxa"/>
            <w:vMerge/>
            <w:shd w:val="clear" w:color="auto" w:fill="auto"/>
            <w:tcMar>
              <w:top w:w="100" w:type="dxa"/>
              <w:left w:w="100" w:type="dxa"/>
              <w:bottom w:w="100" w:type="dxa"/>
              <w:right w:w="100" w:type="dxa"/>
            </w:tcMar>
          </w:tcPr>
          <w:p w14:paraId="30D50E82" w14:textId="77777777" w:rsidR="00632BEB" w:rsidRPr="00DD5941" w:rsidRDefault="00632BEB" w:rsidP="00A00C8F">
            <w:pPr>
              <w:shd w:val="clear" w:color="auto" w:fill="FFFFFF"/>
              <w:spacing w:line="240" w:lineRule="auto"/>
              <w:jc w:val="both"/>
              <w:rPr>
                <w:rFonts w:ascii="Times New Roman" w:eastAsia="Times New Roman" w:hAnsi="Times New Roman" w:cs="Times New Roman"/>
                <w:sz w:val="24"/>
                <w:szCs w:val="24"/>
                <w:lang w:val="uk-UA" w:eastAsia="uk-UA"/>
              </w:rPr>
            </w:pPr>
          </w:p>
        </w:tc>
        <w:tc>
          <w:tcPr>
            <w:tcW w:w="2835" w:type="dxa"/>
            <w:tcMar>
              <w:top w:w="100" w:type="dxa"/>
              <w:left w:w="100" w:type="dxa"/>
              <w:bottom w:w="100" w:type="dxa"/>
              <w:right w:w="100" w:type="dxa"/>
            </w:tcMar>
            <w:vAlign w:val="center"/>
          </w:tcPr>
          <w:p w14:paraId="13102572" w14:textId="6BFD5A69" w:rsidR="00632BEB" w:rsidRPr="00DD5941" w:rsidRDefault="00632BEB" w:rsidP="00A00C8F">
            <w:pPr>
              <w:spacing w:line="240" w:lineRule="auto"/>
              <w:contextualSpacing/>
              <w:rPr>
                <w:rFonts w:ascii="Times New Roman" w:hAnsi="Times New Roman" w:cs="Times New Roman"/>
                <w:b/>
                <w:bCs/>
                <w:i/>
                <w:iCs/>
                <w:sz w:val="24"/>
                <w:szCs w:val="24"/>
                <w:lang w:val="uk-UA" w:eastAsia="ru-RU"/>
              </w:rPr>
            </w:pPr>
            <w:r w:rsidRPr="00DD5941">
              <w:rPr>
                <w:rFonts w:ascii="Times New Roman" w:hAnsi="Times New Roman" w:cs="Times New Roman"/>
                <w:bCs/>
                <w:sz w:val="24"/>
                <w:szCs w:val="24"/>
                <w:lang w:val="uk-UA"/>
              </w:rPr>
              <w:t>ГКД 34.09.103-96</w:t>
            </w:r>
          </w:p>
        </w:tc>
        <w:tc>
          <w:tcPr>
            <w:tcW w:w="2694" w:type="dxa"/>
            <w:vAlign w:val="center"/>
          </w:tcPr>
          <w:p w14:paraId="789A691D" w14:textId="7182625B" w:rsidR="00632BEB" w:rsidRPr="00DD5941" w:rsidRDefault="00632BEB" w:rsidP="00A00C8F">
            <w:pPr>
              <w:spacing w:line="240" w:lineRule="auto"/>
              <w:contextualSpacing/>
              <w:rPr>
                <w:rFonts w:ascii="Times New Roman" w:hAnsi="Times New Roman" w:cs="Times New Roman"/>
                <w:b/>
                <w:bCs/>
                <w:i/>
                <w:iCs/>
                <w:sz w:val="24"/>
                <w:szCs w:val="24"/>
                <w:lang w:val="uk-UA" w:eastAsia="ru-RU"/>
              </w:rPr>
            </w:pPr>
            <w:r w:rsidRPr="00DD5941">
              <w:rPr>
                <w:rFonts w:ascii="Times New Roman" w:hAnsi="Times New Roman" w:cs="Times New Roman"/>
                <w:bCs/>
                <w:sz w:val="24"/>
                <w:szCs w:val="24"/>
                <w:lang w:val="uk-UA"/>
              </w:rPr>
              <w:t>ГКД 34.09.100-2003</w:t>
            </w:r>
          </w:p>
        </w:tc>
        <w:tc>
          <w:tcPr>
            <w:tcW w:w="4830" w:type="dxa"/>
            <w:vMerge/>
            <w:shd w:val="clear" w:color="auto" w:fill="auto"/>
            <w:tcMar>
              <w:top w:w="100" w:type="dxa"/>
              <w:left w:w="100" w:type="dxa"/>
              <w:bottom w:w="100" w:type="dxa"/>
              <w:right w:w="100" w:type="dxa"/>
            </w:tcMar>
          </w:tcPr>
          <w:p w14:paraId="56BF8036" w14:textId="7F9EDD0E" w:rsidR="00632BEB" w:rsidRPr="00DD5941" w:rsidRDefault="00632BEB" w:rsidP="00A00C8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tc>
      </w:tr>
      <w:tr w:rsidR="00632BEB" w:rsidRPr="00DD5941" w14:paraId="20CF60E3" w14:textId="77777777" w:rsidTr="0036398C">
        <w:trPr>
          <w:trHeight w:val="292"/>
          <w:jc w:val="center"/>
        </w:trPr>
        <w:tc>
          <w:tcPr>
            <w:tcW w:w="5093" w:type="dxa"/>
            <w:vMerge/>
            <w:shd w:val="clear" w:color="auto" w:fill="auto"/>
            <w:tcMar>
              <w:top w:w="100" w:type="dxa"/>
              <w:left w:w="100" w:type="dxa"/>
              <w:bottom w:w="100" w:type="dxa"/>
              <w:right w:w="100" w:type="dxa"/>
            </w:tcMar>
          </w:tcPr>
          <w:p w14:paraId="1E52A7BE" w14:textId="77777777" w:rsidR="00632BEB" w:rsidRPr="00DD5941" w:rsidRDefault="00632BEB" w:rsidP="00A00C8F">
            <w:pPr>
              <w:shd w:val="clear" w:color="auto" w:fill="FFFFFF"/>
              <w:spacing w:line="240" w:lineRule="auto"/>
              <w:jc w:val="both"/>
              <w:rPr>
                <w:rFonts w:ascii="Times New Roman" w:eastAsia="Times New Roman" w:hAnsi="Times New Roman" w:cs="Times New Roman"/>
                <w:sz w:val="24"/>
                <w:szCs w:val="24"/>
                <w:lang w:val="uk-UA" w:eastAsia="uk-UA"/>
              </w:rPr>
            </w:pPr>
          </w:p>
        </w:tc>
        <w:tc>
          <w:tcPr>
            <w:tcW w:w="2835" w:type="dxa"/>
            <w:tcMar>
              <w:top w:w="100" w:type="dxa"/>
              <w:left w:w="100" w:type="dxa"/>
              <w:bottom w:w="100" w:type="dxa"/>
              <w:right w:w="100" w:type="dxa"/>
            </w:tcMar>
          </w:tcPr>
          <w:p w14:paraId="3686EDAC" w14:textId="77777777" w:rsidR="00632BEB" w:rsidRPr="00DD5941" w:rsidRDefault="00632BEB" w:rsidP="00A00C8F">
            <w:pPr>
              <w:pStyle w:val="a6"/>
              <w:ind w:left="0" w:firstLine="24"/>
              <w:jc w:val="both"/>
              <w:rPr>
                <w:rFonts w:ascii="Times New Roman" w:hAnsi="Times New Roman" w:cs="Times New Roman"/>
                <w:sz w:val="24"/>
                <w:szCs w:val="24"/>
                <w:lang w:val="uk-UA"/>
              </w:rPr>
            </w:pPr>
            <w:proofErr w:type="spellStart"/>
            <w:r w:rsidRPr="00DD5941">
              <w:rPr>
                <w:rFonts w:ascii="Times New Roman" w:hAnsi="Times New Roman" w:cs="Times New Roman"/>
                <w:sz w:val="24"/>
                <w:szCs w:val="24"/>
                <w:lang w:val="uk-UA"/>
              </w:rPr>
              <w:t>Ве</w:t>
            </w:r>
            <w:proofErr w:type="spellEnd"/>
            <w:r w:rsidRPr="00DD5941">
              <w:rPr>
                <w:rFonts w:ascii="Times New Roman" w:hAnsi="Times New Roman" w:cs="Times New Roman"/>
                <w:sz w:val="24"/>
                <w:szCs w:val="24"/>
                <w:lang w:val="uk-UA"/>
              </w:rPr>
              <w:t xml:space="preserve"> =154,7 г/кВт/г</w:t>
            </w:r>
          </w:p>
          <w:p w14:paraId="7158AD5F" w14:textId="77777777" w:rsidR="00632BEB" w:rsidRPr="00DD5941" w:rsidRDefault="00632BEB" w:rsidP="00A00C8F">
            <w:pPr>
              <w:pStyle w:val="a6"/>
              <w:ind w:left="0" w:firstLine="24"/>
              <w:jc w:val="both"/>
              <w:rPr>
                <w:rFonts w:ascii="Times New Roman" w:hAnsi="Times New Roman" w:cs="Times New Roman"/>
                <w:sz w:val="24"/>
                <w:szCs w:val="24"/>
                <w:lang w:val="uk-UA"/>
              </w:rPr>
            </w:pPr>
            <w:r w:rsidRPr="00DD5941">
              <w:rPr>
                <w:rFonts w:ascii="Times New Roman" w:hAnsi="Times New Roman" w:cs="Times New Roman"/>
                <w:sz w:val="24"/>
                <w:szCs w:val="24"/>
                <w:lang w:val="uk-UA"/>
              </w:rPr>
              <w:t>В</w:t>
            </w:r>
            <w:r w:rsidRPr="00DD5941">
              <w:rPr>
                <w:rFonts w:ascii="Times New Roman" w:hAnsi="Times New Roman" w:cs="Times New Roman"/>
                <w:sz w:val="24"/>
                <w:szCs w:val="24"/>
                <w:vertAlign w:val="subscript"/>
                <w:lang w:val="uk-UA"/>
              </w:rPr>
              <w:t xml:space="preserve">т  </w:t>
            </w:r>
            <w:r w:rsidRPr="00DD5941">
              <w:rPr>
                <w:rFonts w:ascii="Times New Roman" w:hAnsi="Times New Roman" w:cs="Times New Roman"/>
                <w:sz w:val="24"/>
                <w:szCs w:val="24"/>
                <w:lang w:val="uk-UA"/>
              </w:rPr>
              <w:t>= 152,7 кг/</w:t>
            </w:r>
            <w:proofErr w:type="spellStart"/>
            <w:r w:rsidRPr="00DD5941">
              <w:rPr>
                <w:rFonts w:ascii="Times New Roman" w:hAnsi="Times New Roman" w:cs="Times New Roman"/>
                <w:sz w:val="24"/>
                <w:szCs w:val="24"/>
                <w:lang w:val="uk-UA"/>
              </w:rPr>
              <w:t>Гкал</w:t>
            </w:r>
            <w:proofErr w:type="spellEnd"/>
          </w:p>
          <w:p w14:paraId="71FFFB69" w14:textId="77777777" w:rsidR="00632BEB" w:rsidRPr="00DD5941" w:rsidRDefault="00632BEB" w:rsidP="00A00C8F">
            <w:pPr>
              <w:pStyle w:val="a6"/>
              <w:ind w:left="0" w:firstLine="24"/>
              <w:jc w:val="both"/>
              <w:rPr>
                <w:rFonts w:ascii="Times New Roman" w:hAnsi="Times New Roman" w:cs="Times New Roman"/>
                <w:sz w:val="24"/>
                <w:szCs w:val="24"/>
                <w:lang w:val="uk-UA"/>
              </w:rPr>
            </w:pPr>
            <w:proofErr w:type="spellStart"/>
            <w:r w:rsidRPr="00DD5941">
              <w:rPr>
                <w:rFonts w:ascii="Times New Roman" w:hAnsi="Times New Roman" w:cs="Times New Roman"/>
                <w:sz w:val="24"/>
                <w:szCs w:val="24"/>
                <w:lang w:val="uk-UA"/>
              </w:rPr>
              <w:t>Розполіл</w:t>
            </w:r>
            <w:proofErr w:type="spellEnd"/>
            <w:r w:rsidRPr="00DD5941">
              <w:rPr>
                <w:rFonts w:ascii="Times New Roman" w:hAnsi="Times New Roman" w:cs="Times New Roman"/>
                <w:sz w:val="24"/>
                <w:szCs w:val="24"/>
                <w:lang w:val="uk-UA"/>
              </w:rPr>
              <w:t xml:space="preserve"> палива</w:t>
            </w:r>
          </w:p>
          <w:p w14:paraId="045CEC8D" w14:textId="77777777" w:rsidR="00632BEB" w:rsidRPr="00DD5941" w:rsidRDefault="00632BEB" w:rsidP="00A00C8F">
            <w:pPr>
              <w:pStyle w:val="a6"/>
              <w:ind w:left="0" w:firstLine="24"/>
              <w:jc w:val="both"/>
              <w:rPr>
                <w:rFonts w:ascii="Times New Roman" w:hAnsi="Times New Roman" w:cs="Times New Roman"/>
                <w:sz w:val="24"/>
                <w:szCs w:val="24"/>
                <w:lang w:val="uk-UA"/>
              </w:rPr>
            </w:pPr>
            <w:proofErr w:type="spellStart"/>
            <w:r w:rsidRPr="00DD5941">
              <w:rPr>
                <w:rFonts w:ascii="Times New Roman" w:hAnsi="Times New Roman" w:cs="Times New Roman"/>
                <w:sz w:val="24"/>
                <w:szCs w:val="24"/>
                <w:lang w:val="uk-UA"/>
              </w:rPr>
              <w:t>Ве</w:t>
            </w:r>
            <w:proofErr w:type="spellEnd"/>
            <w:r w:rsidRPr="00DD5941">
              <w:rPr>
                <w:rFonts w:ascii="Times New Roman" w:hAnsi="Times New Roman" w:cs="Times New Roman"/>
                <w:sz w:val="24"/>
                <w:szCs w:val="24"/>
                <w:lang w:val="uk-UA"/>
              </w:rPr>
              <w:t xml:space="preserve"> = 1630 </w:t>
            </w:r>
            <w:proofErr w:type="spellStart"/>
            <w:r w:rsidRPr="00DD5941">
              <w:rPr>
                <w:rFonts w:ascii="Times New Roman" w:hAnsi="Times New Roman" w:cs="Times New Roman"/>
                <w:sz w:val="24"/>
                <w:szCs w:val="24"/>
                <w:lang w:val="uk-UA"/>
              </w:rPr>
              <w:t>т.у.п</w:t>
            </w:r>
            <w:proofErr w:type="spellEnd"/>
            <w:r w:rsidRPr="00DD5941">
              <w:rPr>
                <w:rFonts w:ascii="Times New Roman" w:hAnsi="Times New Roman" w:cs="Times New Roman"/>
                <w:sz w:val="24"/>
                <w:szCs w:val="24"/>
                <w:lang w:val="uk-UA"/>
              </w:rPr>
              <w:t>.</w:t>
            </w:r>
          </w:p>
          <w:p w14:paraId="7BEB8502" w14:textId="77777777" w:rsidR="00632BEB" w:rsidRPr="00DD5941" w:rsidRDefault="00632BEB" w:rsidP="00A00C8F">
            <w:pPr>
              <w:pStyle w:val="a6"/>
              <w:ind w:left="0" w:firstLine="24"/>
              <w:jc w:val="both"/>
              <w:rPr>
                <w:rFonts w:ascii="Times New Roman" w:hAnsi="Times New Roman" w:cs="Times New Roman"/>
                <w:sz w:val="24"/>
                <w:szCs w:val="24"/>
                <w:lang w:val="uk-UA"/>
              </w:rPr>
            </w:pPr>
            <w:r w:rsidRPr="00DD5941">
              <w:rPr>
                <w:rFonts w:ascii="Times New Roman" w:hAnsi="Times New Roman" w:cs="Times New Roman"/>
                <w:sz w:val="24"/>
                <w:szCs w:val="24"/>
                <w:lang w:val="uk-UA"/>
              </w:rPr>
              <w:t>В</w:t>
            </w:r>
            <w:r w:rsidRPr="00DD5941">
              <w:rPr>
                <w:rFonts w:ascii="Times New Roman" w:hAnsi="Times New Roman" w:cs="Times New Roman"/>
                <w:sz w:val="24"/>
                <w:szCs w:val="24"/>
                <w:vertAlign w:val="subscript"/>
                <w:lang w:val="uk-UA"/>
              </w:rPr>
              <w:t xml:space="preserve">т  </w:t>
            </w:r>
            <w:r w:rsidRPr="00DD5941">
              <w:rPr>
                <w:rFonts w:ascii="Times New Roman" w:hAnsi="Times New Roman" w:cs="Times New Roman"/>
                <w:sz w:val="24"/>
                <w:szCs w:val="24"/>
                <w:lang w:val="uk-UA"/>
              </w:rPr>
              <w:t xml:space="preserve">= 8180 </w:t>
            </w:r>
            <w:proofErr w:type="spellStart"/>
            <w:r w:rsidRPr="00DD5941">
              <w:rPr>
                <w:rFonts w:ascii="Times New Roman" w:hAnsi="Times New Roman" w:cs="Times New Roman"/>
                <w:sz w:val="24"/>
                <w:szCs w:val="24"/>
                <w:lang w:val="uk-UA"/>
              </w:rPr>
              <w:t>т.у.п</w:t>
            </w:r>
            <w:proofErr w:type="spellEnd"/>
            <w:r w:rsidRPr="00DD5941">
              <w:rPr>
                <w:rFonts w:ascii="Times New Roman" w:hAnsi="Times New Roman" w:cs="Times New Roman"/>
                <w:sz w:val="24"/>
                <w:szCs w:val="24"/>
                <w:lang w:val="uk-UA"/>
              </w:rPr>
              <w:t>.</w:t>
            </w:r>
          </w:p>
          <w:p w14:paraId="155A88E1" w14:textId="77777777" w:rsidR="00632BEB" w:rsidRPr="00DD5941" w:rsidRDefault="00632BEB" w:rsidP="00A00C8F">
            <w:pPr>
              <w:pStyle w:val="a6"/>
              <w:ind w:left="0" w:firstLine="24"/>
              <w:jc w:val="both"/>
              <w:rPr>
                <w:rFonts w:ascii="Times New Roman" w:hAnsi="Times New Roman" w:cs="Times New Roman"/>
                <w:sz w:val="24"/>
                <w:szCs w:val="24"/>
                <w:lang w:val="uk-UA"/>
              </w:rPr>
            </w:pPr>
            <w:r w:rsidRPr="00DD5941">
              <w:rPr>
                <w:rFonts w:ascii="Times New Roman" w:hAnsi="Times New Roman" w:cs="Times New Roman"/>
                <w:sz w:val="24"/>
                <w:szCs w:val="24"/>
                <w:lang w:val="uk-UA"/>
              </w:rPr>
              <w:t>Відпуск енергії</w:t>
            </w:r>
          </w:p>
          <w:p w14:paraId="4D41C99F" w14:textId="77777777" w:rsidR="00632BEB" w:rsidRPr="00DD5941" w:rsidRDefault="00632BEB" w:rsidP="00A00C8F">
            <w:pPr>
              <w:pStyle w:val="a6"/>
              <w:ind w:left="0" w:firstLine="24"/>
              <w:jc w:val="both"/>
              <w:rPr>
                <w:rFonts w:ascii="Times New Roman" w:hAnsi="Times New Roman" w:cs="Times New Roman"/>
                <w:sz w:val="24"/>
                <w:szCs w:val="24"/>
                <w:lang w:val="uk-UA"/>
              </w:rPr>
            </w:pPr>
            <w:r w:rsidRPr="00DD5941">
              <w:rPr>
                <w:rFonts w:ascii="Times New Roman" w:hAnsi="Times New Roman" w:cs="Times New Roman"/>
                <w:sz w:val="24"/>
                <w:szCs w:val="24"/>
                <w:lang w:val="uk-UA"/>
              </w:rPr>
              <w:t>Е = 10536 тис. кВт/г</w:t>
            </w:r>
          </w:p>
          <w:p w14:paraId="23D1DC9E" w14:textId="6FE0C734" w:rsidR="00632BEB" w:rsidRPr="00DD5941" w:rsidRDefault="00632BEB" w:rsidP="00A00C8F">
            <w:pPr>
              <w:spacing w:line="240" w:lineRule="auto"/>
              <w:contextualSpacing/>
              <w:rPr>
                <w:rFonts w:ascii="Times New Roman" w:hAnsi="Times New Roman" w:cs="Times New Roman"/>
                <w:b/>
                <w:bCs/>
                <w:i/>
                <w:iCs/>
                <w:sz w:val="24"/>
                <w:szCs w:val="24"/>
                <w:lang w:val="uk-UA" w:eastAsia="ru-RU"/>
              </w:rPr>
            </w:pPr>
            <w:r w:rsidRPr="00DD5941">
              <w:rPr>
                <w:rFonts w:ascii="Times New Roman" w:hAnsi="Times New Roman" w:cs="Times New Roman"/>
                <w:sz w:val="24"/>
                <w:szCs w:val="24"/>
                <w:lang w:val="uk-UA"/>
              </w:rPr>
              <w:t xml:space="preserve">Q = 53566 </w:t>
            </w:r>
            <w:proofErr w:type="spellStart"/>
            <w:r w:rsidRPr="00DD5941">
              <w:rPr>
                <w:rFonts w:ascii="Times New Roman" w:hAnsi="Times New Roman" w:cs="Times New Roman"/>
                <w:sz w:val="24"/>
                <w:szCs w:val="24"/>
                <w:lang w:val="uk-UA"/>
              </w:rPr>
              <w:t>Гкал</w:t>
            </w:r>
            <w:proofErr w:type="spellEnd"/>
          </w:p>
        </w:tc>
        <w:tc>
          <w:tcPr>
            <w:tcW w:w="2694" w:type="dxa"/>
          </w:tcPr>
          <w:p w14:paraId="1D470C0E" w14:textId="77777777" w:rsidR="00632BEB" w:rsidRPr="00DD5941" w:rsidRDefault="00632BEB" w:rsidP="00A00C8F">
            <w:pPr>
              <w:pStyle w:val="a6"/>
              <w:ind w:left="0" w:firstLine="24"/>
              <w:jc w:val="both"/>
              <w:rPr>
                <w:rFonts w:ascii="Times New Roman" w:hAnsi="Times New Roman" w:cs="Times New Roman"/>
                <w:sz w:val="24"/>
                <w:szCs w:val="24"/>
                <w:lang w:val="uk-UA"/>
              </w:rPr>
            </w:pPr>
            <w:proofErr w:type="spellStart"/>
            <w:r w:rsidRPr="00DD5941">
              <w:rPr>
                <w:rFonts w:ascii="Times New Roman" w:hAnsi="Times New Roman" w:cs="Times New Roman"/>
                <w:sz w:val="24"/>
                <w:szCs w:val="24"/>
                <w:lang w:val="uk-UA"/>
              </w:rPr>
              <w:t>Ве</w:t>
            </w:r>
            <w:proofErr w:type="spellEnd"/>
            <w:r w:rsidRPr="00DD5941">
              <w:rPr>
                <w:rFonts w:ascii="Times New Roman" w:hAnsi="Times New Roman" w:cs="Times New Roman"/>
                <w:sz w:val="24"/>
                <w:szCs w:val="24"/>
                <w:lang w:val="uk-UA"/>
              </w:rPr>
              <w:t xml:space="preserve"> =287,4 г/кВт/г</w:t>
            </w:r>
          </w:p>
          <w:p w14:paraId="49A639CB" w14:textId="77777777" w:rsidR="00632BEB" w:rsidRPr="00DD5941" w:rsidRDefault="00632BEB" w:rsidP="00A00C8F">
            <w:pPr>
              <w:pStyle w:val="a6"/>
              <w:ind w:left="0" w:firstLine="24"/>
              <w:jc w:val="both"/>
              <w:rPr>
                <w:rFonts w:ascii="Times New Roman" w:hAnsi="Times New Roman" w:cs="Times New Roman"/>
                <w:sz w:val="24"/>
                <w:szCs w:val="24"/>
                <w:lang w:val="uk-UA"/>
              </w:rPr>
            </w:pPr>
            <w:r w:rsidRPr="00DD5941">
              <w:rPr>
                <w:rFonts w:ascii="Times New Roman" w:hAnsi="Times New Roman" w:cs="Times New Roman"/>
                <w:sz w:val="24"/>
                <w:szCs w:val="24"/>
                <w:lang w:val="uk-UA"/>
              </w:rPr>
              <w:t>В</w:t>
            </w:r>
            <w:r w:rsidRPr="00DD5941">
              <w:rPr>
                <w:rFonts w:ascii="Times New Roman" w:hAnsi="Times New Roman" w:cs="Times New Roman"/>
                <w:sz w:val="24"/>
                <w:szCs w:val="24"/>
                <w:vertAlign w:val="subscript"/>
                <w:lang w:val="uk-UA"/>
              </w:rPr>
              <w:t xml:space="preserve">т  </w:t>
            </w:r>
            <w:r w:rsidRPr="00DD5941">
              <w:rPr>
                <w:rFonts w:ascii="Times New Roman" w:hAnsi="Times New Roman" w:cs="Times New Roman"/>
                <w:sz w:val="24"/>
                <w:szCs w:val="24"/>
                <w:lang w:val="uk-UA"/>
              </w:rPr>
              <w:t>= 126,6 кг/</w:t>
            </w:r>
            <w:proofErr w:type="spellStart"/>
            <w:r w:rsidRPr="00DD5941">
              <w:rPr>
                <w:rFonts w:ascii="Times New Roman" w:hAnsi="Times New Roman" w:cs="Times New Roman"/>
                <w:sz w:val="24"/>
                <w:szCs w:val="24"/>
                <w:lang w:val="uk-UA"/>
              </w:rPr>
              <w:t>Гкал</w:t>
            </w:r>
            <w:proofErr w:type="spellEnd"/>
          </w:p>
          <w:p w14:paraId="0904103E" w14:textId="77777777" w:rsidR="00632BEB" w:rsidRPr="00DD5941" w:rsidRDefault="00632BEB" w:rsidP="00A00C8F">
            <w:pPr>
              <w:pStyle w:val="a6"/>
              <w:ind w:left="0" w:firstLine="24"/>
              <w:jc w:val="both"/>
              <w:rPr>
                <w:rFonts w:ascii="Times New Roman" w:hAnsi="Times New Roman" w:cs="Times New Roman"/>
                <w:sz w:val="24"/>
                <w:szCs w:val="24"/>
                <w:lang w:val="uk-UA"/>
              </w:rPr>
            </w:pPr>
            <w:proofErr w:type="spellStart"/>
            <w:r w:rsidRPr="00DD5941">
              <w:rPr>
                <w:rFonts w:ascii="Times New Roman" w:hAnsi="Times New Roman" w:cs="Times New Roman"/>
                <w:sz w:val="24"/>
                <w:szCs w:val="24"/>
                <w:lang w:val="uk-UA"/>
              </w:rPr>
              <w:t>Розполіл</w:t>
            </w:r>
            <w:proofErr w:type="spellEnd"/>
            <w:r w:rsidRPr="00DD5941">
              <w:rPr>
                <w:rFonts w:ascii="Times New Roman" w:hAnsi="Times New Roman" w:cs="Times New Roman"/>
                <w:sz w:val="24"/>
                <w:szCs w:val="24"/>
                <w:lang w:val="uk-UA"/>
              </w:rPr>
              <w:t xml:space="preserve"> палива</w:t>
            </w:r>
          </w:p>
          <w:p w14:paraId="7BEFD8C9" w14:textId="77777777" w:rsidR="00632BEB" w:rsidRPr="00DD5941" w:rsidRDefault="00632BEB" w:rsidP="00A00C8F">
            <w:pPr>
              <w:pStyle w:val="a6"/>
              <w:ind w:left="0" w:firstLine="24"/>
              <w:jc w:val="both"/>
              <w:rPr>
                <w:rFonts w:ascii="Times New Roman" w:hAnsi="Times New Roman" w:cs="Times New Roman"/>
                <w:sz w:val="24"/>
                <w:szCs w:val="24"/>
                <w:lang w:val="uk-UA"/>
              </w:rPr>
            </w:pPr>
            <w:proofErr w:type="spellStart"/>
            <w:r w:rsidRPr="00DD5941">
              <w:rPr>
                <w:rFonts w:ascii="Times New Roman" w:hAnsi="Times New Roman" w:cs="Times New Roman"/>
                <w:sz w:val="24"/>
                <w:szCs w:val="24"/>
                <w:lang w:val="uk-UA"/>
              </w:rPr>
              <w:t>Ве</w:t>
            </w:r>
            <w:proofErr w:type="spellEnd"/>
            <w:r w:rsidRPr="00DD5941">
              <w:rPr>
                <w:rFonts w:ascii="Times New Roman" w:hAnsi="Times New Roman" w:cs="Times New Roman"/>
                <w:sz w:val="24"/>
                <w:szCs w:val="24"/>
                <w:lang w:val="uk-UA"/>
              </w:rPr>
              <w:t xml:space="preserve"> = 3028 </w:t>
            </w:r>
            <w:proofErr w:type="spellStart"/>
            <w:r w:rsidRPr="00DD5941">
              <w:rPr>
                <w:rFonts w:ascii="Times New Roman" w:hAnsi="Times New Roman" w:cs="Times New Roman"/>
                <w:sz w:val="24"/>
                <w:szCs w:val="24"/>
                <w:lang w:val="uk-UA"/>
              </w:rPr>
              <w:t>т.у.п</w:t>
            </w:r>
            <w:proofErr w:type="spellEnd"/>
            <w:r w:rsidRPr="00DD5941">
              <w:rPr>
                <w:rFonts w:ascii="Times New Roman" w:hAnsi="Times New Roman" w:cs="Times New Roman"/>
                <w:sz w:val="24"/>
                <w:szCs w:val="24"/>
                <w:lang w:val="uk-UA"/>
              </w:rPr>
              <w:t>.</w:t>
            </w:r>
          </w:p>
          <w:p w14:paraId="3B5C950D" w14:textId="77777777" w:rsidR="00632BEB" w:rsidRPr="00DD5941" w:rsidRDefault="00632BEB" w:rsidP="00A00C8F">
            <w:pPr>
              <w:pStyle w:val="a6"/>
              <w:ind w:left="0" w:firstLine="24"/>
              <w:jc w:val="both"/>
              <w:rPr>
                <w:rFonts w:ascii="Times New Roman" w:hAnsi="Times New Roman" w:cs="Times New Roman"/>
                <w:sz w:val="24"/>
                <w:szCs w:val="24"/>
                <w:lang w:val="uk-UA"/>
              </w:rPr>
            </w:pPr>
            <w:r w:rsidRPr="00DD5941">
              <w:rPr>
                <w:rFonts w:ascii="Times New Roman" w:hAnsi="Times New Roman" w:cs="Times New Roman"/>
                <w:sz w:val="24"/>
                <w:szCs w:val="24"/>
                <w:lang w:val="uk-UA"/>
              </w:rPr>
              <w:t>В</w:t>
            </w:r>
            <w:r w:rsidRPr="00DD5941">
              <w:rPr>
                <w:rFonts w:ascii="Times New Roman" w:hAnsi="Times New Roman" w:cs="Times New Roman"/>
                <w:sz w:val="24"/>
                <w:szCs w:val="24"/>
                <w:vertAlign w:val="subscript"/>
                <w:lang w:val="uk-UA"/>
              </w:rPr>
              <w:t xml:space="preserve">т  </w:t>
            </w:r>
            <w:r w:rsidRPr="00DD5941">
              <w:rPr>
                <w:rFonts w:ascii="Times New Roman" w:hAnsi="Times New Roman" w:cs="Times New Roman"/>
                <w:sz w:val="24"/>
                <w:szCs w:val="24"/>
                <w:lang w:val="uk-UA"/>
              </w:rPr>
              <w:t xml:space="preserve">= 6782 </w:t>
            </w:r>
            <w:proofErr w:type="spellStart"/>
            <w:r w:rsidRPr="00DD5941">
              <w:rPr>
                <w:rFonts w:ascii="Times New Roman" w:hAnsi="Times New Roman" w:cs="Times New Roman"/>
                <w:sz w:val="24"/>
                <w:szCs w:val="24"/>
                <w:lang w:val="uk-UA"/>
              </w:rPr>
              <w:t>т.у.п</w:t>
            </w:r>
            <w:proofErr w:type="spellEnd"/>
            <w:r w:rsidRPr="00DD5941">
              <w:rPr>
                <w:rFonts w:ascii="Times New Roman" w:hAnsi="Times New Roman" w:cs="Times New Roman"/>
                <w:sz w:val="24"/>
                <w:szCs w:val="24"/>
                <w:lang w:val="uk-UA"/>
              </w:rPr>
              <w:t>.</w:t>
            </w:r>
          </w:p>
          <w:p w14:paraId="69CEDB47" w14:textId="77777777" w:rsidR="00632BEB" w:rsidRPr="00DD5941" w:rsidRDefault="00632BEB" w:rsidP="00A00C8F">
            <w:pPr>
              <w:pStyle w:val="a6"/>
              <w:ind w:left="0" w:firstLine="24"/>
              <w:jc w:val="both"/>
              <w:rPr>
                <w:rFonts w:ascii="Times New Roman" w:hAnsi="Times New Roman" w:cs="Times New Roman"/>
                <w:sz w:val="24"/>
                <w:szCs w:val="24"/>
                <w:lang w:val="uk-UA"/>
              </w:rPr>
            </w:pPr>
            <w:r w:rsidRPr="00DD5941">
              <w:rPr>
                <w:rFonts w:ascii="Times New Roman" w:hAnsi="Times New Roman" w:cs="Times New Roman"/>
                <w:sz w:val="24"/>
                <w:szCs w:val="24"/>
                <w:lang w:val="uk-UA"/>
              </w:rPr>
              <w:t>Відпуск енергії</w:t>
            </w:r>
          </w:p>
          <w:p w14:paraId="3FBF1E8A" w14:textId="77777777" w:rsidR="00632BEB" w:rsidRPr="00DD5941" w:rsidRDefault="00632BEB" w:rsidP="00A00C8F">
            <w:pPr>
              <w:pStyle w:val="a6"/>
              <w:ind w:left="0" w:firstLine="24"/>
              <w:jc w:val="both"/>
              <w:rPr>
                <w:rFonts w:ascii="Times New Roman" w:hAnsi="Times New Roman" w:cs="Times New Roman"/>
                <w:sz w:val="24"/>
                <w:szCs w:val="24"/>
                <w:lang w:val="uk-UA"/>
              </w:rPr>
            </w:pPr>
            <w:r w:rsidRPr="00DD5941">
              <w:rPr>
                <w:rFonts w:ascii="Times New Roman" w:hAnsi="Times New Roman" w:cs="Times New Roman"/>
                <w:sz w:val="24"/>
                <w:szCs w:val="24"/>
                <w:lang w:val="uk-UA"/>
              </w:rPr>
              <w:t>Е = 10536 тис. кВт/г</w:t>
            </w:r>
          </w:p>
          <w:p w14:paraId="63F9ED14" w14:textId="2203759E" w:rsidR="00632BEB" w:rsidRPr="00DD5941" w:rsidRDefault="00632BEB" w:rsidP="00A00C8F">
            <w:pPr>
              <w:spacing w:line="240" w:lineRule="auto"/>
              <w:contextualSpacing/>
              <w:rPr>
                <w:rFonts w:ascii="Times New Roman" w:hAnsi="Times New Roman" w:cs="Times New Roman"/>
                <w:b/>
                <w:bCs/>
                <w:i/>
                <w:iCs/>
                <w:sz w:val="24"/>
                <w:szCs w:val="24"/>
                <w:lang w:val="uk-UA" w:eastAsia="ru-RU"/>
              </w:rPr>
            </w:pPr>
            <w:r w:rsidRPr="00DD5941">
              <w:rPr>
                <w:rFonts w:ascii="Times New Roman" w:hAnsi="Times New Roman" w:cs="Times New Roman"/>
                <w:sz w:val="24"/>
                <w:szCs w:val="24"/>
                <w:lang w:val="uk-UA"/>
              </w:rPr>
              <w:t xml:space="preserve">Q = 53566 </w:t>
            </w:r>
            <w:proofErr w:type="spellStart"/>
            <w:r w:rsidRPr="00DD5941">
              <w:rPr>
                <w:rFonts w:ascii="Times New Roman" w:hAnsi="Times New Roman" w:cs="Times New Roman"/>
                <w:sz w:val="24"/>
                <w:szCs w:val="24"/>
                <w:lang w:val="uk-UA"/>
              </w:rPr>
              <w:t>Гкал</w:t>
            </w:r>
            <w:proofErr w:type="spellEnd"/>
          </w:p>
        </w:tc>
        <w:tc>
          <w:tcPr>
            <w:tcW w:w="4830" w:type="dxa"/>
            <w:vMerge/>
            <w:shd w:val="clear" w:color="auto" w:fill="auto"/>
            <w:tcMar>
              <w:top w:w="100" w:type="dxa"/>
              <w:left w:w="100" w:type="dxa"/>
              <w:bottom w:w="100" w:type="dxa"/>
              <w:right w:w="100" w:type="dxa"/>
            </w:tcMar>
          </w:tcPr>
          <w:p w14:paraId="0608F5EE" w14:textId="77777777" w:rsidR="00632BEB" w:rsidRPr="00DD5941" w:rsidRDefault="00632BEB" w:rsidP="00A00C8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tc>
      </w:tr>
      <w:tr w:rsidR="00632BEB" w:rsidRPr="00DD5941" w14:paraId="5BDA0EAE" w14:textId="77777777" w:rsidTr="00A00C8F">
        <w:trPr>
          <w:trHeight w:val="589"/>
          <w:jc w:val="center"/>
        </w:trPr>
        <w:tc>
          <w:tcPr>
            <w:tcW w:w="5093" w:type="dxa"/>
            <w:vMerge/>
            <w:shd w:val="clear" w:color="auto" w:fill="auto"/>
            <w:tcMar>
              <w:top w:w="100" w:type="dxa"/>
              <w:left w:w="100" w:type="dxa"/>
              <w:bottom w:w="100" w:type="dxa"/>
              <w:right w:w="100" w:type="dxa"/>
            </w:tcMar>
          </w:tcPr>
          <w:p w14:paraId="4F793D48" w14:textId="77777777" w:rsidR="00632BEB" w:rsidRPr="00DD5941" w:rsidRDefault="00632BEB" w:rsidP="00CB65D9">
            <w:pPr>
              <w:shd w:val="clear" w:color="auto" w:fill="FFFFFF"/>
              <w:spacing w:line="240" w:lineRule="auto"/>
              <w:jc w:val="both"/>
              <w:rPr>
                <w:rFonts w:ascii="Times New Roman" w:eastAsia="Times New Roman" w:hAnsi="Times New Roman" w:cs="Times New Roman"/>
                <w:sz w:val="24"/>
                <w:szCs w:val="24"/>
                <w:lang w:val="uk-UA" w:eastAsia="uk-UA"/>
              </w:rPr>
            </w:pPr>
          </w:p>
        </w:tc>
        <w:tc>
          <w:tcPr>
            <w:tcW w:w="5529" w:type="dxa"/>
            <w:gridSpan w:val="2"/>
            <w:shd w:val="clear" w:color="auto" w:fill="auto"/>
            <w:tcMar>
              <w:top w:w="100" w:type="dxa"/>
              <w:left w:w="100" w:type="dxa"/>
              <w:bottom w:w="100" w:type="dxa"/>
              <w:right w:w="100" w:type="dxa"/>
            </w:tcMar>
          </w:tcPr>
          <w:p w14:paraId="6682F236" w14:textId="16C871C3" w:rsidR="00632BEB" w:rsidRPr="00DD5941" w:rsidRDefault="00632BEB" w:rsidP="00A00C8F">
            <w:pPr>
              <w:spacing w:line="240" w:lineRule="auto"/>
              <w:jc w:val="both"/>
              <w:rPr>
                <w:rFonts w:ascii="Times New Roman" w:eastAsia="Calibri" w:hAnsi="Times New Roman" w:cs="Times New Roman"/>
                <w:sz w:val="24"/>
                <w:szCs w:val="24"/>
                <w:lang w:val="uk-UA"/>
              </w:rPr>
            </w:pPr>
            <w:r w:rsidRPr="00DD5941">
              <w:rPr>
                <w:rFonts w:ascii="Times New Roman" w:eastAsia="Calibri" w:hAnsi="Times New Roman" w:cs="Times New Roman"/>
                <w:sz w:val="24"/>
                <w:szCs w:val="24"/>
                <w:lang w:val="uk-UA"/>
              </w:rPr>
              <w:t xml:space="preserve">     * Аналіз розрахунків самого холодного місяця 2023 року демонструє факт того, що при використані фізичного методу розподілу, витрати палива на відпущену теплову енергію не вищі ніж у котельнях, що призначені для відпуску тільки одного виду енергії.</w:t>
            </w:r>
          </w:p>
          <w:p w14:paraId="4892E918" w14:textId="56EA0ABB" w:rsidR="00632BEB" w:rsidRPr="00DD5941" w:rsidRDefault="00632BEB" w:rsidP="00A00C8F">
            <w:pPr>
              <w:spacing w:line="240" w:lineRule="auto"/>
              <w:jc w:val="both"/>
              <w:rPr>
                <w:rFonts w:ascii="Times New Roman" w:eastAsia="Calibri" w:hAnsi="Times New Roman" w:cs="Times New Roman"/>
                <w:sz w:val="24"/>
                <w:szCs w:val="24"/>
                <w:lang w:val="uk-UA"/>
              </w:rPr>
            </w:pPr>
            <w:r w:rsidRPr="00DD5941">
              <w:rPr>
                <w:rFonts w:ascii="Times New Roman" w:eastAsia="Calibri" w:hAnsi="Times New Roman" w:cs="Times New Roman"/>
                <w:sz w:val="24"/>
                <w:szCs w:val="24"/>
                <w:lang w:val="uk-UA"/>
              </w:rPr>
              <w:t xml:space="preserve">       У комунального підприємства ОКП «</w:t>
            </w:r>
            <w:proofErr w:type="spellStart"/>
            <w:r w:rsidRPr="00DD5941">
              <w:rPr>
                <w:rFonts w:ascii="Times New Roman" w:eastAsia="Calibri" w:hAnsi="Times New Roman" w:cs="Times New Roman"/>
                <w:sz w:val="24"/>
                <w:szCs w:val="24"/>
                <w:lang w:val="uk-UA"/>
              </w:rPr>
              <w:t>Миколаївоблтеплоенерго</w:t>
            </w:r>
            <w:proofErr w:type="spellEnd"/>
            <w:r w:rsidRPr="00DD5941">
              <w:rPr>
                <w:rFonts w:ascii="Times New Roman" w:eastAsia="Calibri" w:hAnsi="Times New Roman" w:cs="Times New Roman"/>
                <w:sz w:val="24"/>
                <w:szCs w:val="24"/>
                <w:lang w:val="uk-UA"/>
              </w:rPr>
              <w:t>» питома витрата на відпущену теплову енергію складає 168,0 кг/</w:t>
            </w:r>
            <w:proofErr w:type="spellStart"/>
            <w:r w:rsidRPr="00DD5941">
              <w:rPr>
                <w:rFonts w:ascii="Times New Roman" w:eastAsia="Calibri" w:hAnsi="Times New Roman" w:cs="Times New Roman"/>
                <w:sz w:val="24"/>
                <w:szCs w:val="24"/>
                <w:lang w:val="uk-UA"/>
              </w:rPr>
              <w:t>Гкал</w:t>
            </w:r>
            <w:proofErr w:type="spellEnd"/>
            <w:r w:rsidRPr="00DD5941">
              <w:rPr>
                <w:rFonts w:ascii="Times New Roman" w:eastAsia="Calibri" w:hAnsi="Times New Roman" w:cs="Times New Roman"/>
                <w:sz w:val="24"/>
                <w:szCs w:val="24"/>
                <w:lang w:val="uk-UA"/>
              </w:rPr>
              <w:t>.</w:t>
            </w:r>
          </w:p>
          <w:p w14:paraId="470511A3" w14:textId="77777777" w:rsidR="00632BEB" w:rsidRPr="00DD5941" w:rsidRDefault="00632BEB" w:rsidP="00A00C8F">
            <w:pPr>
              <w:spacing w:line="240" w:lineRule="auto"/>
              <w:jc w:val="both"/>
              <w:rPr>
                <w:rFonts w:ascii="Times New Roman" w:eastAsia="Calibri" w:hAnsi="Times New Roman" w:cs="Times New Roman"/>
                <w:bCs/>
                <w:sz w:val="24"/>
                <w:szCs w:val="24"/>
                <w:lang w:val="uk-UA"/>
              </w:rPr>
            </w:pPr>
            <w:r w:rsidRPr="00DD5941">
              <w:rPr>
                <w:rFonts w:ascii="Times New Roman" w:eastAsia="Calibri" w:hAnsi="Times New Roman" w:cs="Times New Roman"/>
                <w:sz w:val="24"/>
                <w:szCs w:val="24"/>
                <w:lang w:val="uk-UA"/>
              </w:rPr>
              <w:t xml:space="preserve">При використані </w:t>
            </w:r>
            <w:r w:rsidRPr="00DD5941">
              <w:rPr>
                <w:rFonts w:ascii="Times New Roman" w:eastAsia="Calibri" w:hAnsi="Times New Roman" w:cs="Times New Roman"/>
                <w:bCs/>
                <w:sz w:val="24"/>
                <w:szCs w:val="24"/>
                <w:lang w:val="uk-UA"/>
              </w:rPr>
              <w:t>ГКД 34.09.100-2003, собівартість електричної енергії ПрАТ «МИКОЛАЇВСЬКА ТЕЦ» вища за ринкову і за умов збитковості, реалізація на ринку України виробленої електричної енергії практично не можлива.</w:t>
            </w:r>
          </w:p>
          <w:p w14:paraId="56A2EAD1" w14:textId="77777777" w:rsidR="00632BEB" w:rsidRPr="00DD5941" w:rsidRDefault="00632BEB" w:rsidP="00A00C8F">
            <w:pPr>
              <w:spacing w:line="240" w:lineRule="auto"/>
              <w:jc w:val="both"/>
              <w:rPr>
                <w:rFonts w:ascii="Times New Roman" w:eastAsia="Calibri" w:hAnsi="Times New Roman" w:cs="Times New Roman"/>
                <w:bCs/>
                <w:sz w:val="24"/>
                <w:szCs w:val="24"/>
                <w:lang w:val="uk-UA"/>
              </w:rPr>
            </w:pPr>
          </w:p>
          <w:p w14:paraId="6D7130C9" w14:textId="77777777" w:rsidR="00632BEB" w:rsidRPr="00DD5941" w:rsidRDefault="00632BEB" w:rsidP="00A00C8F">
            <w:pPr>
              <w:spacing w:line="240" w:lineRule="auto"/>
              <w:jc w:val="both"/>
              <w:rPr>
                <w:rFonts w:ascii="Times New Roman" w:eastAsia="Calibri" w:hAnsi="Times New Roman" w:cs="Times New Roman"/>
                <w:bCs/>
                <w:sz w:val="24"/>
                <w:szCs w:val="24"/>
                <w:lang w:val="uk-UA"/>
              </w:rPr>
            </w:pPr>
          </w:p>
          <w:p w14:paraId="4FD692B2" w14:textId="77777777" w:rsidR="00632BEB" w:rsidRPr="00DD5941" w:rsidRDefault="00632BEB" w:rsidP="00A00C8F">
            <w:pPr>
              <w:spacing w:line="240" w:lineRule="auto"/>
              <w:jc w:val="both"/>
              <w:rPr>
                <w:rFonts w:ascii="Times New Roman" w:eastAsia="Calibri" w:hAnsi="Times New Roman" w:cs="Times New Roman"/>
                <w:bCs/>
                <w:sz w:val="24"/>
                <w:szCs w:val="24"/>
                <w:lang w:val="uk-UA"/>
              </w:rPr>
            </w:pPr>
          </w:p>
          <w:p w14:paraId="5F90E04A" w14:textId="77777777" w:rsidR="00632BEB" w:rsidRPr="00DD5941" w:rsidRDefault="00632BEB" w:rsidP="00A00C8F">
            <w:pPr>
              <w:spacing w:line="240" w:lineRule="auto"/>
              <w:jc w:val="both"/>
              <w:rPr>
                <w:rFonts w:ascii="Times New Roman" w:eastAsia="Calibri" w:hAnsi="Times New Roman" w:cs="Times New Roman"/>
                <w:bCs/>
                <w:sz w:val="24"/>
                <w:szCs w:val="24"/>
                <w:lang w:val="uk-UA"/>
              </w:rPr>
            </w:pPr>
          </w:p>
          <w:p w14:paraId="219178BD" w14:textId="77777777" w:rsidR="00632BEB" w:rsidRPr="00DD5941" w:rsidRDefault="00632BEB" w:rsidP="00A00C8F">
            <w:pPr>
              <w:spacing w:line="240" w:lineRule="auto"/>
              <w:jc w:val="both"/>
              <w:rPr>
                <w:rFonts w:ascii="Times New Roman" w:eastAsia="Calibri" w:hAnsi="Times New Roman" w:cs="Times New Roman"/>
                <w:bCs/>
                <w:sz w:val="24"/>
                <w:szCs w:val="24"/>
                <w:lang w:val="uk-UA"/>
              </w:rPr>
            </w:pPr>
          </w:p>
          <w:p w14:paraId="1FD7BE26" w14:textId="77777777" w:rsidR="00632BEB" w:rsidRPr="00DD5941" w:rsidRDefault="00632BEB" w:rsidP="00A00C8F">
            <w:pPr>
              <w:spacing w:line="240" w:lineRule="auto"/>
              <w:jc w:val="both"/>
              <w:rPr>
                <w:rFonts w:ascii="Times New Roman" w:eastAsia="Calibri" w:hAnsi="Times New Roman" w:cs="Times New Roman"/>
                <w:bCs/>
                <w:sz w:val="24"/>
                <w:szCs w:val="24"/>
                <w:lang w:val="uk-UA"/>
              </w:rPr>
            </w:pPr>
          </w:p>
          <w:p w14:paraId="44ED7D04" w14:textId="59615BDA" w:rsidR="00632BEB" w:rsidRPr="00DD5941" w:rsidRDefault="00632BEB" w:rsidP="00632BEB">
            <w:pPr>
              <w:spacing w:line="240" w:lineRule="auto"/>
              <w:contextualSpacing/>
              <w:jc w:val="both"/>
              <w:rPr>
                <w:rFonts w:ascii="Times New Roman" w:hAnsi="Times New Roman" w:cs="Times New Roman"/>
                <w:sz w:val="24"/>
                <w:szCs w:val="24"/>
                <w:lang w:val="uk-UA" w:eastAsia="ru-RU"/>
              </w:rPr>
            </w:pPr>
            <w:r w:rsidRPr="0005533E">
              <w:rPr>
                <w:rFonts w:ascii="Times New Roman" w:hAnsi="Times New Roman" w:cs="Times New Roman"/>
                <w:sz w:val="24"/>
                <w:szCs w:val="24"/>
                <w:highlight w:val="lightGray"/>
                <w:lang w:val="uk-UA" w:eastAsia="ru-RU"/>
              </w:rPr>
              <w:lastRenderedPageBreak/>
              <w:t>(АТ «ОДЕСЬКА ТЕЦ»)</w:t>
            </w:r>
          </w:p>
          <w:p w14:paraId="53C44F04" w14:textId="77777777" w:rsidR="00632BEB" w:rsidRPr="00DD5941" w:rsidRDefault="00632BEB" w:rsidP="00632BEB">
            <w:pPr>
              <w:shd w:val="clear" w:color="auto" w:fill="FFFFFF"/>
              <w:spacing w:line="240" w:lineRule="auto"/>
              <w:ind w:firstLine="450"/>
              <w:jc w:val="both"/>
              <w:rPr>
                <w:rFonts w:ascii="Times New Roman" w:eastAsia="Times New Roman" w:hAnsi="Times New Roman" w:cs="Times New Roman"/>
                <w:i/>
                <w:iCs/>
                <w:sz w:val="24"/>
                <w:szCs w:val="24"/>
                <w:lang w:val="uk-UA" w:eastAsia="ru-RU"/>
              </w:rPr>
            </w:pPr>
            <w:r w:rsidRPr="00DD5941">
              <w:rPr>
                <w:rFonts w:ascii="Times New Roman" w:eastAsia="Times New Roman" w:hAnsi="Times New Roman" w:cs="Times New Roman"/>
                <w:i/>
                <w:iCs/>
                <w:sz w:val="24"/>
                <w:szCs w:val="24"/>
                <w:lang w:val="uk-UA" w:eastAsia="ru-RU"/>
              </w:rPr>
              <w:t xml:space="preserve">Підпункт 1 пункту 3.3 глави 3 викласти в такій редакції: </w:t>
            </w:r>
          </w:p>
          <w:p w14:paraId="2D1841CB" w14:textId="77777777" w:rsidR="00632BEB" w:rsidRPr="00DD5941" w:rsidRDefault="00632BEB" w:rsidP="00632BEB">
            <w:pPr>
              <w:spacing w:line="240" w:lineRule="auto"/>
              <w:contextualSpacing/>
              <w:jc w:val="both"/>
              <w:rPr>
                <w:rFonts w:ascii="Times New Roman" w:hAnsi="Times New Roman" w:cs="Times New Roman"/>
                <w:sz w:val="24"/>
                <w:szCs w:val="24"/>
                <w:lang w:val="uk-UA" w:eastAsia="ru-RU"/>
              </w:rPr>
            </w:pPr>
            <w:r w:rsidRPr="00DD5941">
              <w:rPr>
                <w:rFonts w:ascii="Times New Roman" w:hAnsi="Times New Roman" w:cs="Times New Roman"/>
                <w:sz w:val="24"/>
                <w:szCs w:val="24"/>
                <w:lang w:val="uk-UA" w:eastAsia="ru-RU"/>
              </w:rPr>
              <w:t>3.3. До складу виробничої собівартості електричної та (або) теплової енергії включаються:</w:t>
            </w:r>
          </w:p>
          <w:p w14:paraId="16A0CD75" w14:textId="77777777" w:rsidR="00632BEB" w:rsidRPr="00DD5941" w:rsidRDefault="00632BEB" w:rsidP="00632BEB">
            <w:pPr>
              <w:spacing w:line="240" w:lineRule="auto"/>
              <w:contextualSpacing/>
              <w:jc w:val="both"/>
              <w:rPr>
                <w:rFonts w:ascii="Times New Roman" w:hAnsi="Times New Roman" w:cs="Times New Roman"/>
                <w:sz w:val="10"/>
                <w:szCs w:val="10"/>
                <w:lang w:val="uk-UA" w:eastAsia="ru-RU"/>
              </w:rPr>
            </w:pPr>
            <w:r w:rsidRPr="00DD5941">
              <w:rPr>
                <w:rFonts w:ascii="Times New Roman" w:hAnsi="Times New Roman" w:cs="Times New Roman"/>
                <w:sz w:val="24"/>
                <w:szCs w:val="24"/>
                <w:lang w:val="uk-UA" w:eastAsia="ru-RU"/>
              </w:rPr>
              <w:t xml:space="preserve"> </w:t>
            </w:r>
          </w:p>
          <w:p w14:paraId="31F6CAA3" w14:textId="77777777" w:rsidR="00632BEB" w:rsidRPr="00DD5941" w:rsidRDefault="00632BEB" w:rsidP="00632BEB">
            <w:pPr>
              <w:spacing w:line="240" w:lineRule="auto"/>
              <w:contextualSpacing/>
              <w:jc w:val="both"/>
              <w:rPr>
                <w:rFonts w:ascii="Times New Roman" w:hAnsi="Times New Roman" w:cs="Times New Roman"/>
                <w:bCs/>
                <w:sz w:val="24"/>
                <w:szCs w:val="24"/>
                <w:lang w:val="uk-UA" w:eastAsia="ru-RU"/>
              </w:rPr>
            </w:pPr>
            <w:r w:rsidRPr="00DD5941">
              <w:rPr>
                <w:rFonts w:ascii="Times New Roman" w:hAnsi="Times New Roman" w:cs="Times New Roman"/>
                <w:sz w:val="24"/>
                <w:szCs w:val="24"/>
                <w:lang w:val="uk-UA" w:eastAsia="ru-RU"/>
              </w:rPr>
              <w:t xml:space="preserve">1) </w:t>
            </w:r>
            <w:r w:rsidRPr="00DD5941">
              <w:rPr>
                <w:rFonts w:ascii="Times New Roman" w:hAnsi="Times New Roman" w:cs="Times New Roman"/>
                <w:bCs/>
                <w:sz w:val="24"/>
                <w:szCs w:val="24"/>
                <w:lang w:val="uk-UA" w:eastAsia="ru-RU"/>
              </w:rPr>
              <w:t>паливо, а саме:</w:t>
            </w:r>
          </w:p>
          <w:p w14:paraId="32D78232" w14:textId="73B0A3FD" w:rsidR="00632BEB" w:rsidRPr="00DD5941" w:rsidRDefault="00632BEB" w:rsidP="0036398C">
            <w:pPr>
              <w:shd w:val="clear" w:color="auto" w:fill="FFFFFF"/>
              <w:spacing w:after="150" w:line="240" w:lineRule="auto"/>
              <w:ind w:firstLine="709"/>
              <w:contextualSpacing/>
              <w:jc w:val="both"/>
              <w:rPr>
                <w:rFonts w:ascii="Times New Roman" w:eastAsia="Times New Roman" w:hAnsi="Times New Roman" w:cs="Times New Roman"/>
                <w:sz w:val="24"/>
                <w:szCs w:val="24"/>
                <w:lang w:val="uk-UA" w:eastAsia="ru-RU"/>
              </w:rPr>
            </w:pPr>
            <w:r w:rsidRPr="00DD5941">
              <w:rPr>
                <w:rFonts w:ascii="Times New Roman" w:hAnsi="Times New Roman" w:cs="Times New Roman"/>
                <w:sz w:val="24"/>
                <w:szCs w:val="24"/>
                <w:lang w:val="uk-UA" w:eastAsia="ru-RU"/>
              </w:rPr>
              <w:t xml:space="preserve">витрати на придбання палива та його транспортування для виробництва електричної та (або) теплової енергії, які визначаються виходячи з планованого обсягу відпуску/виробництва електричної та (або) теплової енергії відповідно до річного плану виробництва, питомих норм витрат паливно-енергетичних ресурсів, </w:t>
            </w:r>
            <w:r w:rsidRPr="00DD5941">
              <w:rPr>
                <w:rFonts w:ascii="Times New Roman" w:hAnsi="Times New Roman" w:cs="Times New Roman"/>
                <w:b/>
                <w:sz w:val="24"/>
                <w:szCs w:val="24"/>
                <w:lang w:val="uk-UA" w:eastAsia="ru-RU"/>
              </w:rPr>
              <w:t>визначених відповідно до</w:t>
            </w:r>
            <w:r w:rsidRPr="00DD5941">
              <w:rPr>
                <w:rFonts w:ascii="Times New Roman" w:hAnsi="Times New Roman" w:cs="Times New Roman"/>
                <w:sz w:val="24"/>
                <w:szCs w:val="24"/>
                <w:lang w:val="uk-UA" w:eastAsia="ru-RU"/>
              </w:rPr>
              <w:t xml:space="preserve"> </w:t>
            </w:r>
            <w:r w:rsidRPr="00DD5941">
              <w:rPr>
                <w:rFonts w:ascii="Times New Roman" w:hAnsi="Times New Roman" w:cs="Times New Roman"/>
                <w:b/>
                <w:sz w:val="24"/>
                <w:szCs w:val="24"/>
                <w:lang w:val="uk-UA" w:eastAsia="ru-RU"/>
              </w:rPr>
              <w:t xml:space="preserve">положень нормативних документів ГКД 34.09.103, ГКД 34.09.107, </w:t>
            </w:r>
            <w:r w:rsidR="0036398C" w:rsidRPr="00DD5941">
              <w:rPr>
                <w:rFonts w:ascii="Times New Roman" w:hAnsi="Times New Roman" w:cs="Times New Roman"/>
                <w:b/>
                <w:sz w:val="24"/>
                <w:szCs w:val="24"/>
                <w:lang w:val="uk-UA" w:eastAsia="ru-RU"/>
              </w:rPr>
              <w:t xml:space="preserve">ГКД 34.09.108, ГНД 34.09.205, ГКД 34.20.507, </w:t>
            </w:r>
            <w:r w:rsidRPr="00DD5941">
              <w:rPr>
                <w:rFonts w:ascii="Times New Roman" w:hAnsi="Times New Roman" w:cs="Times New Roman"/>
                <w:b/>
                <w:sz w:val="24"/>
                <w:szCs w:val="24"/>
                <w:lang w:val="uk-UA" w:eastAsia="ru-RU"/>
              </w:rPr>
              <w:t>СОУ-Н МПЕ 40.1.09.151</w:t>
            </w:r>
            <w:r w:rsidR="0036398C" w:rsidRPr="00DD5941">
              <w:rPr>
                <w:rFonts w:ascii="Times New Roman" w:hAnsi="Times New Roman" w:cs="Times New Roman"/>
                <w:b/>
                <w:sz w:val="24"/>
                <w:szCs w:val="24"/>
                <w:lang w:val="uk-UA" w:eastAsia="ru-RU"/>
              </w:rPr>
              <w:t xml:space="preserve">, </w:t>
            </w:r>
            <w:r w:rsidR="0036398C" w:rsidRPr="00DD5941">
              <w:rPr>
                <w:rFonts w:ascii="Times New Roman" w:eastAsia="Times New Roman" w:hAnsi="Times New Roman" w:cs="Times New Roman"/>
                <w:bCs/>
                <w:sz w:val="24"/>
                <w:szCs w:val="24"/>
                <w:lang w:val="uk-UA" w:eastAsia="ru-RU"/>
              </w:rPr>
              <w:t>діючих/планованих цін (тарифів) на паливно-енергетичні ресурси та послуги (витрати) з ї</w:t>
            </w:r>
            <w:r w:rsidR="0036398C" w:rsidRPr="00DD5941">
              <w:rPr>
                <w:rFonts w:ascii="Times New Roman" w:eastAsia="Times New Roman" w:hAnsi="Times New Roman" w:cs="Times New Roman"/>
                <w:sz w:val="24"/>
                <w:szCs w:val="24"/>
                <w:lang w:val="uk-UA" w:eastAsia="ru-RU"/>
              </w:rPr>
              <w:t>х транспортування, тобто з урахуванням усіх планованих логістичних ланцюгів транспортування паливно-енергетичних ресурсів, калорійних еквівалентів, обсягу енергії природного газу, визначених умовами договору, сертифікатами постачальників чи даними базового періоду.</w:t>
            </w:r>
          </w:p>
          <w:p w14:paraId="6433DFCC" w14:textId="77777777" w:rsidR="0036398C" w:rsidRPr="00DD5941" w:rsidRDefault="0036398C" w:rsidP="0036398C">
            <w:pPr>
              <w:shd w:val="clear" w:color="auto" w:fill="FFFFFF"/>
              <w:spacing w:after="150" w:line="240" w:lineRule="auto"/>
              <w:contextualSpacing/>
              <w:jc w:val="both"/>
              <w:rPr>
                <w:rFonts w:ascii="Times New Roman" w:eastAsia="Times New Roman" w:hAnsi="Times New Roman" w:cs="Times New Roman"/>
                <w:sz w:val="24"/>
                <w:szCs w:val="24"/>
                <w:lang w:val="uk-UA" w:eastAsia="ru-RU"/>
              </w:rPr>
            </w:pPr>
          </w:p>
          <w:p w14:paraId="0111ADA2" w14:textId="77777777" w:rsidR="0036398C" w:rsidRPr="00DD5941" w:rsidRDefault="0036398C" w:rsidP="0036398C">
            <w:pPr>
              <w:spacing w:line="240" w:lineRule="auto"/>
              <w:contextualSpacing/>
              <w:jc w:val="both"/>
              <w:rPr>
                <w:rFonts w:ascii="Times New Roman" w:hAnsi="Times New Roman" w:cs="Times New Roman"/>
                <w:i/>
                <w:iCs/>
                <w:sz w:val="24"/>
                <w:szCs w:val="24"/>
                <w:lang w:val="uk-UA" w:eastAsia="ru-RU"/>
              </w:rPr>
            </w:pPr>
            <w:r w:rsidRPr="00DD5941">
              <w:rPr>
                <w:rFonts w:ascii="Times New Roman" w:hAnsi="Times New Roman" w:cs="Times New Roman"/>
                <w:b/>
                <w:bCs/>
                <w:i/>
                <w:iCs/>
                <w:sz w:val="24"/>
                <w:szCs w:val="24"/>
                <w:lang w:val="uk-UA" w:eastAsia="ru-RU"/>
              </w:rPr>
              <w:t>ОБГРУНТУВАННЯ:</w:t>
            </w:r>
          </w:p>
          <w:p w14:paraId="21597CB3" w14:textId="3442C175" w:rsidR="0036398C" w:rsidRPr="00DD5941" w:rsidRDefault="0036398C" w:rsidP="0036398C">
            <w:pPr>
              <w:shd w:val="clear" w:color="auto" w:fill="FFFFFF"/>
              <w:spacing w:after="150" w:line="240" w:lineRule="auto"/>
              <w:contextualSpacing/>
              <w:jc w:val="both"/>
              <w:rPr>
                <w:rFonts w:ascii="Times New Roman" w:hAnsi="Times New Roman" w:cs="Times New Roman"/>
                <w:bCs/>
                <w:sz w:val="24"/>
                <w:szCs w:val="24"/>
                <w:lang w:val="uk-UA"/>
              </w:rPr>
            </w:pPr>
            <w:r w:rsidRPr="00DD5941">
              <w:rPr>
                <w:rFonts w:ascii="Times New Roman" w:hAnsi="Times New Roman" w:cs="Times New Roman"/>
                <w:b/>
                <w:color w:val="333333"/>
                <w:sz w:val="24"/>
                <w:szCs w:val="24"/>
                <w:lang w:val="uk-UA"/>
              </w:rPr>
              <w:t>СОУ-Н МПЕ 40.1.09.111:2005. «Розрахункові питомі витрати палива на відпущену електричну та теплову енергію на прогнозований період. Методика визначення»</w:t>
            </w:r>
            <w:r w:rsidRPr="00DD5941">
              <w:rPr>
                <w:rFonts w:ascii="Times New Roman" w:hAnsi="Times New Roman" w:cs="Times New Roman"/>
                <w:b/>
                <w:sz w:val="24"/>
                <w:szCs w:val="24"/>
                <w:lang w:val="uk-UA"/>
              </w:rPr>
              <w:t xml:space="preserve">, </w:t>
            </w:r>
            <w:r w:rsidRPr="00DD5941">
              <w:rPr>
                <w:rFonts w:ascii="Times New Roman" w:hAnsi="Times New Roman" w:cs="Times New Roman"/>
                <w:bCs/>
                <w:sz w:val="24"/>
                <w:szCs w:val="24"/>
                <w:lang w:val="uk-UA"/>
              </w:rPr>
              <w:t>має посилання на такі нормативні документи:</w:t>
            </w:r>
          </w:p>
          <w:p w14:paraId="7B39572C" w14:textId="7576BADD" w:rsidR="0036398C" w:rsidRPr="00DD5941" w:rsidRDefault="0036398C" w:rsidP="0036398C">
            <w:pPr>
              <w:shd w:val="clear" w:color="auto" w:fill="FFFFFF"/>
              <w:spacing w:after="150" w:line="240" w:lineRule="auto"/>
              <w:contextualSpacing/>
              <w:jc w:val="both"/>
              <w:rPr>
                <w:rFonts w:ascii="Times New Roman" w:hAnsi="Times New Roman" w:cs="Times New Roman"/>
                <w:bCs/>
                <w:sz w:val="24"/>
                <w:szCs w:val="24"/>
                <w:lang w:val="uk-UA" w:eastAsia="ru-RU"/>
              </w:rPr>
            </w:pPr>
            <w:r w:rsidRPr="00DD5941">
              <w:rPr>
                <w:rFonts w:ascii="Times New Roman" w:eastAsia="Times New Roman" w:hAnsi="Times New Roman" w:cs="Times New Roman"/>
                <w:bCs/>
                <w:sz w:val="24"/>
                <w:szCs w:val="24"/>
                <w:lang w:val="uk-UA" w:eastAsia="ru-RU"/>
              </w:rPr>
              <w:lastRenderedPageBreak/>
              <w:t>ГКД 34.09.100, ГКД 34.09.103, ГКД 34.09.107,</w:t>
            </w:r>
            <w:r w:rsidR="001E3DAD" w:rsidRPr="00DD5941">
              <w:rPr>
                <w:rFonts w:ascii="Times New Roman" w:hAnsi="Times New Roman" w:cs="Times New Roman"/>
                <w:lang w:val="uk-UA"/>
              </w:rPr>
              <w:t xml:space="preserve"> </w:t>
            </w:r>
            <w:r w:rsidR="001E3DAD" w:rsidRPr="00DD5941">
              <w:rPr>
                <w:rFonts w:ascii="Times New Roman" w:eastAsia="Times New Roman" w:hAnsi="Times New Roman" w:cs="Times New Roman"/>
                <w:bCs/>
                <w:sz w:val="24"/>
                <w:szCs w:val="24"/>
                <w:lang w:val="uk-UA" w:eastAsia="ru-RU"/>
              </w:rPr>
              <w:t xml:space="preserve">СОУ-Н МПЕ 40.1.09.151, ГКД 34.20.507, </w:t>
            </w:r>
            <w:r w:rsidR="001E3DAD" w:rsidRPr="00DD5941">
              <w:rPr>
                <w:rFonts w:ascii="Times New Roman" w:hAnsi="Times New Roman" w:cs="Times New Roman"/>
                <w:bCs/>
                <w:sz w:val="24"/>
                <w:szCs w:val="24"/>
                <w:lang w:val="uk-UA" w:eastAsia="ru-RU"/>
              </w:rPr>
              <w:t>РД 34.09.501.</w:t>
            </w:r>
          </w:p>
          <w:p w14:paraId="76EAAAAD" w14:textId="7DD8E39C" w:rsidR="001E3DAD" w:rsidRPr="00DD5941" w:rsidRDefault="001E3DAD" w:rsidP="0036398C">
            <w:pPr>
              <w:shd w:val="clear" w:color="auto" w:fill="FFFFFF"/>
              <w:spacing w:after="150" w:line="240" w:lineRule="auto"/>
              <w:contextualSpacing/>
              <w:jc w:val="both"/>
              <w:rPr>
                <w:rFonts w:ascii="Times New Roman" w:hAnsi="Times New Roman" w:cs="Times New Roman"/>
                <w:bCs/>
                <w:sz w:val="24"/>
                <w:szCs w:val="24"/>
                <w:lang w:val="uk-UA" w:eastAsia="ru-RU"/>
              </w:rPr>
            </w:pPr>
            <w:r w:rsidRPr="00DD5941">
              <w:rPr>
                <w:rFonts w:ascii="Times New Roman" w:hAnsi="Times New Roman" w:cs="Times New Roman"/>
                <w:bCs/>
                <w:sz w:val="24"/>
                <w:szCs w:val="24"/>
                <w:lang w:val="uk-UA" w:eastAsia="ru-RU"/>
              </w:rPr>
              <w:t>Один з документів, а саме ГКД 34.09.100 не узгоджений НКРЕ та не зареєстрований в Міністерстві юстиції України. Згідно цього розрахунки проводити по зазначеному документу не можливо. Відповідно до постанови НКРЕ № 896 від 12.10.2005 замість ГКД 34.09.100 застосовується ГКД 34.09.108.</w:t>
            </w:r>
          </w:p>
          <w:p w14:paraId="2670019D" w14:textId="0475A1B8" w:rsidR="001E3DAD" w:rsidRPr="00DD5941" w:rsidRDefault="001E3DAD" w:rsidP="0036398C">
            <w:pPr>
              <w:shd w:val="clear" w:color="auto" w:fill="FFFFFF"/>
              <w:spacing w:after="150" w:line="240" w:lineRule="auto"/>
              <w:contextualSpacing/>
              <w:jc w:val="both"/>
              <w:rPr>
                <w:rFonts w:ascii="Times New Roman" w:hAnsi="Times New Roman" w:cs="Times New Roman"/>
                <w:bCs/>
                <w:sz w:val="24"/>
                <w:szCs w:val="24"/>
                <w:lang w:val="uk-UA" w:eastAsia="ru-RU"/>
              </w:rPr>
            </w:pPr>
            <w:r w:rsidRPr="00DD5941">
              <w:rPr>
                <w:rFonts w:ascii="Times New Roman" w:hAnsi="Times New Roman" w:cs="Times New Roman"/>
                <w:bCs/>
                <w:sz w:val="24"/>
                <w:szCs w:val="24"/>
                <w:lang w:val="uk-UA" w:eastAsia="ru-RU"/>
              </w:rPr>
              <w:t>Також слід зазначити, що згідно листа НЕК «Укренерго» № 01/57551 від 16.09.2024 р. ГКД 34.09.100 найближчим часом буде скасовано.</w:t>
            </w:r>
          </w:p>
          <w:p w14:paraId="7930D649" w14:textId="5330E2A1" w:rsidR="00632BEB" w:rsidRPr="00DD5941" w:rsidRDefault="001E3DAD" w:rsidP="001E03F5">
            <w:pPr>
              <w:shd w:val="clear" w:color="auto" w:fill="FFFFFF"/>
              <w:spacing w:after="150" w:line="240" w:lineRule="auto"/>
              <w:contextualSpacing/>
              <w:jc w:val="both"/>
              <w:rPr>
                <w:rFonts w:ascii="Times New Roman" w:hAnsi="Times New Roman" w:cs="Times New Roman"/>
                <w:b/>
                <w:bCs/>
                <w:i/>
                <w:iCs/>
                <w:sz w:val="24"/>
                <w:szCs w:val="24"/>
                <w:lang w:val="uk-UA" w:eastAsia="ru-RU"/>
              </w:rPr>
            </w:pPr>
            <w:r w:rsidRPr="00DD5941">
              <w:rPr>
                <w:rFonts w:ascii="Times New Roman" w:hAnsi="Times New Roman" w:cs="Times New Roman"/>
                <w:bCs/>
                <w:sz w:val="24"/>
                <w:szCs w:val="24"/>
                <w:lang w:val="uk-UA" w:eastAsia="ru-RU"/>
              </w:rPr>
              <w:t>Окрім того, документ СОУ-Н МПЕ 40.1.09.151 також розраховано згідно ГКД 34.09.108.</w:t>
            </w:r>
          </w:p>
        </w:tc>
        <w:tc>
          <w:tcPr>
            <w:tcW w:w="4830" w:type="dxa"/>
            <w:vMerge/>
            <w:shd w:val="clear" w:color="auto" w:fill="auto"/>
            <w:tcMar>
              <w:top w:w="100" w:type="dxa"/>
              <w:left w:w="100" w:type="dxa"/>
              <w:bottom w:w="100" w:type="dxa"/>
              <w:right w:w="100" w:type="dxa"/>
            </w:tcMar>
          </w:tcPr>
          <w:p w14:paraId="61999445" w14:textId="77777777" w:rsidR="00632BEB" w:rsidRPr="00DD5941" w:rsidRDefault="00632BEB"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tc>
      </w:tr>
    </w:tbl>
    <w:p w14:paraId="618EB7A5" w14:textId="77777777" w:rsidR="00671A4F" w:rsidRPr="00DD5941" w:rsidRDefault="00671A4F" w:rsidP="00671A4F">
      <w:pPr>
        <w:spacing w:line="240" w:lineRule="auto"/>
        <w:contextualSpacing/>
        <w:jc w:val="both"/>
        <w:rPr>
          <w:rFonts w:ascii="Times New Roman" w:eastAsia="Times New Roman" w:hAnsi="Times New Roman" w:cs="Times New Roman"/>
          <w:b/>
          <w:sz w:val="24"/>
          <w:szCs w:val="24"/>
          <w:lang w:val="uk-UA"/>
        </w:rPr>
      </w:pPr>
      <w:bookmarkStart w:id="3" w:name="n97"/>
      <w:bookmarkEnd w:id="3"/>
    </w:p>
    <w:p w14:paraId="0EA0143B" w14:textId="2A2DBC03" w:rsidR="00671A4F" w:rsidRDefault="00A87FAE" w:rsidP="00273715">
      <w:pPr>
        <w:spacing w:line="240" w:lineRule="auto"/>
        <w:contextualSpacing/>
        <w:jc w:val="both"/>
        <w:rPr>
          <w:rFonts w:ascii="Times New Roman" w:eastAsia="Times New Roman" w:hAnsi="Times New Roman" w:cs="Times New Roman"/>
          <w:bCs/>
          <w:i/>
          <w:sz w:val="28"/>
          <w:szCs w:val="28"/>
          <w:u w:val="single"/>
          <w:lang w:val="uk-UA"/>
        </w:rPr>
      </w:pPr>
      <w:r w:rsidRPr="0005533E">
        <w:rPr>
          <w:rFonts w:ascii="Times New Roman" w:eastAsia="Times New Roman" w:hAnsi="Times New Roman" w:cs="Times New Roman"/>
          <w:bCs/>
          <w:i/>
          <w:color w:val="FF0000"/>
          <w:sz w:val="44"/>
          <w:szCs w:val="28"/>
          <w:lang w:val="uk-UA"/>
        </w:rPr>
        <w:t>*</w:t>
      </w:r>
      <w:r w:rsidR="0005533E" w:rsidRPr="0005533E">
        <w:rPr>
          <w:rFonts w:ascii="Times New Roman" w:eastAsia="Times New Roman" w:hAnsi="Times New Roman" w:cs="Times New Roman"/>
          <w:bCs/>
          <w:i/>
          <w:sz w:val="28"/>
          <w:szCs w:val="28"/>
          <w:u w:val="single"/>
          <w:lang w:val="uk-UA"/>
        </w:rPr>
        <w:t xml:space="preserve"> </w:t>
      </w:r>
      <w:r w:rsidR="0005533E" w:rsidRPr="00835BDE">
        <w:rPr>
          <w:rFonts w:ascii="Times New Roman" w:eastAsia="Times New Roman" w:hAnsi="Times New Roman" w:cs="Times New Roman"/>
          <w:bCs/>
          <w:i/>
          <w:sz w:val="28"/>
          <w:szCs w:val="28"/>
          <w:u w:val="single"/>
          <w:lang w:val="uk-UA"/>
        </w:rPr>
        <w:t>Примітка:  Оскільки зауваження та пропозиції ТОВ «ЄВРО-РЕКОНСТРУКЦІЯ» та ТОВ «СУМИТЕПЛОЕНЕРГО» до проекту рішення НКРЕКП (далі – Зауваження)  надані з порушенням вимог пункту 3.2 Порядку проведення відкритого обговорення проєктів рішень Національної комісії, що здійснює державне регулювання у сферах енергетики та комунальних послуг, затвердженого постановою НКРЕКП від 30.06.2017 № 866 (далі – постанова № 866), у частині недотримання форми додатку 1, затвердженого постановою № 866, Зауваження не включені до узагальненої таблиці, але їх надано в переліку копі</w:t>
      </w:r>
      <w:r w:rsidR="00E826A7" w:rsidRPr="00835BDE">
        <w:rPr>
          <w:rFonts w:ascii="Times New Roman" w:eastAsia="Times New Roman" w:hAnsi="Times New Roman" w:cs="Times New Roman"/>
          <w:bCs/>
          <w:i/>
          <w:sz w:val="28"/>
          <w:szCs w:val="28"/>
          <w:u w:val="single"/>
          <w:lang w:val="uk-UA"/>
        </w:rPr>
        <w:t>й</w:t>
      </w:r>
      <w:r w:rsidR="0005533E" w:rsidRPr="00835BDE">
        <w:rPr>
          <w:rFonts w:ascii="Times New Roman" w:eastAsia="Times New Roman" w:hAnsi="Times New Roman" w:cs="Times New Roman"/>
          <w:bCs/>
          <w:i/>
          <w:sz w:val="28"/>
          <w:szCs w:val="28"/>
          <w:u w:val="single"/>
          <w:lang w:val="uk-UA"/>
        </w:rPr>
        <w:t xml:space="preserve"> листів, </w:t>
      </w:r>
      <w:r w:rsidR="00E826A7" w:rsidRPr="00835BDE">
        <w:rPr>
          <w:rFonts w:ascii="Times New Roman" w:eastAsia="Times New Roman" w:hAnsi="Times New Roman" w:cs="Times New Roman"/>
          <w:bCs/>
          <w:i/>
          <w:sz w:val="28"/>
          <w:szCs w:val="28"/>
          <w:u w:val="single"/>
          <w:lang w:val="uk-UA"/>
        </w:rPr>
        <w:t xml:space="preserve">із </w:t>
      </w:r>
      <w:r w:rsidR="0005533E" w:rsidRPr="00835BDE">
        <w:rPr>
          <w:rFonts w:ascii="Times New Roman" w:eastAsia="Times New Roman" w:hAnsi="Times New Roman" w:cs="Times New Roman"/>
          <w:bCs/>
          <w:i/>
          <w:sz w:val="28"/>
          <w:szCs w:val="28"/>
          <w:u w:val="single"/>
          <w:lang w:val="uk-UA"/>
        </w:rPr>
        <w:t>зауваження</w:t>
      </w:r>
      <w:r w:rsidR="00E826A7" w:rsidRPr="00835BDE">
        <w:rPr>
          <w:rFonts w:ascii="Times New Roman" w:eastAsia="Times New Roman" w:hAnsi="Times New Roman" w:cs="Times New Roman"/>
          <w:bCs/>
          <w:i/>
          <w:sz w:val="28"/>
          <w:szCs w:val="28"/>
          <w:u w:val="single"/>
          <w:lang w:val="uk-UA"/>
        </w:rPr>
        <w:t>ми</w:t>
      </w:r>
      <w:r w:rsidR="0005533E" w:rsidRPr="00835BDE">
        <w:rPr>
          <w:rFonts w:ascii="Times New Roman" w:eastAsia="Times New Roman" w:hAnsi="Times New Roman" w:cs="Times New Roman"/>
          <w:bCs/>
          <w:i/>
          <w:sz w:val="28"/>
          <w:szCs w:val="28"/>
          <w:u w:val="single"/>
          <w:lang w:val="uk-UA"/>
        </w:rPr>
        <w:t xml:space="preserve"> та пропозиці</w:t>
      </w:r>
      <w:r w:rsidR="00E826A7" w:rsidRPr="00835BDE">
        <w:rPr>
          <w:rFonts w:ascii="Times New Roman" w:eastAsia="Times New Roman" w:hAnsi="Times New Roman" w:cs="Times New Roman"/>
          <w:bCs/>
          <w:i/>
          <w:sz w:val="28"/>
          <w:szCs w:val="28"/>
          <w:u w:val="single"/>
          <w:lang w:val="uk-UA"/>
        </w:rPr>
        <w:t>ями</w:t>
      </w:r>
      <w:r w:rsidR="0005533E" w:rsidRPr="00835BDE">
        <w:rPr>
          <w:rFonts w:ascii="Times New Roman" w:eastAsia="Times New Roman" w:hAnsi="Times New Roman" w:cs="Times New Roman"/>
          <w:bCs/>
          <w:i/>
          <w:sz w:val="28"/>
          <w:szCs w:val="28"/>
          <w:u w:val="single"/>
          <w:lang w:val="uk-UA"/>
        </w:rPr>
        <w:t>, наданих  заінтересованими особами.</w:t>
      </w:r>
    </w:p>
    <w:p w14:paraId="078E4403" w14:textId="77777777" w:rsidR="0005533E" w:rsidRPr="00DD5941" w:rsidRDefault="0005533E" w:rsidP="00273715">
      <w:pPr>
        <w:spacing w:line="240" w:lineRule="auto"/>
        <w:contextualSpacing/>
        <w:jc w:val="both"/>
        <w:rPr>
          <w:rFonts w:ascii="Times New Roman" w:eastAsia="Times New Roman" w:hAnsi="Times New Roman" w:cs="Times New Roman"/>
          <w:bCs/>
          <w:i/>
          <w:sz w:val="28"/>
          <w:szCs w:val="28"/>
          <w:lang w:val="uk-UA"/>
        </w:rPr>
      </w:pPr>
      <w:bookmarkStart w:id="4" w:name="_GoBack"/>
      <w:bookmarkEnd w:id="4"/>
    </w:p>
    <w:sectPr w:rsidR="0005533E" w:rsidRPr="00DD5941" w:rsidSect="00835D37">
      <w:headerReference w:type="default" r:id="rId8"/>
      <w:pgSz w:w="16838" w:h="11906" w:orient="landscape"/>
      <w:pgMar w:top="709" w:right="82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D88827" w14:textId="77777777" w:rsidR="00E375FF" w:rsidRDefault="00E375FF">
      <w:pPr>
        <w:spacing w:line="240" w:lineRule="auto"/>
      </w:pPr>
      <w:r>
        <w:separator/>
      </w:r>
    </w:p>
  </w:endnote>
  <w:endnote w:type="continuationSeparator" w:id="0">
    <w:p w14:paraId="155ADD22" w14:textId="77777777" w:rsidR="00E375FF" w:rsidRDefault="00E375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PSMT">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81DD2C" w14:textId="77777777" w:rsidR="00E375FF" w:rsidRDefault="00E375FF">
      <w:pPr>
        <w:spacing w:line="240" w:lineRule="auto"/>
      </w:pPr>
      <w:r>
        <w:separator/>
      </w:r>
    </w:p>
  </w:footnote>
  <w:footnote w:type="continuationSeparator" w:id="0">
    <w:p w14:paraId="2AF534F7" w14:textId="77777777" w:rsidR="00E375FF" w:rsidRDefault="00E375F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0288029"/>
      <w:docPartObj>
        <w:docPartGallery w:val="Page Numbers (Top of Page)"/>
        <w:docPartUnique/>
      </w:docPartObj>
    </w:sdtPr>
    <w:sdtEndPr>
      <w:rPr>
        <w:rFonts w:ascii="Times New Roman" w:hAnsi="Times New Roman" w:cs="Times New Roman"/>
        <w:sz w:val="24"/>
        <w:szCs w:val="24"/>
      </w:rPr>
    </w:sdtEndPr>
    <w:sdtContent>
      <w:p w14:paraId="2349206F" w14:textId="79652E91" w:rsidR="004E62B2" w:rsidRPr="004E62B2" w:rsidRDefault="004E62B2">
        <w:pPr>
          <w:pStyle w:val="af1"/>
          <w:jc w:val="center"/>
          <w:rPr>
            <w:rFonts w:ascii="Times New Roman" w:hAnsi="Times New Roman" w:cs="Times New Roman"/>
            <w:sz w:val="24"/>
            <w:szCs w:val="24"/>
          </w:rPr>
        </w:pPr>
        <w:r w:rsidRPr="004E62B2">
          <w:rPr>
            <w:rFonts w:ascii="Times New Roman" w:hAnsi="Times New Roman" w:cs="Times New Roman"/>
            <w:sz w:val="24"/>
            <w:szCs w:val="24"/>
          </w:rPr>
          <w:fldChar w:fldCharType="begin"/>
        </w:r>
        <w:r w:rsidRPr="004E62B2">
          <w:rPr>
            <w:rFonts w:ascii="Times New Roman" w:hAnsi="Times New Roman" w:cs="Times New Roman"/>
            <w:sz w:val="24"/>
            <w:szCs w:val="24"/>
          </w:rPr>
          <w:instrText>PAGE   \* MERGEFORMAT</w:instrText>
        </w:r>
        <w:r w:rsidRPr="004E62B2">
          <w:rPr>
            <w:rFonts w:ascii="Times New Roman" w:hAnsi="Times New Roman" w:cs="Times New Roman"/>
            <w:sz w:val="24"/>
            <w:szCs w:val="24"/>
          </w:rPr>
          <w:fldChar w:fldCharType="separate"/>
        </w:r>
        <w:r w:rsidR="0076497C" w:rsidRPr="0076497C">
          <w:rPr>
            <w:rFonts w:ascii="Times New Roman" w:hAnsi="Times New Roman" w:cs="Times New Roman"/>
            <w:noProof/>
            <w:sz w:val="24"/>
            <w:szCs w:val="24"/>
            <w:lang w:val="uk-UA"/>
          </w:rPr>
          <w:t>36</w:t>
        </w:r>
        <w:r w:rsidRPr="004E62B2">
          <w:rPr>
            <w:rFonts w:ascii="Times New Roman" w:hAnsi="Times New Roman" w:cs="Times New Roman"/>
            <w:sz w:val="24"/>
            <w:szCs w:val="24"/>
          </w:rPr>
          <w:fldChar w:fldCharType="end"/>
        </w:r>
      </w:p>
    </w:sdtContent>
  </w:sdt>
  <w:p w14:paraId="512BFBDA" w14:textId="77777777" w:rsidR="005D4EE3" w:rsidRPr="004E62B2" w:rsidRDefault="005D4EE3">
    <w:pP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342581"/>
    <w:multiLevelType w:val="hybridMultilevel"/>
    <w:tmpl w:val="0F4C439A"/>
    <w:lvl w:ilvl="0" w:tplc="F052351A">
      <w:numFmt w:val="bullet"/>
      <w:lvlText w:val="-"/>
      <w:lvlJc w:val="left"/>
      <w:pPr>
        <w:ind w:left="75" w:hanging="167"/>
      </w:pPr>
      <w:rPr>
        <w:rFonts w:ascii="Times New Roman" w:eastAsia="Times New Roman" w:hAnsi="Times New Roman" w:cs="Times New Roman" w:hint="default"/>
        <w:w w:val="100"/>
        <w:sz w:val="22"/>
        <w:szCs w:val="22"/>
        <w:lang w:val="uk-UA" w:eastAsia="en-US" w:bidi="ar-SA"/>
      </w:rPr>
    </w:lvl>
    <w:lvl w:ilvl="1" w:tplc="74D8E828">
      <w:numFmt w:val="bullet"/>
      <w:lvlText w:val="•"/>
      <w:lvlJc w:val="left"/>
      <w:pPr>
        <w:ind w:left="524" w:hanging="167"/>
      </w:pPr>
      <w:rPr>
        <w:rFonts w:hint="default"/>
        <w:lang w:val="uk-UA" w:eastAsia="en-US" w:bidi="ar-SA"/>
      </w:rPr>
    </w:lvl>
    <w:lvl w:ilvl="2" w:tplc="FECEBC84">
      <w:numFmt w:val="bullet"/>
      <w:lvlText w:val="•"/>
      <w:lvlJc w:val="left"/>
      <w:pPr>
        <w:ind w:left="969" w:hanging="167"/>
      </w:pPr>
      <w:rPr>
        <w:rFonts w:hint="default"/>
        <w:lang w:val="uk-UA" w:eastAsia="en-US" w:bidi="ar-SA"/>
      </w:rPr>
    </w:lvl>
    <w:lvl w:ilvl="3" w:tplc="C7687F58">
      <w:numFmt w:val="bullet"/>
      <w:lvlText w:val="•"/>
      <w:lvlJc w:val="left"/>
      <w:pPr>
        <w:ind w:left="1413" w:hanging="167"/>
      </w:pPr>
      <w:rPr>
        <w:rFonts w:hint="default"/>
        <w:lang w:val="uk-UA" w:eastAsia="en-US" w:bidi="ar-SA"/>
      </w:rPr>
    </w:lvl>
    <w:lvl w:ilvl="4" w:tplc="F5DA42C0">
      <w:numFmt w:val="bullet"/>
      <w:lvlText w:val="•"/>
      <w:lvlJc w:val="left"/>
      <w:pPr>
        <w:ind w:left="1858" w:hanging="167"/>
      </w:pPr>
      <w:rPr>
        <w:rFonts w:hint="default"/>
        <w:lang w:val="uk-UA" w:eastAsia="en-US" w:bidi="ar-SA"/>
      </w:rPr>
    </w:lvl>
    <w:lvl w:ilvl="5" w:tplc="50B46A2E">
      <w:numFmt w:val="bullet"/>
      <w:lvlText w:val="•"/>
      <w:lvlJc w:val="left"/>
      <w:pPr>
        <w:ind w:left="2303" w:hanging="167"/>
      </w:pPr>
      <w:rPr>
        <w:rFonts w:hint="default"/>
        <w:lang w:val="uk-UA" w:eastAsia="en-US" w:bidi="ar-SA"/>
      </w:rPr>
    </w:lvl>
    <w:lvl w:ilvl="6" w:tplc="ED9642FC">
      <w:numFmt w:val="bullet"/>
      <w:lvlText w:val="•"/>
      <w:lvlJc w:val="left"/>
      <w:pPr>
        <w:ind w:left="2747" w:hanging="167"/>
      </w:pPr>
      <w:rPr>
        <w:rFonts w:hint="default"/>
        <w:lang w:val="uk-UA" w:eastAsia="en-US" w:bidi="ar-SA"/>
      </w:rPr>
    </w:lvl>
    <w:lvl w:ilvl="7" w:tplc="1F1CD13C">
      <w:numFmt w:val="bullet"/>
      <w:lvlText w:val="•"/>
      <w:lvlJc w:val="left"/>
      <w:pPr>
        <w:ind w:left="3192" w:hanging="167"/>
      </w:pPr>
      <w:rPr>
        <w:rFonts w:hint="default"/>
        <w:lang w:val="uk-UA" w:eastAsia="en-US" w:bidi="ar-SA"/>
      </w:rPr>
    </w:lvl>
    <w:lvl w:ilvl="8" w:tplc="97901534">
      <w:numFmt w:val="bullet"/>
      <w:lvlText w:val="•"/>
      <w:lvlJc w:val="left"/>
      <w:pPr>
        <w:ind w:left="3636" w:hanging="167"/>
      </w:pPr>
      <w:rPr>
        <w:rFonts w:hint="default"/>
        <w:lang w:val="uk-UA" w:eastAsia="en-US" w:bidi="ar-SA"/>
      </w:rPr>
    </w:lvl>
  </w:abstractNum>
  <w:abstractNum w:abstractNumId="1" w15:restartNumberingAfterBreak="0">
    <w:nsid w:val="69E82C16"/>
    <w:multiLevelType w:val="multilevel"/>
    <w:tmpl w:val="272ABD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6A701412"/>
    <w:multiLevelType w:val="hybridMultilevel"/>
    <w:tmpl w:val="1A90703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4EE3"/>
    <w:rsid w:val="0001034A"/>
    <w:rsid w:val="00035A6A"/>
    <w:rsid w:val="00043006"/>
    <w:rsid w:val="00054817"/>
    <w:rsid w:val="000552D1"/>
    <w:rsid w:val="0005533E"/>
    <w:rsid w:val="00071E41"/>
    <w:rsid w:val="0007766F"/>
    <w:rsid w:val="00082DA4"/>
    <w:rsid w:val="00093028"/>
    <w:rsid w:val="00094F61"/>
    <w:rsid w:val="000A54AD"/>
    <w:rsid w:val="000A5572"/>
    <w:rsid w:val="000B4777"/>
    <w:rsid w:val="000C1429"/>
    <w:rsid w:val="000D0164"/>
    <w:rsid w:val="000D276F"/>
    <w:rsid w:val="000D7D05"/>
    <w:rsid w:val="00103C1D"/>
    <w:rsid w:val="001128ED"/>
    <w:rsid w:val="00112D53"/>
    <w:rsid w:val="001146D7"/>
    <w:rsid w:val="00116463"/>
    <w:rsid w:val="00116FAB"/>
    <w:rsid w:val="0013182B"/>
    <w:rsid w:val="00146FB0"/>
    <w:rsid w:val="00146FBA"/>
    <w:rsid w:val="00154550"/>
    <w:rsid w:val="00163855"/>
    <w:rsid w:val="00173164"/>
    <w:rsid w:val="00174404"/>
    <w:rsid w:val="00175BB8"/>
    <w:rsid w:val="00184092"/>
    <w:rsid w:val="00184CA0"/>
    <w:rsid w:val="0018598B"/>
    <w:rsid w:val="00185F83"/>
    <w:rsid w:val="0018744E"/>
    <w:rsid w:val="001930C4"/>
    <w:rsid w:val="001A6D61"/>
    <w:rsid w:val="001B27F7"/>
    <w:rsid w:val="001C0B37"/>
    <w:rsid w:val="001C565C"/>
    <w:rsid w:val="001D2FAC"/>
    <w:rsid w:val="001E03F5"/>
    <w:rsid w:val="001E08BB"/>
    <w:rsid w:val="001E3DAD"/>
    <w:rsid w:val="001E4BC0"/>
    <w:rsid w:val="00203939"/>
    <w:rsid w:val="002058EB"/>
    <w:rsid w:val="002129A5"/>
    <w:rsid w:val="00222AB1"/>
    <w:rsid w:val="00233053"/>
    <w:rsid w:val="00233C60"/>
    <w:rsid w:val="002372DD"/>
    <w:rsid w:val="00250814"/>
    <w:rsid w:val="00256E6E"/>
    <w:rsid w:val="00262F66"/>
    <w:rsid w:val="00271AEB"/>
    <w:rsid w:val="00272F5D"/>
    <w:rsid w:val="00273715"/>
    <w:rsid w:val="00275ADB"/>
    <w:rsid w:val="00285AC9"/>
    <w:rsid w:val="00286950"/>
    <w:rsid w:val="002A08E6"/>
    <w:rsid w:val="002A150B"/>
    <w:rsid w:val="002A4DD9"/>
    <w:rsid w:val="002B07C9"/>
    <w:rsid w:val="002B100F"/>
    <w:rsid w:val="002B57F6"/>
    <w:rsid w:val="002D6AAA"/>
    <w:rsid w:val="002E11C1"/>
    <w:rsid w:val="002E7661"/>
    <w:rsid w:val="00301F12"/>
    <w:rsid w:val="0030574D"/>
    <w:rsid w:val="003069CA"/>
    <w:rsid w:val="0031273D"/>
    <w:rsid w:val="00326068"/>
    <w:rsid w:val="00332B69"/>
    <w:rsid w:val="0036398C"/>
    <w:rsid w:val="00364BB4"/>
    <w:rsid w:val="0037356F"/>
    <w:rsid w:val="003808A7"/>
    <w:rsid w:val="00384DFA"/>
    <w:rsid w:val="00391EA6"/>
    <w:rsid w:val="00392FB6"/>
    <w:rsid w:val="0039520C"/>
    <w:rsid w:val="003A137A"/>
    <w:rsid w:val="003A4D47"/>
    <w:rsid w:val="003A73D4"/>
    <w:rsid w:val="003B0F3E"/>
    <w:rsid w:val="003B196F"/>
    <w:rsid w:val="003B3A9B"/>
    <w:rsid w:val="003B3D7E"/>
    <w:rsid w:val="003C23C3"/>
    <w:rsid w:val="003D447D"/>
    <w:rsid w:val="003D6A4B"/>
    <w:rsid w:val="003E34CD"/>
    <w:rsid w:val="003E3681"/>
    <w:rsid w:val="003E70B4"/>
    <w:rsid w:val="003F1B91"/>
    <w:rsid w:val="003F6F10"/>
    <w:rsid w:val="00405F50"/>
    <w:rsid w:val="004117A7"/>
    <w:rsid w:val="0042401A"/>
    <w:rsid w:val="0042485C"/>
    <w:rsid w:val="004318DE"/>
    <w:rsid w:val="004410D8"/>
    <w:rsid w:val="00441DA4"/>
    <w:rsid w:val="0044239F"/>
    <w:rsid w:val="004455A6"/>
    <w:rsid w:val="00447CBD"/>
    <w:rsid w:val="00451F3F"/>
    <w:rsid w:val="00456CF1"/>
    <w:rsid w:val="00463397"/>
    <w:rsid w:val="00465927"/>
    <w:rsid w:val="004660D0"/>
    <w:rsid w:val="004674F4"/>
    <w:rsid w:val="00471C8A"/>
    <w:rsid w:val="00481DDE"/>
    <w:rsid w:val="00483333"/>
    <w:rsid w:val="0048340D"/>
    <w:rsid w:val="00484709"/>
    <w:rsid w:val="004872E7"/>
    <w:rsid w:val="004876E5"/>
    <w:rsid w:val="004954CB"/>
    <w:rsid w:val="004A58E9"/>
    <w:rsid w:val="004C1B99"/>
    <w:rsid w:val="004C20CD"/>
    <w:rsid w:val="004D3813"/>
    <w:rsid w:val="004E1DAB"/>
    <w:rsid w:val="004E203C"/>
    <w:rsid w:val="004E305D"/>
    <w:rsid w:val="004E34D8"/>
    <w:rsid w:val="004E62B2"/>
    <w:rsid w:val="004E722F"/>
    <w:rsid w:val="004E7C21"/>
    <w:rsid w:val="004F3F02"/>
    <w:rsid w:val="004F7263"/>
    <w:rsid w:val="00500C6F"/>
    <w:rsid w:val="00501722"/>
    <w:rsid w:val="00507B27"/>
    <w:rsid w:val="00515A5A"/>
    <w:rsid w:val="00515F3A"/>
    <w:rsid w:val="00516368"/>
    <w:rsid w:val="00522313"/>
    <w:rsid w:val="00536617"/>
    <w:rsid w:val="00537DDF"/>
    <w:rsid w:val="0054279F"/>
    <w:rsid w:val="00553C43"/>
    <w:rsid w:val="00554402"/>
    <w:rsid w:val="005574F2"/>
    <w:rsid w:val="00560E7F"/>
    <w:rsid w:val="00561077"/>
    <w:rsid w:val="0056428F"/>
    <w:rsid w:val="005701C7"/>
    <w:rsid w:val="00583372"/>
    <w:rsid w:val="00587038"/>
    <w:rsid w:val="00592E11"/>
    <w:rsid w:val="00593CAA"/>
    <w:rsid w:val="005A151D"/>
    <w:rsid w:val="005A1CD2"/>
    <w:rsid w:val="005A360A"/>
    <w:rsid w:val="005A430F"/>
    <w:rsid w:val="005A546C"/>
    <w:rsid w:val="005A56D6"/>
    <w:rsid w:val="005B1B77"/>
    <w:rsid w:val="005B3ED9"/>
    <w:rsid w:val="005B66AD"/>
    <w:rsid w:val="005C025B"/>
    <w:rsid w:val="005D0556"/>
    <w:rsid w:val="005D4EE3"/>
    <w:rsid w:val="005D601D"/>
    <w:rsid w:val="005D6A69"/>
    <w:rsid w:val="005E1AED"/>
    <w:rsid w:val="005E2A66"/>
    <w:rsid w:val="005F321B"/>
    <w:rsid w:val="006016F8"/>
    <w:rsid w:val="006033B8"/>
    <w:rsid w:val="00610545"/>
    <w:rsid w:val="00610F58"/>
    <w:rsid w:val="00613F99"/>
    <w:rsid w:val="0063158A"/>
    <w:rsid w:val="00632BEB"/>
    <w:rsid w:val="006353C0"/>
    <w:rsid w:val="00635899"/>
    <w:rsid w:val="006439A0"/>
    <w:rsid w:val="00644E09"/>
    <w:rsid w:val="00651B4A"/>
    <w:rsid w:val="00667DE7"/>
    <w:rsid w:val="006700F0"/>
    <w:rsid w:val="00671A02"/>
    <w:rsid w:val="00671A4F"/>
    <w:rsid w:val="0068017A"/>
    <w:rsid w:val="00681D94"/>
    <w:rsid w:val="00685AC7"/>
    <w:rsid w:val="00687AC6"/>
    <w:rsid w:val="006913A7"/>
    <w:rsid w:val="006A44C9"/>
    <w:rsid w:val="006B09BC"/>
    <w:rsid w:val="006B3F09"/>
    <w:rsid w:val="006C308D"/>
    <w:rsid w:val="006C6DD1"/>
    <w:rsid w:val="006C7557"/>
    <w:rsid w:val="006D1A5B"/>
    <w:rsid w:val="006D3363"/>
    <w:rsid w:val="006F1E85"/>
    <w:rsid w:val="00704D78"/>
    <w:rsid w:val="00711C53"/>
    <w:rsid w:val="00712EA0"/>
    <w:rsid w:val="0072607E"/>
    <w:rsid w:val="007270C6"/>
    <w:rsid w:val="00735C27"/>
    <w:rsid w:val="0074088C"/>
    <w:rsid w:val="007642D2"/>
    <w:rsid w:val="0076497C"/>
    <w:rsid w:val="00775C75"/>
    <w:rsid w:val="007A17E1"/>
    <w:rsid w:val="007B49CA"/>
    <w:rsid w:val="007D1ABE"/>
    <w:rsid w:val="007D4285"/>
    <w:rsid w:val="007E1E9F"/>
    <w:rsid w:val="007F6E40"/>
    <w:rsid w:val="00800C5C"/>
    <w:rsid w:val="00801E81"/>
    <w:rsid w:val="00810B47"/>
    <w:rsid w:val="00812FC1"/>
    <w:rsid w:val="008141BB"/>
    <w:rsid w:val="00817D68"/>
    <w:rsid w:val="00822D11"/>
    <w:rsid w:val="00824F13"/>
    <w:rsid w:val="00835BDE"/>
    <w:rsid w:val="00835D37"/>
    <w:rsid w:val="00835F15"/>
    <w:rsid w:val="008365CC"/>
    <w:rsid w:val="00837D1E"/>
    <w:rsid w:val="00845501"/>
    <w:rsid w:val="00854910"/>
    <w:rsid w:val="00857260"/>
    <w:rsid w:val="00857F29"/>
    <w:rsid w:val="00865DC9"/>
    <w:rsid w:val="00870930"/>
    <w:rsid w:val="0087528F"/>
    <w:rsid w:val="008775B7"/>
    <w:rsid w:val="00887195"/>
    <w:rsid w:val="00887359"/>
    <w:rsid w:val="008927D5"/>
    <w:rsid w:val="008951FC"/>
    <w:rsid w:val="0089778C"/>
    <w:rsid w:val="008A65F3"/>
    <w:rsid w:val="008C33B1"/>
    <w:rsid w:val="008E0870"/>
    <w:rsid w:val="008E0CDC"/>
    <w:rsid w:val="008E57C5"/>
    <w:rsid w:val="008E5A3B"/>
    <w:rsid w:val="008E77CA"/>
    <w:rsid w:val="008F225A"/>
    <w:rsid w:val="008F4EEF"/>
    <w:rsid w:val="008F52FF"/>
    <w:rsid w:val="008F5E56"/>
    <w:rsid w:val="00910DBC"/>
    <w:rsid w:val="009114C2"/>
    <w:rsid w:val="00913A30"/>
    <w:rsid w:val="009269F7"/>
    <w:rsid w:val="00930894"/>
    <w:rsid w:val="009416CA"/>
    <w:rsid w:val="0094269E"/>
    <w:rsid w:val="00947737"/>
    <w:rsid w:val="00947B1B"/>
    <w:rsid w:val="00970879"/>
    <w:rsid w:val="009710A6"/>
    <w:rsid w:val="00980593"/>
    <w:rsid w:val="00990167"/>
    <w:rsid w:val="0099433E"/>
    <w:rsid w:val="009A760C"/>
    <w:rsid w:val="009A79CC"/>
    <w:rsid w:val="009B4660"/>
    <w:rsid w:val="009B47BA"/>
    <w:rsid w:val="009C6275"/>
    <w:rsid w:val="009D301F"/>
    <w:rsid w:val="009D40BF"/>
    <w:rsid w:val="009D4149"/>
    <w:rsid w:val="009E089C"/>
    <w:rsid w:val="009F01CC"/>
    <w:rsid w:val="009F0F40"/>
    <w:rsid w:val="009F5791"/>
    <w:rsid w:val="00A00C8F"/>
    <w:rsid w:val="00A17BD7"/>
    <w:rsid w:val="00A17D84"/>
    <w:rsid w:val="00A41D3F"/>
    <w:rsid w:val="00A4203E"/>
    <w:rsid w:val="00A425F3"/>
    <w:rsid w:val="00A433AD"/>
    <w:rsid w:val="00A45989"/>
    <w:rsid w:val="00A46E22"/>
    <w:rsid w:val="00A56CAA"/>
    <w:rsid w:val="00A5792F"/>
    <w:rsid w:val="00A62BAF"/>
    <w:rsid w:val="00A6673E"/>
    <w:rsid w:val="00A71EFE"/>
    <w:rsid w:val="00A73310"/>
    <w:rsid w:val="00A73748"/>
    <w:rsid w:val="00A7397F"/>
    <w:rsid w:val="00A76CBE"/>
    <w:rsid w:val="00A86776"/>
    <w:rsid w:val="00A87FAE"/>
    <w:rsid w:val="00A91301"/>
    <w:rsid w:val="00AA4F47"/>
    <w:rsid w:val="00AB2801"/>
    <w:rsid w:val="00AB52AF"/>
    <w:rsid w:val="00AB6FBD"/>
    <w:rsid w:val="00AC0965"/>
    <w:rsid w:val="00AC40AE"/>
    <w:rsid w:val="00AC6CF8"/>
    <w:rsid w:val="00AE31BD"/>
    <w:rsid w:val="00AE39E0"/>
    <w:rsid w:val="00AE46A1"/>
    <w:rsid w:val="00AF1E36"/>
    <w:rsid w:val="00AF5E24"/>
    <w:rsid w:val="00AF6087"/>
    <w:rsid w:val="00AF7C31"/>
    <w:rsid w:val="00B11224"/>
    <w:rsid w:val="00B204D6"/>
    <w:rsid w:val="00B26C45"/>
    <w:rsid w:val="00B319DD"/>
    <w:rsid w:val="00B33772"/>
    <w:rsid w:val="00B40306"/>
    <w:rsid w:val="00B40774"/>
    <w:rsid w:val="00B41101"/>
    <w:rsid w:val="00B53692"/>
    <w:rsid w:val="00B55E33"/>
    <w:rsid w:val="00B65E59"/>
    <w:rsid w:val="00B671A1"/>
    <w:rsid w:val="00B717DA"/>
    <w:rsid w:val="00B7577F"/>
    <w:rsid w:val="00B8096B"/>
    <w:rsid w:val="00B8332A"/>
    <w:rsid w:val="00B8363F"/>
    <w:rsid w:val="00B9227C"/>
    <w:rsid w:val="00BA036C"/>
    <w:rsid w:val="00BA04BC"/>
    <w:rsid w:val="00BA6A35"/>
    <w:rsid w:val="00BB2510"/>
    <w:rsid w:val="00BB3A44"/>
    <w:rsid w:val="00BB78FD"/>
    <w:rsid w:val="00BD5962"/>
    <w:rsid w:val="00BD6230"/>
    <w:rsid w:val="00BE1BA9"/>
    <w:rsid w:val="00BE7259"/>
    <w:rsid w:val="00BF6083"/>
    <w:rsid w:val="00C02D38"/>
    <w:rsid w:val="00C05E7A"/>
    <w:rsid w:val="00C21868"/>
    <w:rsid w:val="00C27053"/>
    <w:rsid w:val="00C33234"/>
    <w:rsid w:val="00C33535"/>
    <w:rsid w:val="00C428EC"/>
    <w:rsid w:val="00C6661D"/>
    <w:rsid w:val="00C83C50"/>
    <w:rsid w:val="00C869B7"/>
    <w:rsid w:val="00C95117"/>
    <w:rsid w:val="00CA1EDF"/>
    <w:rsid w:val="00CA251B"/>
    <w:rsid w:val="00CB174A"/>
    <w:rsid w:val="00CB2A6A"/>
    <w:rsid w:val="00CB65D9"/>
    <w:rsid w:val="00CC5CAC"/>
    <w:rsid w:val="00CC660B"/>
    <w:rsid w:val="00CC678F"/>
    <w:rsid w:val="00CC6BE5"/>
    <w:rsid w:val="00CD0919"/>
    <w:rsid w:val="00CE191D"/>
    <w:rsid w:val="00CE35B4"/>
    <w:rsid w:val="00CE52EC"/>
    <w:rsid w:val="00CE7619"/>
    <w:rsid w:val="00CE774B"/>
    <w:rsid w:val="00D07CCB"/>
    <w:rsid w:val="00D17147"/>
    <w:rsid w:val="00D3607F"/>
    <w:rsid w:val="00D41B2A"/>
    <w:rsid w:val="00D41D1C"/>
    <w:rsid w:val="00D46A57"/>
    <w:rsid w:val="00D54B96"/>
    <w:rsid w:val="00D6376B"/>
    <w:rsid w:val="00D65D68"/>
    <w:rsid w:val="00D66A4C"/>
    <w:rsid w:val="00D66F55"/>
    <w:rsid w:val="00D7537F"/>
    <w:rsid w:val="00D96BB5"/>
    <w:rsid w:val="00DA212E"/>
    <w:rsid w:val="00DB16AF"/>
    <w:rsid w:val="00DB63E4"/>
    <w:rsid w:val="00DB65E2"/>
    <w:rsid w:val="00DB7356"/>
    <w:rsid w:val="00DC0127"/>
    <w:rsid w:val="00DC1294"/>
    <w:rsid w:val="00DC1386"/>
    <w:rsid w:val="00DC174E"/>
    <w:rsid w:val="00DD2AC6"/>
    <w:rsid w:val="00DD5941"/>
    <w:rsid w:val="00DE0F39"/>
    <w:rsid w:val="00DE7B13"/>
    <w:rsid w:val="00DF01DA"/>
    <w:rsid w:val="00DF54C8"/>
    <w:rsid w:val="00DF6831"/>
    <w:rsid w:val="00E11AF9"/>
    <w:rsid w:val="00E11E1C"/>
    <w:rsid w:val="00E37328"/>
    <w:rsid w:val="00E375FF"/>
    <w:rsid w:val="00E37698"/>
    <w:rsid w:val="00E417D6"/>
    <w:rsid w:val="00E41A5A"/>
    <w:rsid w:val="00E42BD4"/>
    <w:rsid w:val="00E44CD2"/>
    <w:rsid w:val="00E44EB2"/>
    <w:rsid w:val="00E55E46"/>
    <w:rsid w:val="00E56FAB"/>
    <w:rsid w:val="00E667E1"/>
    <w:rsid w:val="00E73491"/>
    <w:rsid w:val="00E751A3"/>
    <w:rsid w:val="00E82316"/>
    <w:rsid w:val="00E826A7"/>
    <w:rsid w:val="00E92AD6"/>
    <w:rsid w:val="00E93523"/>
    <w:rsid w:val="00E95D57"/>
    <w:rsid w:val="00E97602"/>
    <w:rsid w:val="00EA630C"/>
    <w:rsid w:val="00EB18EC"/>
    <w:rsid w:val="00EB51C2"/>
    <w:rsid w:val="00EC02BE"/>
    <w:rsid w:val="00ED32AE"/>
    <w:rsid w:val="00EE7608"/>
    <w:rsid w:val="00EF71EF"/>
    <w:rsid w:val="00F04BC8"/>
    <w:rsid w:val="00F10F17"/>
    <w:rsid w:val="00F20750"/>
    <w:rsid w:val="00F266F0"/>
    <w:rsid w:val="00F30697"/>
    <w:rsid w:val="00F313A9"/>
    <w:rsid w:val="00F57395"/>
    <w:rsid w:val="00F6067A"/>
    <w:rsid w:val="00F773FC"/>
    <w:rsid w:val="00F8244D"/>
    <w:rsid w:val="00F858E7"/>
    <w:rsid w:val="00FA0D15"/>
    <w:rsid w:val="00FA769C"/>
    <w:rsid w:val="00FB5CB9"/>
    <w:rsid w:val="00FB70D1"/>
    <w:rsid w:val="00FC4088"/>
    <w:rsid w:val="00FC4E7D"/>
    <w:rsid w:val="00FC7A98"/>
    <w:rsid w:val="00FD18A2"/>
    <w:rsid w:val="00FE22F9"/>
    <w:rsid w:val="00FE5A25"/>
    <w:rsid w:val="00FF3E29"/>
    <w:rsid w:val="00FF48E0"/>
    <w:rsid w:val="00FF6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4931E"/>
  <w15:docId w15:val="{C53008C7-75F1-441F-B6AB-64F1BDD61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ru"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2BEB"/>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styleId="a6">
    <w:name w:val="List Paragraph"/>
    <w:basedOn w:val="a"/>
    <w:uiPriority w:val="34"/>
    <w:qFormat/>
    <w:rsid w:val="004A58E9"/>
    <w:pPr>
      <w:ind w:left="720"/>
      <w:contextualSpacing/>
    </w:pPr>
  </w:style>
  <w:style w:type="character" w:styleId="a7">
    <w:name w:val="annotation reference"/>
    <w:basedOn w:val="a0"/>
    <w:uiPriority w:val="99"/>
    <w:semiHidden/>
    <w:unhideWhenUsed/>
    <w:rsid w:val="00CE7619"/>
    <w:rPr>
      <w:sz w:val="16"/>
      <w:szCs w:val="16"/>
    </w:rPr>
  </w:style>
  <w:style w:type="paragraph" w:styleId="a8">
    <w:name w:val="annotation text"/>
    <w:basedOn w:val="a"/>
    <w:link w:val="a9"/>
    <w:uiPriority w:val="99"/>
    <w:semiHidden/>
    <w:unhideWhenUsed/>
    <w:rsid w:val="00CE7619"/>
    <w:pPr>
      <w:spacing w:line="240" w:lineRule="auto"/>
    </w:pPr>
    <w:rPr>
      <w:sz w:val="20"/>
      <w:szCs w:val="20"/>
    </w:rPr>
  </w:style>
  <w:style w:type="character" w:customStyle="1" w:styleId="a9">
    <w:name w:val="Текст примітки Знак"/>
    <w:basedOn w:val="a0"/>
    <w:link w:val="a8"/>
    <w:uiPriority w:val="99"/>
    <w:semiHidden/>
    <w:rsid w:val="00CE7619"/>
    <w:rPr>
      <w:sz w:val="20"/>
      <w:szCs w:val="20"/>
    </w:rPr>
  </w:style>
  <w:style w:type="paragraph" w:styleId="aa">
    <w:name w:val="annotation subject"/>
    <w:basedOn w:val="a8"/>
    <w:next w:val="a8"/>
    <w:link w:val="ab"/>
    <w:uiPriority w:val="99"/>
    <w:semiHidden/>
    <w:unhideWhenUsed/>
    <w:rsid w:val="00CE7619"/>
    <w:rPr>
      <w:b/>
      <w:bCs/>
    </w:rPr>
  </w:style>
  <w:style w:type="character" w:customStyle="1" w:styleId="ab">
    <w:name w:val="Тема примітки Знак"/>
    <w:basedOn w:val="a9"/>
    <w:link w:val="aa"/>
    <w:uiPriority w:val="99"/>
    <w:semiHidden/>
    <w:rsid w:val="00CE7619"/>
    <w:rPr>
      <w:b/>
      <w:bCs/>
      <w:sz w:val="20"/>
      <w:szCs w:val="20"/>
    </w:rPr>
  </w:style>
  <w:style w:type="paragraph" w:styleId="ac">
    <w:name w:val="Revision"/>
    <w:hidden/>
    <w:uiPriority w:val="99"/>
    <w:semiHidden/>
    <w:rsid w:val="00CE7619"/>
    <w:pPr>
      <w:spacing w:line="240" w:lineRule="auto"/>
    </w:pPr>
  </w:style>
  <w:style w:type="paragraph" w:styleId="ad">
    <w:name w:val="Balloon Text"/>
    <w:basedOn w:val="a"/>
    <w:link w:val="ae"/>
    <w:uiPriority w:val="99"/>
    <w:semiHidden/>
    <w:unhideWhenUsed/>
    <w:rsid w:val="00CE7619"/>
    <w:pPr>
      <w:spacing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CE7619"/>
    <w:rPr>
      <w:rFonts w:ascii="Segoe UI" w:hAnsi="Segoe UI" w:cs="Segoe UI"/>
      <w:sz w:val="18"/>
      <w:szCs w:val="18"/>
    </w:rPr>
  </w:style>
  <w:style w:type="paragraph" w:styleId="af">
    <w:name w:val="Normal (Web)"/>
    <w:basedOn w:val="a"/>
    <w:uiPriority w:val="99"/>
    <w:rsid w:val="00536617"/>
    <w:pPr>
      <w:overflowPunct w:val="0"/>
      <w:autoSpaceDE w:val="0"/>
      <w:autoSpaceDN w:val="0"/>
      <w:adjustRightInd w:val="0"/>
      <w:spacing w:before="100" w:beforeAutospacing="1" w:after="100" w:afterAutospacing="1" w:line="240" w:lineRule="auto"/>
      <w:textAlignment w:val="baseline"/>
    </w:pPr>
    <w:rPr>
      <w:rFonts w:ascii="Times New Roman" w:eastAsia="Times New Roman" w:hAnsi="Times New Roman" w:cs="Times New Roman"/>
      <w:sz w:val="24"/>
      <w:szCs w:val="24"/>
      <w:lang w:val="ru-RU" w:eastAsia="ru-RU"/>
    </w:rPr>
  </w:style>
  <w:style w:type="paragraph" w:styleId="af0">
    <w:name w:val="No Spacing"/>
    <w:uiPriority w:val="1"/>
    <w:qFormat/>
    <w:rsid w:val="00093028"/>
    <w:pPr>
      <w:spacing w:line="240" w:lineRule="auto"/>
    </w:pPr>
    <w:rPr>
      <w:rFonts w:ascii="Calibri" w:eastAsia="Calibri" w:hAnsi="Calibri" w:cs="Times New Roman"/>
      <w:lang w:val="uk-UA"/>
    </w:rPr>
  </w:style>
  <w:style w:type="paragraph" w:styleId="af1">
    <w:name w:val="header"/>
    <w:basedOn w:val="a"/>
    <w:link w:val="af2"/>
    <w:uiPriority w:val="99"/>
    <w:unhideWhenUsed/>
    <w:rsid w:val="004E62B2"/>
    <w:pPr>
      <w:tabs>
        <w:tab w:val="center" w:pos="4677"/>
        <w:tab w:val="right" w:pos="9355"/>
      </w:tabs>
      <w:spacing w:line="240" w:lineRule="auto"/>
    </w:pPr>
  </w:style>
  <w:style w:type="character" w:customStyle="1" w:styleId="af2">
    <w:name w:val="Верхній колонтитул Знак"/>
    <w:basedOn w:val="a0"/>
    <w:link w:val="af1"/>
    <w:uiPriority w:val="99"/>
    <w:rsid w:val="004E62B2"/>
  </w:style>
  <w:style w:type="paragraph" w:styleId="af3">
    <w:name w:val="footer"/>
    <w:basedOn w:val="a"/>
    <w:link w:val="af4"/>
    <w:uiPriority w:val="99"/>
    <w:unhideWhenUsed/>
    <w:rsid w:val="004E62B2"/>
    <w:pPr>
      <w:tabs>
        <w:tab w:val="center" w:pos="4677"/>
        <w:tab w:val="right" w:pos="9355"/>
      </w:tabs>
      <w:spacing w:line="240" w:lineRule="auto"/>
    </w:pPr>
  </w:style>
  <w:style w:type="character" w:customStyle="1" w:styleId="af4">
    <w:name w:val="Нижній колонтитул Знак"/>
    <w:basedOn w:val="a0"/>
    <w:link w:val="af3"/>
    <w:uiPriority w:val="99"/>
    <w:rsid w:val="004E62B2"/>
  </w:style>
  <w:style w:type="character" w:customStyle="1" w:styleId="fontstyle01">
    <w:name w:val="fontstyle01"/>
    <w:basedOn w:val="a0"/>
    <w:rsid w:val="00735C27"/>
    <w:rPr>
      <w:rFonts w:ascii="TimesNewRomanPSMT" w:hAnsi="TimesNewRomanPSMT" w:hint="default"/>
      <w:b w:val="0"/>
      <w:bCs w:val="0"/>
      <w:i w:val="0"/>
      <w:iCs w:val="0"/>
      <w:color w:val="000000"/>
      <w:sz w:val="28"/>
      <w:szCs w:val="28"/>
    </w:rPr>
  </w:style>
  <w:style w:type="paragraph" w:customStyle="1" w:styleId="rvps2">
    <w:name w:val="rvps2"/>
    <w:basedOn w:val="a"/>
    <w:rsid w:val="00CC6BE5"/>
    <w:pPr>
      <w:spacing w:after="150" w:line="240" w:lineRule="auto"/>
      <w:ind w:firstLine="450"/>
      <w:jc w:val="both"/>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0210476">
      <w:bodyDiv w:val="1"/>
      <w:marLeft w:val="0"/>
      <w:marRight w:val="0"/>
      <w:marTop w:val="0"/>
      <w:marBottom w:val="0"/>
      <w:divBdr>
        <w:top w:val="none" w:sz="0" w:space="0" w:color="auto"/>
        <w:left w:val="none" w:sz="0" w:space="0" w:color="auto"/>
        <w:bottom w:val="none" w:sz="0" w:space="0" w:color="auto"/>
        <w:right w:val="none" w:sz="0" w:space="0" w:color="auto"/>
      </w:divBdr>
    </w:div>
    <w:div w:id="548612636">
      <w:bodyDiv w:val="1"/>
      <w:marLeft w:val="0"/>
      <w:marRight w:val="0"/>
      <w:marTop w:val="0"/>
      <w:marBottom w:val="0"/>
      <w:divBdr>
        <w:top w:val="none" w:sz="0" w:space="0" w:color="auto"/>
        <w:left w:val="none" w:sz="0" w:space="0" w:color="auto"/>
        <w:bottom w:val="none" w:sz="0" w:space="0" w:color="auto"/>
        <w:right w:val="none" w:sz="0" w:space="0" w:color="auto"/>
      </w:divBdr>
    </w:div>
    <w:div w:id="721486181">
      <w:bodyDiv w:val="1"/>
      <w:marLeft w:val="0"/>
      <w:marRight w:val="0"/>
      <w:marTop w:val="0"/>
      <w:marBottom w:val="0"/>
      <w:divBdr>
        <w:top w:val="none" w:sz="0" w:space="0" w:color="auto"/>
        <w:left w:val="none" w:sz="0" w:space="0" w:color="auto"/>
        <w:bottom w:val="none" w:sz="0" w:space="0" w:color="auto"/>
        <w:right w:val="none" w:sz="0" w:space="0" w:color="auto"/>
      </w:divBdr>
    </w:div>
    <w:div w:id="793446813">
      <w:bodyDiv w:val="1"/>
      <w:marLeft w:val="0"/>
      <w:marRight w:val="0"/>
      <w:marTop w:val="0"/>
      <w:marBottom w:val="0"/>
      <w:divBdr>
        <w:top w:val="none" w:sz="0" w:space="0" w:color="auto"/>
        <w:left w:val="none" w:sz="0" w:space="0" w:color="auto"/>
        <w:bottom w:val="none" w:sz="0" w:space="0" w:color="auto"/>
        <w:right w:val="none" w:sz="0" w:space="0" w:color="auto"/>
      </w:divBdr>
    </w:div>
    <w:div w:id="1051732113">
      <w:bodyDiv w:val="1"/>
      <w:marLeft w:val="0"/>
      <w:marRight w:val="0"/>
      <w:marTop w:val="0"/>
      <w:marBottom w:val="0"/>
      <w:divBdr>
        <w:top w:val="none" w:sz="0" w:space="0" w:color="auto"/>
        <w:left w:val="none" w:sz="0" w:space="0" w:color="auto"/>
        <w:bottom w:val="none" w:sz="0" w:space="0" w:color="auto"/>
        <w:right w:val="none" w:sz="0" w:space="0" w:color="auto"/>
      </w:divBdr>
    </w:div>
    <w:div w:id="1414357482">
      <w:bodyDiv w:val="1"/>
      <w:marLeft w:val="0"/>
      <w:marRight w:val="0"/>
      <w:marTop w:val="0"/>
      <w:marBottom w:val="0"/>
      <w:divBdr>
        <w:top w:val="none" w:sz="0" w:space="0" w:color="auto"/>
        <w:left w:val="none" w:sz="0" w:space="0" w:color="auto"/>
        <w:bottom w:val="none" w:sz="0" w:space="0" w:color="auto"/>
        <w:right w:val="none" w:sz="0" w:space="0" w:color="auto"/>
      </w:divBdr>
    </w:div>
    <w:div w:id="1466004319">
      <w:bodyDiv w:val="1"/>
      <w:marLeft w:val="0"/>
      <w:marRight w:val="0"/>
      <w:marTop w:val="0"/>
      <w:marBottom w:val="0"/>
      <w:divBdr>
        <w:top w:val="none" w:sz="0" w:space="0" w:color="auto"/>
        <w:left w:val="none" w:sz="0" w:space="0" w:color="auto"/>
        <w:bottom w:val="none" w:sz="0" w:space="0" w:color="auto"/>
        <w:right w:val="none" w:sz="0" w:space="0" w:color="auto"/>
      </w:divBdr>
    </w:div>
    <w:div w:id="1543903846">
      <w:bodyDiv w:val="1"/>
      <w:marLeft w:val="0"/>
      <w:marRight w:val="0"/>
      <w:marTop w:val="0"/>
      <w:marBottom w:val="0"/>
      <w:divBdr>
        <w:top w:val="none" w:sz="0" w:space="0" w:color="auto"/>
        <w:left w:val="none" w:sz="0" w:space="0" w:color="auto"/>
        <w:bottom w:val="none" w:sz="0" w:space="0" w:color="auto"/>
        <w:right w:val="none" w:sz="0" w:space="0" w:color="auto"/>
      </w:divBdr>
    </w:div>
    <w:div w:id="1807770246">
      <w:bodyDiv w:val="1"/>
      <w:marLeft w:val="0"/>
      <w:marRight w:val="0"/>
      <w:marTop w:val="0"/>
      <w:marBottom w:val="0"/>
      <w:divBdr>
        <w:top w:val="none" w:sz="0" w:space="0" w:color="auto"/>
        <w:left w:val="none" w:sz="0" w:space="0" w:color="auto"/>
        <w:bottom w:val="none" w:sz="0" w:space="0" w:color="auto"/>
        <w:right w:val="none" w:sz="0" w:space="0" w:color="auto"/>
      </w:divBdr>
    </w:div>
    <w:div w:id="19306543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4289C3-633D-4BD4-8580-98A05B635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10417</Words>
  <Characters>5938</Characters>
  <Application>Microsoft Office Word</Application>
  <DocSecurity>0</DocSecurity>
  <Lines>49</Lines>
  <Paragraphs>32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16323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Kravchuk_SV</dc:creator>
  <cp:lastModifiedBy>Михайло Кравченко</cp:lastModifiedBy>
  <cp:revision>6</cp:revision>
  <cp:lastPrinted>2024-05-29T09:03:00Z</cp:lastPrinted>
  <dcterms:created xsi:type="dcterms:W3CDTF">2024-11-18T14:40:00Z</dcterms:created>
  <dcterms:modified xsi:type="dcterms:W3CDTF">2024-11-18T15:05:00Z</dcterms:modified>
</cp:coreProperties>
</file>