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F4F97A" w14:textId="77777777" w:rsidR="00744F05" w:rsidRPr="008D657B" w:rsidRDefault="00427516" w:rsidP="0084629C">
      <w:pPr>
        <w:spacing w:after="0" w:line="240" w:lineRule="auto"/>
        <w:ind w:right="-708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8D657B">
        <w:rPr>
          <w:rFonts w:ascii="Times New Roman" w:hAnsi="Times New Roman" w:cs="Times New Roman"/>
          <w:b/>
          <w:sz w:val="28"/>
          <w:lang w:val="uk-UA"/>
        </w:rPr>
        <w:t xml:space="preserve">УЗАГАЛЬНЕНІ ЗАУВАЖЕННЯ </w:t>
      </w:r>
    </w:p>
    <w:p w14:paraId="4A139A9B" w14:textId="3FD7C7CE" w:rsidR="00121CB5" w:rsidRPr="008D657B" w:rsidRDefault="00427516" w:rsidP="0084629C">
      <w:pPr>
        <w:spacing w:after="0" w:line="240" w:lineRule="auto"/>
        <w:ind w:right="-708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8D657B">
        <w:rPr>
          <w:rFonts w:ascii="Times New Roman" w:hAnsi="Times New Roman" w:cs="Times New Roman"/>
          <w:b/>
          <w:sz w:val="28"/>
          <w:lang w:val="uk-UA"/>
        </w:rPr>
        <w:t>та пропозиції до проєкту рішення НКРЕКП, що має ознаки регуляторного акта, - постанови НКРЕКП «</w:t>
      </w:r>
      <w:r w:rsidR="00401BD2" w:rsidRPr="008D657B">
        <w:rPr>
          <w:rFonts w:ascii="Times New Roman" w:hAnsi="Times New Roman"/>
          <w:b/>
          <w:sz w:val="28"/>
          <w:szCs w:val="28"/>
          <w:lang w:val="uk-UA"/>
        </w:rPr>
        <w:t>Про затвердження Змін до Методики визначення та розрахунку тарифу на послуги розподілу природного газу</w:t>
      </w:r>
      <w:r w:rsidRPr="008D657B">
        <w:rPr>
          <w:rFonts w:ascii="Times New Roman" w:hAnsi="Times New Roman" w:cs="Times New Roman"/>
          <w:b/>
          <w:sz w:val="28"/>
          <w:lang w:val="uk-UA"/>
        </w:rPr>
        <w:t xml:space="preserve">» (далі </w:t>
      </w:r>
      <w:r w:rsidR="00AE26F0" w:rsidRPr="008D657B">
        <w:rPr>
          <w:rFonts w:ascii="Times New Roman" w:hAnsi="Times New Roman" w:cs="Times New Roman"/>
          <w:b/>
          <w:sz w:val="28"/>
          <w:lang w:val="uk-UA"/>
        </w:rPr>
        <w:t xml:space="preserve">– </w:t>
      </w:r>
      <w:r w:rsidRPr="008D657B">
        <w:rPr>
          <w:rFonts w:ascii="Times New Roman" w:hAnsi="Times New Roman" w:cs="Times New Roman"/>
          <w:b/>
          <w:sz w:val="28"/>
          <w:lang w:val="uk-UA"/>
        </w:rPr>
        <w:t xml:space="preserve">Проєкт </w:t>
      </w:r>
      <w:r w:rsidR="00E87391" w:rsidRPr="008D657B">
        <w:rPr>
          <w:rFonts w:ascii="Times New Roman" w:hAnsi="Times New Roman" w:cs="Times New Roman"/>
          <w:b/>
          <w:sz w:val="28"/>
          <w:lang w:val="uk-UA"/>
        </w:rPr>
        <w:t>п</w:t>
      </w:r>
      <w:r w:rsidRPr="008D657B">
        <w:rPr>
          <w:rFonts w:ascii="Times New Roman" w:hAnsi="Times New Roman" w:cs="Times New Roman"/>
          <w:b/>
          <w:sz w:val="28"/>
          <w:lang w:val="uk-UA"/>
        </w:rPr>
        <w:t>останови)</w:t>
      </w:r>
    </w:p>
    <w:p w14:paraId="6D1F0B9D" w14:textId="77777777" w:rsidR="00121CB5" w:rsidRPr="008D657B" w:rsidRDefault="00121CB5" w:rsidP="00C646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</w:p>
    <w:tbl>
      <w:tblPr>
        <w:tblStyle w:val="a3"/>
        <w:tblW w:w="15418" w:type="dxa"/>
        <w:tblLook w:val="04A0" w:firstRow="1" w:lastRow="0" w:firstColumn="1" w:lastColumn="0" w:noHBand="0" w:noVBand="1"/>
      </w:tblPr>
      <w:tblGrid>
        <w:gridCol w:w="7184"/>
        <w:gridCol w:w="3443"/>
        <w:gridCol w:w="4784"/>
        <w:gridCol w:w="7"/>
      </w:tblGrid>
      <w:tr w:rsidR="00121CB5" w:rsidRPr="002E3AE6" w14:paraId="6C05718C" w14:textId="77777777" w:rsidTr="00DF28BF">
        <w:trPr>
          <w:gridAfter w:val="1"/>
          <w:wAfter w:w="7" w:type="dxa"/>
        </w:trPr>
        <w:tc>
          <w:tcPr>
            <w:tcW w:w="7184" w:type="dxa"/>
          </w:tcPr>
          <w:p w14:paraId="5B0D8809" w14:textId="77777777" w:rsidR="00121CB5" w:rsidRPr="008D657B" w:rsidRDefault="00121CB5" w:rsidP="00C646A2">
            <w:pPr>
              <w:spacing w:after="0" w:line="240" w:lineRule="auto"/>
              <w:ind w:firstLine="242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8D657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Редакція проєкту рішення НКРЕКП</w:t>
            </w:r>
          </w:p>
        </w:tc>
        <w:tc>
          <w:tcPr>
            <w:tcW w:w="3443" w:type="dxa"/>
          </w:tcPr>
          <w:p w14:paraId="3128A0CE" w14:textId="77777777" w:rsidR="00121CB5" w:rsidRPr="008D657B" w:rsidRDefault="00121CB5" w:rsidP="00C646A2">
            <w:pPr>
              <w:spacing w:after="0" w:line="240" w:lineRule="auto"/>
              <w:ind w:firstLine="242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8D657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Зауваження та пропозиції до проєкту рішення НКРЕКП</w:t>
            </w:r>
          </w:p>
        </w:tc>
        <w:tc>
          <w:tcPr>
            <w:tcW w:w="4784" w:type="dxa"/>
          </w:tcPr>
          <w:p w14:paraId="7EADC903" w14:textId="77777777" w:rsidR="00121CB5" w:rsidRPr="008D657B" w:rsidRDefault="00121CB5" w:rsidP="00C646A2">
            <w:pPr>
              <w:spacing w:after="0" w:line="240" w:lineRule="auto"/>
              <w:ind w:firstLine="242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8D657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Попередня позиція НКРЕКП щодо наданих зауважень та пропозицій з </w:t>
            </w:r>
            <w:r w:rsidR="000F0622" w:rsidRPr="008D657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обґрунтуваннями</w:t>
            </w:r>
            <w:r w:rsidRPr="008D657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щодо прийняття або відхилення</w:t>
            </w:r>
          </w:p>
        </w:tc>
      </w:tr>
      <w:tr w:rsidR="00975B97" w:rsidRPr="008D657B" w14:paraId="2226048C" w14:textId="77777777" w:rsidTr="00DF28BF">
        <w:tc>
          <w:tcPr>
            <w:tcW w:w="15418" w:type="dxa"/>
            <w:gridSpan w:val="4"/>
          </w:tcPr>
          <w:p w14:paraId="27E1F2A2" w14:textId="58403367" w:rsidR="00975B97" w:rsidRPr="008D657B" w:rsidRDefault="00F413A3" w:rsidP="00C646A2">
            <w:pPr>
              <w:spacing w:after="0" w:line="240" w:lineRule="auto"/>
              <w:ind w:firstLine="2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D657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IІІ. Перелік витрат, що враховуються при визначенні планованої тарифної виручки</w:t>
            </w:r>
          </w:p>
        </w:tc>
      </w:tr>
      <w:tr w:rsidR="00121CB5" w:rsidRPr="008D657B" w14:paraId="4E6AE1F2" w14:textId="77777777" w:rsidTr="00DF28BF">
        <w:trPr>
          <w:gridAfter w:val="1"/>
          <w:wAfter w:w="7" w:type="dxa"/>
        </w:trPr>
        <w:tc>
          <w:tcPr>
            <w:tcW w:w="7184" w:type="dxa"/>
          </w:tcPr>
          <w:p w14:paraId="3263D8FF" w14:textId="77777777" w:rsidR="00193C44" w:rsidRPr="008D657B" w:rsidRDefault="00193C44" w:rsidP="00193C44">
            <w:pPr>
              <w:spacing w:after="0" w:line="240" w:lineRule="auto"/>
              <w:ind w:firstLine="242"/>
              <w:jc w:val="both"/>
              <w:rPr>
                <w:rFonts w:ascii="Times New Roman" w:hAnsi="Times New Roman"/>
                <w:lang w:val="uk-UA"/>
              </w:rPr>
            </w:pPr>
            <w:r w:rsidRPr="008D657B">
              <w:rPr>
                <w:rFonts w:ascii="Times New Roman" w:hAnsi="Times New Roman"/>
                <w:lang w:val="uk-UA"/>
              </w:rPr>
              <w:t>…</w:t>
            </w:r>
          </w:p>
          <w:p w14:paraId="4F557E22" w14:textId="32CDE8E1" w:rsidR="00121CB5" w:rsidRPr="008D657B" w:rsidRDefault="00193C44" w:rsidP="00193C44">
            <w:pPr>
              <w:spacing w:after="0" w:line="240" w:lineRule="auto"/>
              <w:ind w:firstLine="242"/>
              <w:jc w:val="both"/>
              <w:rPr>
                <w:rFonts w:ascii="Times New Roman" w:hAnsi="Times New Roman"/>
                <w:lang w:val="uk-UA"/>
              </w:rPr>
            </w:pPr>
            <w:r w:rsidRPr="008D657B">
              <w:rPr>
                <w:rFonts w:ascii="Times New Roman" w:hAnsi="Times New Roman"/>
                <w:lang w:val="uk-UA"/>
              </w:rPr>
              <w:t xml:space="preserve">6. </w:t>
            </w:r>
            <w:r w:rsidRPr="008D657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Нарахування планованої амортизації здійснюється згідно з Податковим кодексом України.</w:t>
            </w:r>
          </w:p>
        </w:tc>
        <w:tc>
          <w:tcPr>
            <w:tcW w:w="3443" w:type="dxa"/>
          </w:tcPr>
          <w:p w14:paraId="61A6F58B" w14:textId="77777777" w:rsidR="00807023" w:rsidRPr="008D657B" w:rsidRDefault="00807023" w:rsidP="006944A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32CF2EC6" w14:textId="6292E57D" w:rsidR="00193C44" w:rsidRPr="008D657B" w:rsidRDefault="00886A57" w:rsidP="006944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D657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 надходило</w:t>
            </w:r>
          </w:p>
        </w:tc>
        <w:tc>
          <w:tcPr>
            <w:tcW w:w="4784" w:type="dxa"/>
          </w:tcPr>
          <w:p w14:paraId="432DC853" w14:textId="60076D08" w:rsidR="00DB34A8" w:rsidRPr="008D657B" w:rsidRDefault="00DB34A8" w:rsidP="00DB34A8">
            <w:pPr>
              <w:spacing w:after="0" w:line="240" w:lineRule="auto"/>
              <w:ind w:firstLine="286"/>
              <w:jc w:val="both"/>
              <w:rPr>
                <w:rFonts w:ascii="Times New Roman" w:hAnsi="Times New Roman" w:cs="Times New Roman"/>
                <w:highlight w:val="yellow"/>
                <w:lang w:val="uk-UA"/>
              </w:rPr>
            </w:pPr>
          </w:p>
        </w:tc>
      </w:tr>
      <w:tr w:rsidR="00193C44" w:rsidRPr="008D657B" w14:paraId="4AC449E8" w14:textId="77777777" w:rsidTr="00DF28BF">
        <w:tc>
          <w:tcPr>
            <w:tcW w:w="15418" w:type="dxa"/>
            <w:gridSpan w:val="4"/>
          </w:tcPr>
          <w:p w14:paraId="53E67285" w14:textId="35DD1964" w:rsidR="00193C44" w:rsidRPr="008D657B" w:rsidRDefault="00193C44" w:rsidP="00193C44">
            <w:pPr>
              <w:spacing w:after="0" w:line="240" w:lineRule="auto"/>
              <w:ind w:firstLine="2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D657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VII. Стимулювання суб’єкта господарювання з розподілу природного газу до підвищення ефективності операційної діяльності</w:t>
            </w:r>
          </w:p>
        </w:tc>
      </w:tr>
      <w:tr w:rsidR="00193C44" w:rsidRPr="008D657B" w14:paraId="4077F0C5" w14:textId="77777777" w:rsidTr="00DF28BF">
        <w:trPr>
          <w:gridAfter w:val="1"/>
          <w:wAfter w:w="7" w:type="dxa"/>
        </w:trPr>
        <w:tc>
          <w:tcPr>
            <w:tcW w:w="7184" w:type="dxa"/>
          </w:tcPr>
          <w:p w14:paraId="2724C2A6" w14:textId="27EE9E04" w:rsidR="00193C44" w:rsidRPr="008D657B" w:rsidRDefault="00FD1FD5" w:rsidP="00123EB2">
            <w:pPr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D657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1. За підсумками року у разі зменшення Оператором ГРМ витрат на фінансування фонду оплати праці з метою оптимізації штату працівників, безпосередньо задіяних при здійсненні діяльності з розподілу природного газу, (за умови дотримання норм технічної безпеки надання послуг розподілу природного газу) ліцензіат має право використовувати тарифну виручку, отриману за рахунок такої економії коштів, для фінансування заходів з підвищення рівня середньомісячної заробітної плати працівників, безпосередньо задіяних при здійсненні діяльності з розподілу природного газу, у  наступному році.</w:t>
            </w:r>
          </w:p>
        </w:tc>
        <w:tc>
          <w:tcPr>
            <w:tcW w:w="3443" w:type="dxa"/>
          </w:tcPr>
          <w:p w14:paraId="5013CA79" w14:textId="77777777" w:rsidR="00B50332" w:rsidRPr="008D657B" w:rsidRDefault="00B50332" w:rsidP="00B5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D6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Олег БАКУЛІН</w:t>
            </w:r>
          </w:p>
          <w:p w14:paraId="224B56FB" w14:textId="4F7E5B23" w:rsidR="00B50332" w:rsidRPr="008D657B" w:rsidRDefault="00B50332" w:rsidP="00B5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D6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Пропозиція:</w:t>
            </w:r>
          </w:p>
          <w:p w14:paraId="3D7B321F" w14:textId="7B0A07DB" w:rsidR="00B50332" w:rsidRPr="008D657B" w:rsidRDefault="00B50332" w:rsidP="00B5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D657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1. За підсумками року у разі зменшення Оператором ГРМ витрат на фінансування фонду оплати праці з метою оптимізації штату працівників, безпосередньо задіяних при здійсненні діяльності з розподілу природного газу, (за умови дотримання норм технічної безпеки надання послуг розподілу природного газу </w:t>
            </w:r>
            <w:r w:rsidRPr="008D657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/>
              </w:rPr>
              <w:t>та/або відсутності заборгованості перед оператором газотранспортної системи та/або споживачами)</w:t>
            </w:r>
            <w:r w:rsidRPr="008D657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ліцензіат має право використовувати тарифну виручку, отриману за рахунок такої економії коштів, для фінансування заходів з підвищення рівня </w:t>
            </w:r>
            <w:r w:rsidRPr="008D657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середньомісячної заробітної плати працівників, безпосередньо задіяних при здійсненні діяльності з розподілу природного газу, у наступному році.</w:t>
            </w:r>
          </w:p>
          <w:p w14:paraId="0D74C3F4" w14:textId="77777777" w:rsidR="00B50332" w:rsidRPr="008D657B" w:rsidRDefault="00B50332" w:rsidP="00B5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2B6D29FF" w14:textId="102030DD" w:rsidR="00B50332" w:rsidRPr="008D657B" w:rsidRDefault="00B50332" w:rsidP="00B5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D6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Обґрунтування:</w:t>
            </w:r>
          </w:p>
          <w:p w14:paraId="3DFF4FEC" w14:textId="77777777" w:rsidR="00520A00" w:rsidRPr="008D657B" w:rsidRDefault="00520A00" w:rsidP="00B5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3E7A9A82" w14:textId="77777777" w:rsidR="00520A00" w:rsidRPr="008D657B" w:rsidRDefault="00520A00" w:rsidP="008D6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D657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Вважаю, що таке положення з</w:t>
            </w:r>
          </w:p>
          <w:p w14:paraId="00864340" w14:textId="77777777" w:rsidR="00520A00" w:rsidRPr="008D657B" w:rsidRDefault="00520A00" w:rsidP="008D6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D657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стимулюють операторів</w:t>
            </w:r>
          </w:p>
          <w:p w14:paraId="2F6102BB" w14:textId="7C041901" w:rsidR="00520A00" w:rsidRPr="008D657B" w:rsidRDefault="00520A00" w:rsidP="008D6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D657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газорозподільних систем до завчасних розрахунків з оператором газотранспортної системи та споживачами природного газу.</w:t>
            </w:r>
          </w:p>
          <w:p w14:paraId="444042AF" w14:textId="704B0F35" w:rsidR="003B0163" w:rsidRPr="008D657B" w:rsidRDefault="003B0163" w:rsidP="00520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545944A0" w14:textId="48EC1E5F" w:rsidR="003B0163" w:rsidRPr="008D657B" w:rsidRDefault="003B0163" w:rsidP="003B01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D657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ТОВ «НОВІ ЕНЕРГЕТИЧНІ ПРОЕКТИ»</w:t>
            </w:r>
          </w:p>
          <w:p w14:paraId="255609EA" w14:textId="77777777" w:rsidR="003B0163" w:rsidRPr="008D657B" w:rsidRDefault="003B0163" w:rsidP="003B01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7FAA9346" w14:textId="70C722F5" w:rsidR="003B0163" w:rsidRPr="008D657B" w:rsidRDefault="003B0163" w:rsidP="003B01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8D657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Пропозиція:</w:t>
            </w:r>
          </w:p>
          <w:p w14:paraId="49242E35" w14:textId="351D6D56" w:rsidR="003B0163" w:rsidRPr="008D657B" w:rsidRDefault="003B0163" w:rsidP="003B0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D657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1. За підсумками року у разі зменшення Оператором ГРМ витрат на фінансування фонду оплати праці з метою оптимізації штату працівників, безпосередньо задіяних при здійсненні діяльності з розподілу природного газу, (за умови дотримання норм технічної безпеки надання послуг розподілу природного газу </w:t>
            </w:r>
            <w:r w:rsidRPr="008D657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/>
              </w:rPr>
              <w:t>та/або відсутності заборгованості перед оператором газотранспортної системи та/або споживачами)</w:t>
            </w:r>
            <w:r w:rsidRPr="008D657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ліцензіат має право </w:t>
            </w:r>
            <w:r w:rsidRPr="008D657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використовувати тарифну виручку, отриману за рахунок такої економії коштів, для фінансування заходів з підвищення рівня середньомісячної заробітної плати працівників, безпосередньо задіяних при здійсненні діяльності з розподілу природного газу, у наступному році.</w:t>
            </w:r>
          </w:p>
          <w:p w14:paraId="44F8575B" w14:textId="77777777" w:rsidR="003B0163" w:rsidRPr="008D657B" w:rsidRDefault="003B0163" w:rsidP="003B0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4A3A59BE" w14:textId="77777777" w:rsidR="003B0163" w:rsidRPr="008D657B" w:rsidRDefault="003B0163" w:rsidP="003B0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D6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Обґрунтування:</w:t>
            </w:r>
          </w:p>
          <w:p w14:paraId="3B919E59" w14:textId="77777777" w:rsidR="003B0163" w:rsidRPr="008D657B" w:rsidRDefault="003B0163" w:rsidP="003B0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5C748B61" w14:textId="77777777" w:rsidR="003B0163" w:rsidRPr="008D657B" w:rsidRDefault="003B0163" w:rsidP="003B0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D657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Вважаю, що таке положення з</w:t>
            </w:r>
          </w:p>
          <w:p w14:paraId="7E13FA47" w14:textId="77777777" w:rsidR="003B0163" w:rsidRPr="008D657B" w:rsidRDefault="003B0163" w:rsidP="003B0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D657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стимулюють операторів</w:t>
            </w:r>
          </w:p>
          <w:p w14:paraId="5F75612A" w14:textId="77777777" w:rsidR="003B0163" w:rsidRPr="008D657B" w:rsidRDefault="003B0163" w:rsidP="003B0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D657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газорозподільних систем до завчасних розрахунків з оператором газотранспортної системи та споживачами природного газу.</w:t>
            </w:r>
          </w:p>
          <w:p w14:paraId="444E81B5" w14:textId="77777777" w:rsidR="003B0163" w:rsidRPr="008D657B" w:rsidRDefault="003B0163" w:rsidP="003B0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2294FFC0" w14:textId="77777777" w:rsidR="003B0163" w:rsidRPr="008D657B" w:rsidRDefault="003B0163" w:rsidP="003B01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  <w:p w14:paraId="0A936A14" w14:textId="77777777" w:rsidR="003B0163" w:rsidRPr="008D657B" w:rsidRDefault="003B0163" w:rsidP="00520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484C1619" w14:textId="77777777" w:rsidR="00193C44" w:rsidRPr="008D657B" w:rsidRDefault="00193C44" w:rsidP="00694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84" w:type="dxa"/>
          </w:tcPr>
          <w:p w14:paraId="7A708450" w14:textId="35DF30F1" w:rsidR="00193C44" w:rsidRDefault="00957628" w:rsidP="00DB34A8">
            <w:pPr>
              <w:spacing w:after="0" w:line="240" w:lineRule="auto"/>
              <w:ind w:firstLine="28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D657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Попередньо відхиляється</w:t>
            </w:r>
          </w:p>
          <w:p w14:paraId="61A01E51" w14:textId="0D42FEA8" w:rsidR="00376E15" w:rsidRDefault="00376E15" w:rsidP="00DB34A8">
            <w:pPr>
              <w:spacing w:after="0" w:line="240" w:lineRule="auto"/>
              <w:ind w:firstLine="28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376E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регулювання заборгованості (грошових зобов’язань) Операторів ГРМ, що виникла до 01 березня 2022 року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E6D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передбачено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положеннями </w:t>
            </w:r>
            <w:r w:rsidRPr="00376E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Закон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376E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України «Про заходи, спрямовані на подолання кризових явищ та забезпечення фінансової стабільності на ринку природного газу»</w:t>
            </w:r>
            <w:r w:rsidR="00CB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282F6A4E" w14:textId="5E301A71" w:rsidR="006D774A" w:rsidRDefault="00B15354" w:rsidP="006D774A">
            <w:pPr>
              <w:spacing w:after="0" w:line="240" w:lineRule="auto"/>
              <w:ind w:firstLine="28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53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="00CB798B" w:rsidRPr="00CB798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CB798B" w:rsidRPr="00CB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березня 202</w:t>
            </w:r>
            <w:r w:rsidR="00CB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CB798B" w:rsidRPr="00CB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</w:t>
            </w:r>
            <w:r w:rsidR="00CB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B798B" w:rsidRPr="00CB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Положенн</w:t>
            </w:r>
            <w:r w:rsidR="006D77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ям</w:t>
            </w:r>
            <w:r w:rsidR="00CB798B" w:rsidRPr="00CB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 покладення спеціальних обов’язків на суб’єктів ринку природного газу для забезпечення загальносуспільних інтересів у процесі функціонування ринку природного газу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6D774A" w:rsidRPr="006D77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затвердженим постановою Кабінету Міністрів України від </w:t>
            </w:r>
            <w:r w:rsidR="006D77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06.03.</w:t>
            </w:r>
            <w:r w:rsidR="006D774A" w:rsidRPr="006D77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 № 222</w:t>
            </w:r>
            <w:r w:rsidR="006D77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6D774A" w:rsidRPr="006D77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визначено, що  протягом дії воєнного стану, а також протягом шести місяців після його припинення або скасування ТОВ </w:t>
            </w:r>
            <w:r w:rsidR="006D77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 w:rsidR="006D774A" w:rsidRPr="006D77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Газопостачальна компанія </w:t>
            </w:r>
            <w:r w:rsidR="006D77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 w:rsidR="006D774A" w:rsidRPr="006D77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Нафтогаз України</w:t>
            </w:r>
            <w:r w:rsidR="006D77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  <w:r w:rsidR="006D774A" w:rsidRPr="006D77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реалізує природний газ операторам газорозподільних систем у розмірі нормативних, </w:t>
            </w:r>
            <w:proofErr w:type="spellStart"/>
            <w:r w:rsidR="006D774A" w:rsidRPr="006D77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понаднормованих</w:t>
            </w:r>
            <w:proofErr w:type="spellEnd"/>
            <w:r w:rsidR="006D774A" w:rsidRPr="006D77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втрат та виробничо-технологічних витрат, </w:t>
            </w:r>
            <w:r w:rsidR="006D774A" w:rsidRPr="006D77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втрат, зумовлених воєнними діями та понесених у зв’язку із запобіганням/врегулюванням гуманітарних кризових ситуацій, на підставі договору купівлі-продажу природного газу за відповідними цінами та умовами, зокрема за умови відсутності простроченої заборгованості у оператора газорозподільної системи перед ТОВ </w:t>
            </w:r>
            <w:r w:rsidR="006D77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 w:rsidR="006D774A" w:rsidRPr="006D77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Газопостачальна компанія </w:t>
            </w:r>
            <w:r w:rsidR="006D77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 w:rsidR="006D774A" w:rsidRPr="006D77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Нафтогаз України</w:t>
            </w:r>
            <w:r w:rsidR="006D77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  <w:r w:rsidR="006D774A" w:rsidRPr="006D77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та/або іншими підприємствами Групи  крім заборгованості, яка відповідно до законодавства підлягає врегулюванню, та заборгованості, що визначена (підтверджена) згідно з методикою визначення вартості втрат (витоку) природного газу у разі пошкодження газопроводів та газорозподільних станцій, завданих Україні внаслідок збройної агресії </w:t>
            </w:r>
            <w:r w:rsidR="005D7E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6D774A" w:rsidRPr="006D77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осійської </w:t>
            </w:r>
            <w:r w:rsidR="005D7E7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</w:t>
            </w:r>
            <w:r w:rsidR="006D774A" w:rsidRPr="006D77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едерації, розробленої Міненерго.</w:t>
            </w:r>
          </w:p>
          <w:p w14:paraId="29F894F9" w14:textId="1370F3FC" w:rsidR="00107EC7" w:rsidRPr="00E07E70" w:rsidRDefault="006D774A" w:rsidP="005D7E77">
            <w:pPr>
              <w:spacing w:after="0" w:line="240" w:lineRule="auto"/>
              <w:ind w:firstLine="28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Так, у рамках виконання </w:t>
            </w:r>
            <w:r w:rsidR="00B15354" w:rsidRPr="00B153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спеціальн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их</w:t>
            </w:r>
            <w:r w:rsidR="00B15354" w:rsidRPr="00B153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обов’язк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</w:t>
            </w:r>
            <w:r w:rsidR="00B15354" w:rsidRPr="00B153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ТОВ «Газопостачальна компанія «Нафтогаз України»  здійснює з 01 березня 202</w:t>
            </w:r>
            <w:r w:rsidR="00B153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B15354" w:rsidRPr="00B153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 продаж природного газу </w:t>
            </w:r>
            <w:r w:rsidR="006E62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="00B15354" w:rsidRPr="00B153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ператорам </w:t>
            </w:r>
            <w:r w:rsidR="006E62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ГРМ</w:t>
            </w:r>
            <w:r w:rsidR="00B15354" w:rsidRPr="00B153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розмірі нормативних втрат та виробничо-технологічних витрат природного газу за</w:t>
            </w:r>
            <w:r w:rsidR="00B153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2E3A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ціною, врахованою при визначенні та розрахунку тарифів на послуги розподілу природного газу</w:t>
            </w:r>
            <w:r w:rsidR="006E62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що </w:t>
            </w:r>
            <w:r w:rsidR="00B15354" w:rsidRPr="008D65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дає змогу</w:t>
            </w:r>
            <w:r w:rsidR="003C53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Операторам ГРМ</w:t>
            </w:r>
            <w:r w:rsidR="00B15354" w:rsidRPr="008D65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не накопичувати борги перед Оператором газотранспортної системи.</w:t>
            </w:r>
          </w:p>
        </w:tc>
      </w:tr>
      <w:tr w:rsidR="005D7E77" w:rsidRPr="008D657B" w14:paraId="0501AE43" w14:textId="77777777" w:rsidTr="00DF28BF">
        <w:trPr>
          <w:gridAfter w:val="1"/>
          <w:wAfter w:w="7" w:type="dxa"/>
        </w:trPr>
        <w:tc>
          <w:tcPr>
            <w:tcW w:w="7184" w:type="dxa"/>
          </w:tcPr>
          <w:p w14:paraId="77B92023" w14:textId="77777777" w:rsidR="005D7E77" w:rsidRPr="008D657B" w:rsidRDefault="005D7E77" w:rsidP="005D7E77">
            <w:pPr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D657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2. За підсумками року, у разі зменшення Оператором ГРМ витрат, пов'язаних з використанням природного газу на ВТВ та власні потреби, за рахунок зменшення обсягів ВТВ, ліцензіат має право використовувати тарифну виручку, отриману за рахунок такої економії коштів, для фінансування:</w:t>
            </w:r>
          </w:p>
          <w:p w14:paraId="1412C598" w14:textId="77777777" w:rsidR="005D7E77" w:rsidRPr="008D657B" w:rsidRDefault="005D7E77" w:rsidP="005D7E77">
            <w:pPr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D657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заходів з підвищення рівня середньомісячної заробітної плати працівників, безпосередньо задіяних при здійсненні діяльності з розподілу природного газу, у наступному році в обсягах не більше 50 % від економії коштів;</w:t>
            </w:r>
          </w:p>
          <w:p w14:paraId="25522AF9" w14:textId="2F331AD5" w:rsidR="005D7E77" w:rsidRPr="008D657B" w:rsidRDefault="005D7E77" w:rsidP="005D7E77">
            <w:pPr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D657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заходів передбачених розділами І-VІ та IX інвестиційної програми в році виникнення економії коштів або в наступному році.</w:t>
            </w:r>
          </w:p>
        </w:tc>
        <w:tc>
          <w:tcPr>
            <w:tcW w:w="3443" w:type="dxa"/>
          </w:tcPr>
          <w:p w14:paraId="4665C826" w14:textId="77777777" w:rsidR="005D7E77" w:rsidRPr="008D657B" w:rsidRDefault="005D7E77" w:rsidP="005D7E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8D657B">
              <w:rPr>
                <w:rFonts w:ascii="Times New Roman" w:hAnsi="Times New Roman" w:cs="Times New Roman"/>
                <w:b/>
                <w:lang w:val="uk-UA"/>
              </w:rPr>
              <w:t>Олег БАКУЛІН</w:t>
            </w:r>
          </w:p>
          <w:p w14:paraId="3277077B" w14:textId="77777777" w:rsidR="005D7E77" w:rsidRPr="008D657B" w:rsidRDefault="005D7E77" w:rsidP="005D7E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8D657B">
              <w:rPr>
                <w:rFonts w:ascii="Times New Roman" w:hAnsi="Times New Roman" w:cs="Times New Roman"/>
                <w:b/>
                <w:lang w:val="uk-UA"/>
              </w:rPr>
              <w:t>Пропозиція:</w:t>
            </w:r>
          </w:p>
          <w:p w14:paraId="668AB922" w14:textId="77777777" w:rsidR="005D7E77" w:rsidRPr="008D657B" w:rsidRDefault="005D7E77" w:rsidP="005D7E7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8D657B">
              <w:rPr>
                <w:rFonts w:ascii="Times New Roman" w:hAnsi="Times New Roman" w:cs="Times New Roman"/>
                <w:lang w:val="uk-UA"/>
              </w:rPr>
              <w:t xml:space="preserve">2. За підсумками року, у </w:t>
            </w:r>
          </w:p>
          <w:p w14:paraId="7D4ECA17" w14:textId="0358E65B" w:rsidR="005D7E77" w:rsidRPr="008D657B" w:rsidRDefault="005D7E77" w:rsidP="005D7E7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8D657B">
              <w:rPr>
                <w:rFonts w:ascii="Times New Roman" w:hAnsi="Times New Roman" w:cs="Times New Roman"/>
                <w:lang w:val="uk-UA"/>
              </w:rPr>
              <w:t>разі зменшення Оператором ГРМ витрат, пов'язаних з використанням природного газу на ВТВ та власні потреби, за рахунок зменшення обсягів ВТВ,  (</w:t>
            </w:r>
            <w:r w:rsidRPr="008D657B">
              <w:rPr>
                <w:rFonts w:ascii="Times New Roman" w:hAnsi="Times New Roman" w:cs="Times New Roman"/>
                <w:u w:val="single"/>
                <w:lang w:val="uk-UA"/>
              </w:rPr>
              <w:t>за умови відсутності заборгованості перед оператором газотранспортної системи та/або споживачами</w:t>
            </w:r>
            <w:r w:rsidRPr="008D657B">
              <w:rPr>
                <w:rFonts w:ascii="Times New Roman" w:hAnsi="Times New Roman" w:cs="Times New Roman"/>
                <w:lang w:val="uk-UA"/>
              </w:rPr>
              <w:t xml:space="preserve">)  ліцензіат має право використовувати тарифну виручку, отриману за рахунок </w:t>
            </w:r>
            <w:r w:rsidRPr="008D657B">
              <w:rPr>
                <w:rFonts w:ascii="Times New Roman" w:hAnsi="Times New Roman" w:cs="Times New Roman"/>
                <w:lang w:val="uk-UA"/>
              </w:rPr>
              <w:lastRenderedPageBreak/>
              <w:t>такої економії коштів, для фінансування:</w:t>
            </w:r>
          </w:p>
          <w:p w14:paraId="52ABC772" w14:textId="77777777" w:rsidR="005D7E77" w:rsidRPr="008D657B" w:rsidRDefault="005D7E77" w:rsidP="005D7E7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8D657B">
              <w:rPr>
                <w:rFonts w:ascii="Times New Roman" w:hAnsi="Times New Roman" w:cs="Times New Roman"/>
                <w:lang w:val="uk-UA"/>
              </w:rPr>
              <w:t>заходів з підвищення рівня середньомісячної заробітної плати працівників, безпосередньо задіяних при здійсненні діяльності з розподілу природного газу, у наступному році в обсягах не більше 50 % від економії коштів;</w:t>
            </w:r>
          </w:p>
          <w:p w14:paraId="694B5286" w14:textId="40845A66" w:rsidR="005D7E77" w:rsidRPr="008D657B" w:rsidRDefault="005D7E77" w:rsidP="005D7E7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8D657B">
              <w:rPr>
                <w:rFonts w:ascii="Times New Roman" w:hAnsi="Times New Roman" w:cs="Times New Roman"/>
                <w:lang w:val="uk-UA"/>
              </w:rPr>
              <w:t>заходів передбачених розділами І-VІ та IX інвестиційної програми в році виникнення економії коштів або в наступному році.</w:t>
            </w:r>
          </w:p>
          <w:p w14:paraId="308CD8DE" w14:textId="26688003" w:rsidR="005D7E77" w:rsidRPr="008D657B" w:rsidRDefault="005D7E77" w:rsidP="005D7E7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32CBE6D2" w14:textId="77777777" w:rsidR="005D7E77" w:rsidRPr="008D657B" w:rsidRDefault="005D7E77" w:rsidP="005D7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D6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Обґрунтування:</w:t>
            </w:r>
          </w:p>
          <w:p w14:paraId="5362D736" w14:textId="77777777" w:rsidR="005D7E77" w:rsidRPr="008D657B" w:rsidRDefault="005D7E77" w:rsidP="005D7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11E7130E" w14:textId="77777777" w:rsidR="005D7E77" w:rsidRPr="008D657B" w:rsidRDefault="005D7E77" w:rsidP="005D7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D657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Вважаю, що таке положення з</w:t>
            </w:r>
          </w:p>
          <w:p w14:paraId="68D2AACB" w14:textId="77777777" w:rsidR="005D7E77" w:rsidRPr="008D657B" w:rsidRDefault="005D7E77" w:rsidP="005D7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D657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стимулюють операторів</w:t>
            </w:r>
          </w:p>
          <w:p w14:paraId="74EF1C1D" w14:textId="77777777" w:rsidR="005D7E77" w:rsidRPr="008D657B" w:rsidRDefault="005D7E77" w:rsidP="005D7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D657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газорозподільних систем до завчасних розрахунків з оператором газотранспортної системи та споживачами природного газу.</w:t>
            </w:r>
          </w:p>
          <w:p w14:paraId="1203B1E2" w14:textId="10CF8806" w:rsidR="005D7E77" w:rsidRPr="008D657B" w:rsidRDefault="005D7E77" w:rsidP="005D7E7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56825790" w14:textId="77777777" w:rsidR="005D7E77" w:rsidRPr="008D657B" w:rsidRDefault="005D7E77" w:rsidP="005D7E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D657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ТОВ «НОВІ ЕНЕРГЕТИЧНІ ПРОЕКТИ»</w:t>
            </w:r>
          </w:p>
          <w:p w14:paraId="61661E48" w14:textId="77777777" w:rsidR="005D7E77" w:rsidRPr="008D657B" w:rsidRDefault="005D7E77" w:rsidP="005D7E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25A48A5F" w14:textId="77777777" w:rsidR="005D7E77" w:rsidRPr="008D657B" w:rsidRDefault="005D7E77" w:rsidP="005D7E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8D657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Пропозиція:</w:t>
            </w:r>
          </w:p>
          <w:p w14:paraId="005B287C" w14:textId="77777777" w:rsidR="005D7E77" w:rsidRPr="008D657B" w:rsidRDefault="005D7E77" w:rsidP="005D7E7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8D657B">
              <w:rPr>
                <w:rFonts w:ascii="Times New Roman" w:hAnsi="Times New Roman" w:cs="Times New Roman"/>
                <w:lang w:val="uk-UA"/>
              </w:rPr>
              <w:t xml:space="preserve">2. За підсумками року, у </w:t>
            </w:r>
          </w:p>
          <w:p w14:paraId="442CDCD0" w14:textId="77777777" w:rsidR="005D7E77" w:rsidRPr="008D657B" w:rsidRDefault="005D7E77" w:rsidP="005D7E7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8D657B">
              <w:rPr>
                <w:rFonts w:ascii="Times New Roman" w:hAnsi="Times New Roman" w:cs="Times New Roman"/>
                <w:lang w:val="uk-UA"/>
              </w:rPr>
              <w:t>разі зменшення Оператором ГРМ витрат, пов'язаних з використанням природного газу на ВТВ та власні потреби, за рахунок зменшення обсягів ВТВ,  (</w:t>
            </w:r>
            <w:r w:rsidRPr="008D657B">
              <w:rPr>
                <w:rFonts w:ascii="Times New Roman" w:hAnsi="Times New Roman" w:cs="Times New Roman"/>
                <w:u w:val="single"/>
                <w:lang w:val="uk-UA"/>
              </w:rPr>
              <w:t>за умови відсутності заборгованості перед оператором газотранспортної системи та/або споживачами</w:t>
            </w:r>
            <w:r w:rsidRPr="008D657B">
              <w:rPr>
                <w:rFonts w:ascii="Times New Roman" w:hAnsi="Times New Roman" w:cs="Times New Roman"/>
                <w:lang w:val="uk-UA"/>
              </w:rPr>
              <w:t xml:space="preserve">)  ліцензіат має право використовувати тарифну </w:t>
            </w:r>
            <w:r w:rsidRPr="008D657B">
              <w:rPr>
                <w:rFonts w:ascii="Times New Roman" w:hAnsi="Times New Roman" w:cs="Times New Roman"/>
                <w:lang w:val="uk-UA"/>
              </w:rPr>
              <w:lastRenderedPageBreak/>
              <w:t>виручку, отриману за рахунок такої економії коштів, для фінансування:</w:t>
            </w:r>
          </w:p>
          <w:p w14:paraId="081FE126" w14:textId="77777777" w:rsidR="005D7E77" w:rsidRPr="008D657B" w:rsidRDefault="005D7E77" w:rsidP="005D7E7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8D657B">
              <w:rPr>
                <w:rFonts w:ascii="Times New Roman" w:hAnsi="Times New Roman" w:cs="Times New Roman"/>
                <w:lang w:val="uk-UA"/>
              </w:rPr>
              <w:t>заходів з підвищення рівня середньомісячної заробітної плати працівників, безпосередньо задіяних при здійсненні діяльності з розподілу природного газу, у наступному році в обсягах не більше 50 % від економії коштів;</w:t>
            </w:r>
          </w:p>
          <w:p w14:paraId="4A0D188A" w14:textId="46DA3A9E" w:rsidR="005D7E77" w:rsidRPr="008D657B" w:rsidRDefault="005D7E77" w:rsidP="005D7E7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8D657B">
              <w:rPr>
                <w:rFonts w:ascii="Times New Roman" w:hAnsi="Times New Roman" w:cs="Times New Roman"/>
                <w:lang w:val="uk-UA"/>
              </w:rPr>
              <w:t>заходів передбачених розділами І-VІ та IX інвестиційної програми в році виникнення економії коштів або в наступному році.</w:t>
            </w:r>
          </w:p>
          <w:p w14:paraId="3D07A8F9" w14:textId="77777777" w:rsidR="005D7E77" w:rsidRPr="008D657B" w:rsidRDefault="005D7E77" w:rsidP="005D7E7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45265D24" w14:textId="77777777" w:rsidR="005D7E77" w:rsidRPr="008D657B" w:rsidRDefault="005D7E77" w:rsidP="005D7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D6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Обґрунтування:</w:t>
            </w:r>
          </w:p>
          <w:p w14:paraId="6BD01075" w14:textId="77777777" w:rsidR="005D7E77" w:rsidRPr="008D657B" w:rsidRDefault="005D7E77" w:rsidP="005D7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2814454D" w14:textId="77777777" w:rsidR="005D7E77" w:rsidRPr="008D657B" w:rsidRDefault="005D7E77" w:rsidP="005D7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D657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Вважаю, що таке положення з</w:t>
            </w:r>
          </w:p>
          <w:p w14:paraId="2CB36AEC" w14:textId="77777777" w:rsidR="005D7E77" w:rsidRPr="008D657B" w:rsidRDefault="005D7E77" w:rsidP="005D7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D657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стимулюють операторів</w:t>
            </w:r>
          </w:p>
          <w:p w14:paraId="7A19B24D" w14:textId="77777777" w:rsidR="005D7E77" w:rsidRPr="008D657B" w:rsidRDefault="005D7E77" w:rsidP="005D7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D657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газорозподільних систем до завчасних розрахунків з оператором газотранспортної системи та споживачами природного газу.</w:t>
            </w:r>
          </w:p>
          <w:p w14:paraId="04A2040F" w14:textId="77777777" w:rsidR="005D7E77" w:rsidRPr="008D657B" w:rsidRDefault="005D7E77" w:rsidP="005D7E7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5C476028" w14:textId="7C83D9E6" w:rsidR="005D7E77" w:rsidRPr="008D657B" w:rsidRDefault="005D7E77" w:rsidP="005D7E7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784" w:type="dxa"/>
          </w:tcPr>
          <w:p w14:paraId="26AFCA1B" w14:textId="77777777" w:rsidR="005D7E77" w:rsidRDefault="005D7E77" w:rsidP="005D7E77">
            <w:pPr>
              <w:spacing w:after="0" w:line="240" w:lineRule="auto"/>
              <w:ind w:firstLine="28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D657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Попередньо відхиляється</w:t>
            </w:r>
          </w:p>
          <w:p w14:paraId="40E94194" w14:textId="42B69B81" w:rsidR="005D7E77" w:rsidRDefault="005D7E77" w:rsidP="005D7E77">
            <w:pPr>
              <w:spacing w:after="0" w:line="240" w:lineRule="auto"/>
              <w:ind w:firstLine="28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376E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регулювання заборгованості (грошових зобов’язань) Операторів ГРМ, що виникла до 01 березня 2022 року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5B7B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передбачено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положеннями </w:t>
            </w:r>
            <w:r w:rsidRPr="00376E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Закон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376E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України «Про заходи, спрямовані на подолання кризових явищ та забезпечення фінансової стабільності на ринку природного газу»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4F85A774" w14:textId="72788352" w:rsidR="005D7E77" w:rsidRDefault="005D7E77" w:rsidP="005D7E77">
            <w:pPr>
              <w:spacing w:after="0" w:line="240" w:lineRule="auto"/>
              <w:ind w:firstLine="28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53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CB798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CB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березня 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CB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B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Положенн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ям</w:t>
            </w:r>
            <w:r w:rsidRPr="00CB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 покладення спеціальних обов’язків на суб’єктів ринку природного газу для забезпечення загальносуспільних інтересів у </w:t>
            </w:r>
            <w:r w:rsidRPr="00CB79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процесі функціонування ринку природного газу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6D77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затвердженим постановою Кабінету Міністрів України від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06.03.</w:t>
            </w:r>
            <w:r w:rsidRPr="006D77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 № 222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6D77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визначено, що  протягом дії воєнного стану, а також протягом шести місяців після його припинення або скасування ТОВ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 w:rsidRPr="006D77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Газопостачальна компанія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 w:rsidRPr="006D77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Нафтогаз України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  <w:r w:rsidRPr="006D77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реалізує природний газ операторам газорозподільних систем у розмірі нормативних, </w:t>
            </w:r>
            <w:proofErr w:type="spellStart"/>
            <w:r w:rsidRPr="006D77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понаднормованих</w:t>
            </w:r>
            <w:proofErr w:type="spellEnd"/>
            <w:r w:rsidRPr="006D77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втрат та виробничо-технологічних витрат, втрат, зумовлених воєнними діями та понесених у зв’язку із запобіганням/врегулюванням гуманітарних кризових ситуацій, на підставі договору купівлі-продажу природного газу за відповідними цінами та умовами, зокрема за умови відсутності простроченої заборгованості у оператора газорозподільної системи перед ТОВ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 w:rsidRPr="006D77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Газопостачальна компанія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 w:rsidRPr="006D77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Нафтогаз України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  <w:r w:rsidRPr="006D77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та/або іншими підприємствами Групи  крім заборгованості, яка відповідно до законодавства підлягає врегулюванню, та заборгованості, що визначена (підтверджена) згідно з методикою визначення вартості втрат (витоку) природного газу у разі пошкодження газопроводів та газорозподільних станцій, завданих Україні внаслідок збройної агресії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Pr="006D77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осійської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</w:t>
            </w:r>
            <w:r w:rsidRPr="006D77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едерації, розробленої Міненерго.</w:t>
            </w:r>
          </w:p>
          <w:p w14:paraId="3940C63C" w14:textId="595BEA79" w:rsidR="005D7E77" w:rsidRPr="008D657B" w:rsidRDefault="009D1A86" w:rsidP="005D7E77">
            <w:pPr>
              <w:spacing w:after="0" w:line="240" w:lineRule="auto"/>
              <w:ind w:firstLine="286"/>
              <w:jc w:val="both"/>
              <w:rPr>
                <w:rFonts w:ascii="Times New Roman" w:hAnsi="Times New Roman" w:cs="Times New Roman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Так, у рамках виконання </w:t>
            </w:r>
            <w:r w:rsidRPr="00B153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спеціальн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их</w:t>
            </w:r>
            <w:r w:rsidRPr="00B153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обов’язк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</w:t>
            </w:r>
            <w:r w:rsidRPr="00B153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ТОВ «Газопостачальна компанія «Нафтогаз України»  здійснює з 01 березня 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153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року продаж природного газу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B153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ператорам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ГРМ</w:t>
            </w:r>
            <w:r w:rsidRPr="00B153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розмірі нормативних втрат та виробничо-технологічних витрат </w:t>
            </w:r>
            <w:r w:rsidRPr="00B153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природного газу за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ціною, врахованою при визначенні та розрахунку тарифів на послуги розподілу природного газу, що </w:t>
            </w:r>
            <w:r w:rsidRPr="008D65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дає змогу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Операторам ГРМ</w:t>
            </w:r>
            <w:r w:rsidRPr="008D65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не накопичувати борги перед Оператором газотранспортної системи.</w:t>
            </w:r>
            <w:bookmarkStart w:id="0" w:name="_GoBack"/>
            <w:bookmarkEnd w:id="0"/>
          </w:p>
        </w:tc>
      </w:tr>
      <w:tr w:rsidR="00C86907" w:rsidRPr="008D657B" w14:paraId="432C1322" w14:textId="77777777" w:rsidTr="00DF28BF">
        <w:trPr>
          <w:gridAfter w:val="1"/>
          <w:wAfter w:w="7" w:type="dxa"/>
        </w:trPr>
        <w:tc>
          <w:tcPr>
            <w:tcW w:w="7184" w:type="dxa"/>
          </w:tcPr>
          <w:p w14:paraId="313F05FE" w14:textId="77777777" w:rsidR="00C86907" w:rsidRPr="008D657B" w:rsidRDefault="00C86907" w:rsidP="00C86907">
            <w:pPr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D657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3. У випадку використання економії коштів для фінансування заходів з підвищення рівня середньомісячної заробітної плати працівників, безпосередньо задіяних при здійсненні діяльності з розподілу природного газу, Оператор ГРМ зобов’язаний до 25 лютого року, наступного за роком, у якому сформувалась економія коштів, надати до НКРЕКП інформацію щодо обсягу та напрямку використання такої економії.</w:t>
            </w:r>
          </w:p>
          <w:p w14:paraId="3AA4FE42" w14:textId="59D5B844" w:rsidR="00C86907" w:rsidRPr="008D657B" w:rsidRDefault="00C86907" w:rsidP="00C86907">
            <w:pPr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D657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Оператор ГРМ не має права зменшувати витрати, пов’язані з фінансуванням витрат на оплату праці, за рахунок зменшення рівня середньомісячної заробітної плати працівників, який застосовувався для обґрунтування розміру цього елемента витрат, що прийнятий до </w:t>
            </w:r>
            <w:r w:rsidRPr="008D657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розрахунку встановленого НКРЕКП тарифу на послуги розподілу природного газу.</w:t>
            </w:r>
          </w:p>
        </w:tc>
        <w:tc>
          <w:tcPr>
            <w:tcW w:w="3443" w:type="dxa"/>
          </w:tcPr>
          <w:p w14:paraId="4E0831A0" w14:textId="77777777" w:rsidR="00C86907" w:rsidRPr="008D657B" w:rsidRDefault="00C86907" w:rsidP="00C8690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66BB0A8F" w14:textId="2B649B1F" w:rsidR="00C86907" w:rsidRPr="008D657B" w:rsidRDefault="00C86907" w:rsidP="00C8690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8D657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 надходило</w:t>
            </w:r>
          </w:p>
        </w:tc>
        <w:tc>
          <w:tcPr>
            <w:tcW w:w="4784" w:type="dxa"/>
          </w:tcPr>
          <w:p w14:paraId="3090EEF6" w14:textId="77777777" w:rsidR="00C86907" w:rsidRPr="008D657B" w:rsidRDefault="00C86907" w:rsidP="00C86907">
            <w:pPr>
              <w:spacing w:after="0" w:line="240" w:lineRule="auto"/>
              <w:ind w:firstLine="286"/>
              <w:jc w:val="both"/>
              <w:rPr>
                <w:rFonts w:ascii="Times New Roman" w:hAnsi="Times New Roman" w:cs="Times New Roman"/>
                <w:highlight w:val="yellow"/>
                <w:lang w:val="uk-UA"/>
              </w:rPr>
            </w:pPr>
          </w:p>
        </w:tc>
      </w:tr>
      <w:tr w:rsidR="00C86907" w:rsidRPr="008D657B" w14:paraId="0BEF068F" w14:textId="77777777" w:rsidTr="00DF28BF">
        <w:trPr>
          <w:gridAfter w:val="1"/>
          <w:wAfter w:w="7" w:type="dxa"/>
        </w:trPr>
        <w:tc>
          <w:tcPr>
            <w:tcW w:w="7184" w:type="dxa"/>
          </w:tcPr>
          <w:p w14:paraId="72A10516" w14:textId="5339F1F2" w:rsidR="00C86907" w:rsidRPr="008D657B" w:rsidRDefault="00C86907" w:rsidP="00C86907">
            <w:pPr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D657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4. З метою використання економії коштів для фінансування заходів інвестиційної програми, визначених у пункті 2 цього розділу, Оператор ГРМ зобов’язаний подати до НКРЕКП відповідні зміни до інвестиційної програми у порядку, визначеному Кодексом.</w:t>
            </w:r>
          </w:p>
        </w:tc>
        <w:tc>
          <w:tcPr>
            <w:tcW w:w="3443" w:type="dxa"/>
          </w:tcPr>
          <w:p w14:paraId="04820657" w14:textId="77777777" w:rsidR="00C86907" w:rsidRPr="008D657B" w:rsidRDefault="00C86907" w:rsidP="00C8690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264D0A51" w14:textId="0B39E89D" w:rsidR="00C86907" w:rsidRPr="008D657B" w:rsidRDefault="00C86907" w:rsidP="00C8690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8D657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 надходило</w:t>
            </w:r>
          </w:p>
        </w:tc>
        <w:tc>
          <w:tcPr>
            <w:tcW w:w="4784" w:type="dxa"/>
          </w:tcPr>
          <w:p w14:paraId="74917980" w14:textId="77777777" w:rsidR="00C86907" w:rsidRPr="008D657B" w:rsidRDefault="00C86907" w:rsidP="00C86907">
            <w:pPr>
              <w:spacing w:after="0" w:line="240" w:lineRule="auto"/>
              <w:ind w:firstLine="286"/>
              <w:jc w:val="both"/>
              <w:rPr>
                <w:rFonts w:ascii="Times New Roman" w:hAnsi="Times New Roman" w:cs="Times New Roman"/>
                <w:highlight w:val="yellow"/>
                <w:lang w:val="uk-UA"/>
              </w:rPr>
            </w:pPr>
          </w:p>
        </w:tc>
      </w:tr>
      <w:tr w:rsidR="00C86907" w:rsidRPr="008D657B" w14:paraId="22CD33C8" w14:textId="77777777" w:rsidTr="00DF28BF">
        <w:trPr>
          <w:gridAfter w:val="1"/>
          <w:wAfter w:w="7" w:type="dxa"/>
        </w:trPr>
        <w:tc>
          <w:tcPr>
            <w:tcW w:w="7184" w:type="dxa"/>
          </w:tcPr>
          <w:p w14:paraId="3F433635" w14:textId="05D2FC28" w:rsidR="00C86907" w:rsidRPr="008D657B" w:rsidRDefault="00C86907" w:rsidP="00C86907">
            <w:pPr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D657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5. Така економія коштів не підлягає вилученню при розгляді питання щодо коригування планованої річної тарифної виручки за умови дотримання Оператором ГРМ вимог пунктів 3 та 4 цього розділу.</w:t>
            </w:r>
          </w:p>
        </w:tc>
        <w:tc>
          <w:tcPr>
            <w:tcW w:w="3443" w:type="dxa"/>
          </w:tcPr>
          <w:p w14:paraId="7F73FAF7" w14:textId="77777777" w:rsidR="00C86907" w:rsidRPr="008D657B" w:rsidRDefault="00C86907" w:rsidP="00C8690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10836700" w14:textId="1F6FE452" w:rsidR="00C86907" w:rsidRPr="008D657B" w:rsidRDefault="00C86907" w:rsidP="00C8690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8D657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 надходило</w:t>
            </w:r>
          </w:p>
        </w:tc>
        <w:tc>
          <w:tcPr>
            <w:tcW w:w="4784" w:type="dxa"/>
          </w:tcPr>
          <w:p w14:paraId="1C131304" w14:textId="77777777" w:rsidR="00C86907" w:rsidRPr="008D657B" w:rsidRDefault="00C86907" w:rsidP="00C86907">
            <w:pPr>
              <w:spacing w:after="0" w:line="240" w:lineRule="auto"/>
              <w:ind w:firstLine="286"/>
              <w:jc w:val="both"/>
              <w:rPr>
                <w:rFonts w:ascii="Times New Roman" w:hAnsi="Times New Roman" w:cs="Times New Roman"/>
                <w:highlight w:val="yellow"/>
                <w:lang w:val="uk-UA"/>
              </w:rPr>
            </w:pPr>
          </w:p>
        </w:tc>
      </w:tr>
      <w:tr w:rsidR="00C86907" w:rsidRPr="008D657B" w14:paraId="464FF647" w14:textId="77777777" w:rsidTr="00DF28BF">
        <w:tc>
          <w:tcPr>
            <w:tcW w:w="15418" w:type="dxa"/>
            <w:gridSpan w:val="4"/>
          </w:tcPr>
          <w:p w14:paraId="1849124E" w14:textId="78E88134" w:rsidR="00C86907" w:rsidRPr="008D657B" w:rsidRDefault="00C86907" w:rsidP="00C86907">
            <w:pPr>
              <w:spacing w:after="0" w:line="240" w:lineRule="auto"/>
              <w:ind w:firstLine="286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8D657B">
              <w:rPr>
                <w:b/>
                <w:bCs/>
                <w:sz w:val="24"/>
                <w:szCs w:val="24"/>
                <w:lang w:val="uk-UA"/>
              </w:rPr>
              <w:t xml:space="preserve">                 VIII. Порядок визначення витрат на оплату праці, які враховуються в тарифах на послуги розподілу природного газу</w:t>
            </w:r>
          </w:p>
        </w:tc>
      </w:tr>
      <w:tr w:rsidR="00C86907" w:rsidRPr="008D657B" w14:paraId="09A2B458" w14:textId="77777777" w:rsidTr="00DF28BF">
        <w:trPr>
          <w:gridAfter w:val="1"/>
          <w:wAfter w:w="7" w:type="dxa"/>
        </w:trPr>
        <w:tc>
          <w:tcPr>
            <w:tcW w:w="7184" w:type="dxa"/>
          </w:tcPr>
          <w:p w14:paraId="4BA4BC44" w14:textId="77777777" w:rsidR="00C86907" w:rsidRPr="008D657B" w:rsidRDefault="00C86907" w:rsidP="00C86907">
            <w:pPr>
              <w:pStyle w:val="rvps2"/>
              <w:rPr>
                <w:bCs/>
                <w:lang w:val="uk-UA"/>
              </w:rPr>
            </w:pPr>
            <w:r w:rsidRPr="008D657B">
              <w:rPr>
                <w:bCs/>
                <w:lang w:val="uk-UA"/>
              </w:rPr>
              <w:t>3. Визначення річних витрат на оплату праці для відповідного ліцензіата здійснюється за формулою</w:t>
            </w:r>
          </w:p>
          <w:tbl>
            <w:tblPr>
              <w:tblW w:w="6968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93"/>
              <w:gridCol w:w="1765"/>
              <w:gridCol w:w="785"/>
              <w:gridCol w:w="2097"/>
              <w:gridCol w:w="1328"/>
            </w:tblGrid>
            <w:tr w:rsidR="00C86907" w:rsidRPr="008D657B" w14:paraId="7EAEF897" w14:textId="77777777" w:rsidTr="00276976">
              <w:tc>
                <w:tcPr>
                  <w:tcW w:w="5640" w:type="dxa"/>
                  <w:gridSpan w:val="4"/>
                  <w:hideMark/>
                </w:tcPr>
                <w:p w14:paraId="09D75C51" w14:textId="65AD880A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  <w:r w:rsidRPr="008D657B">
                    <w:rPr>
                      <w:bCs/>
                      <w:noProof/>
                      <w:lang w:val="uk-UA"/>
                    </w:rPr>
                    <w:drawing>
                      <wp:inline distT="0" distB="0" distL="0" distR="0" wp14:anchorId="15072115" wp14:editId="4D8CE072">
                        <wp:extent cx="3267075" cy="276225"/>
                        <wp:effectExtent l="0" t="0" r="9525" b="9525"/>
                        <wp:docPr id="1403129716" name="Рисунок 40">
                          <a:hlinkClick xmlns:a="http://schemas.openxmlformats.org/drawingml/2006/main" r:id="rId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7">
                                  <a:hlinkClick r:id="rId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670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28" w:type="dxa"/>
                  <w:hideMark/>
                </w:tcPr>
                <w:p w14:paraId="25FD3A36" w14:textId="77777777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  <w:r w:rsidRPr="008D657B">
                    <w:rPr>
                      <w:bCs/>
                      <w:lang w:val="uk-UA"/>
                    </w:rPr>
                    <w:t>(4)</w:t>
                  </w:r>
                </w:p>
              </w:tc>
            </w:tr>
            <w:tr w:rsidR="00C86907" w:rsidRPr="008D657B" w14:paraId="3BD27F17" w14:textId="77777777" w:rsidTr="00276976">
              <w:tc>
                <w:tcPr>
                  <w:tcW w:w="993" w:type="dxa"/>
                  <w:hideMark/>
                </w:tcPr>
                <w:p w14:paraId="1983A3EE" w14:textId="77777777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  <w:r w:rsidRPr="008D657B">
                    <w:rPr>
                      <w:bCs/>
                      <w:lang w:val="uk-UA"/>
                    </w:rPr>
                    <w:t>де</w:t>
                  </w:r>
                </w:p>
              </w:tc>
              <w:tc>
                <w:tcPr>
                  <w:tcW w:w="1765" w:type="dxa"/>
                  <w:hideMark/>
                </w:tcPr>
                <w:p w14:paraId="6A34AAAA" w14:textId="77777777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  <w:r w:rsidRPr="008D657B">
                    <w:rPr>
                      <w:bCs/>
                      <w:lang w:val="uk-UA"/>
                    </w:rPr>
                    <w:t>ВОП</w:t>
                  </w:r>
                </w:p>
              </w:tc>
              <w:tc>
                <w:tcPr>
                  <w:tcW w:w="785" w:type="dxa"/>
                  <w:hideMark/>
                </w:tcPr>
                <w:p w14:paraId="0184275C" w14:textId="77777777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  <w:r w:rsidRPr="008D657B">
                    <w:rPr>
                      <w:bCs/>
                      <w:lang w:val="uk-UA"/>
                    </w:rPr>
                    <w:t>-</w:t>
                  </w:r>
                </w:p>
              </w:tc>
              <w:tc>
                <w:tcPr>
                  <w:tcW w:w="3425" w:type="dxa"/>
                  <w:gridSpan w:val="2"/>
                  <w:hideMark/>
                </w:tcPr>
                <w:p w14:paraId="45E6A19B" w14:textId="77777777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  <w:r w:rsidRPr="008D657B">
                    <w:rPr>
                      <w:bCs/>
                      <w:lang w:val="uk-UA"/>
                    </w:rPr>
                    <w:t>річні витрати на оплату праці ліцензіата, що приймається до розрахунку тарифу;</w:t>
                  </w:r>
                </w:p>
              </w:tc>
            </w:tr>
            <w:tr w:rsidR="00C86907" w:rsidRPr="008D657B" w14:paraId="7D93F82F" w14:textId="77777777" w:rsidTr="00276976">
              <w:tc>
                <w:tcPr>
                  <w:tcW w:w="993" w:type="dxa"/>
                  <w:hideMark/>
                </w:tcPr>
                <w:p w14:paraId="15627B1C" w14:textId="77777777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1765" w:type="dxa"/>
                  <w:hideMark/>
                </w:tcPr>
                <w:p w14:paraId="7E19AE45" w14:textId="76C1FD31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  <w:r w:rsidRPr="008D657B">
                    <w:rPr>
                      <w:bCs/>
                      <w:noProof/>
                      <w:lang w:val="uk-UA"/>
                    </w:rPr>
                    <w:drawing>
                      <wp:inline distT="0" distB="0" distL="0" distR="0" wp14:anchorId="308B49A2" wp14:editId="6A94ABFB">
                        <wp:extent cx="495300" cy="266700"/>
                        <wp:effectExtent l="0" t="0" r="0" b="0"/>
                        <wp:docPr id="1980762944" name="Рисунок 39">
                          <a:hlinkClick xmlns:a="http://schemas.openxmlformats.org/drawingml/2006/main" r:id="rId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8">
                                  <a:hlinkClick r:id="rId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30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85" w:type="dxa"/>
                  <w:hideMark/>
                </w:tcPr>
                <w:p w14:paraId="3A3F89BF" w14:textId="77777777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  <w:r w:rsidRPr="008D657B">
                    <w:rPr>
                      <w:bCs/>
                      <w:lang w:val="uk-UA"/>
                    </w:rPr>
                    <w:t>-</w:t>
                  </w:r>
                </w:p>
              </w:tc>
              <w:tc>
                <w:tcPr>
                  <w:tcW w:w="3425" w:type="dxa"/>
                  <w:gridSpan w:val="2"/>
                  <w:hideMark/>
                </w:tcPr>
                <w:p w14:paraId="329447D1" w14:textId="77777777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  <w:r w:rsidRPr="008D657B">
                    <w:rPr>
                      <w:bCs/>
                      <w:lang w:val="uk-UA"/>
                    </w:rPr>
                    <w:t>тарифна середня заробітна плата в розрахунку на одного працівника ліцензіата, врахована на дату встановлення відповідного тарифу та обрахована, виходячи з витрат на оплату праці та тарифної чисельності працівників, зайнятих ліцензованою діяльністю, на дату їх встановлення (далі - тарифна середня заробітна плата);</w:t>
                  </w:r>
                </w:p>
              </w:tc>
            </w:tr>
            <w:tr w:rsidR="00C86907" w:rsidRPr="008D657B" w14:paraId="28AA9FE2" w14:textId="77777777" w:rsidTr="00276976">
              <w:tc>
                <w:tcPr>
                  <w:tcW w:w="993" w:type="dxa"/>
                  <w:hideMark/>
                </w:tcPr>
                <w:p w14:paraId="30A52C6B" w14:textId="77777777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1765" w:type="dxa"/>
                  <w:hideMark/>
                </w:tcPr>
                <w:p w14:paraId="4BA5DCC3" w14:textId="77777777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  <w:r w:rsidRPr="008D657B">
                    <w:rPr>
                      <w:bCs/>
                      <w:lang w:val="uk-UA"/>
                    </w:rPr>
                    <w:t>ТЧП</w:t>
                  </w:r>
                </w:p>
              </w:tc>
              <w:tc>
                <w:tcPr>
                  <w:tcW w:w="785" w:type="dxa"/>
                  <w:hideMark/>
                </w:tcPr>
                <w:p w14:paraId="35130127" w14:textId="77777777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  <w:r w:rsidRPr="008D657B">
                    <w:rPr>
                      <w:bCs/>
                      <w:lang w:val="uk-UA"/>
                    </w:rPr>
                    <w:t>-</w:t>
                  </w:r>
                </w:p>
              </w:tc>
              <w:tc>
                <w:tcPr>
                  <w:tcW w:w="3425" w:type="dxa"/>
                  <w:gridSpan w:val="2"/>
                  <w:hideMark/>
                </w:tcPr>
                <w:p w14:paraId="3520069E" w14:textId="77777777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  <w:r w:rsidRPr="008D657B">
                    <w:rPr>
                      <w:bCs/>
                      <w:lang w:val="uk-UA"/>
                    </w:rPr>
                    <w:t>тарифна чисельність працівників ліцензіата, врахована на дату встановлення відповідного тарифу (далі - тарифна чисельність працівників);</w:t>
                  </w:r>
                </w:p>
              </w:tc>
            </w:tr>
            <w:tr w:rsidR="00C86907" w:rsidRPr="008D657B" w14:paraId="731EEE02" w14:textId="77777777" w:rsidTr="00276976">
              <w:tc>
                <w:tcPr>
                  <w:tcW w:w="993" w:type="dxa"/>
                  <w:hideMark/>
                </w:tcPr>
                <w:p w14:paraId="34C47BB1" w14:textId="77777777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1765" w:type="dxa"/>
                  <w:hideMark/>
                </w:tcPr>
                <w:p w14:paraId="70C9FFED" w14:textId="77777777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  <w:r w:rsidRPr="008D657B">
                    <w:rPr>
                      <w:bCs/>
                      <w:lang w:val="uk-UA"/>
                    </w:rPr>
                    <w:t>К</w:t>
                  </w:r>
                </w:p>
              </w:tc>
              <w:tc>
                <w:tcPr>
                  <w:tcW w:w="785" w:type="dxa"/>
                  <w:hideMark/>
                </w:tcPr>
                <w:p w14:paraId="106C2402" w14:textId="77777777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  <w:r w:rsidRPr="008D657B">
                    <w:rPr>
                      <w:bCs/>
                      <w:lang w:val="uk-UA"/>
                    </w:rPr>
                    <w:t>-</w:t>
                  </w:r>
                </w:p>
              </w:tc>
              <w:tc>
                <w:tcPr>
                  <w:tcW w:w="3425" w:type="dxa"/>
                  <w:gridSpan w:val="2"/>
                  <w:hideMark/>
                </w:tcPr>
                <w:p w14:paraId="1FAE0C69" w14:textId="77777777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  <w:r w:rsidRPr="008D657B">
                    <w:rPr>
                      <w:bCs/>
                      <w:lang w:val="uk-UA"/>
                    </w:rPr>
                    <w:t>коефіцієнт зростання ВОП для ліцензіата (у відносних одиницях), що передбачає приведення середньої заробітної плати в розрахунку на одного штатного працівника ліцензіата до рівня середньої заробітної плати в розрахунку на одного штатного працівника, зайнятого у промисловості (у відносних одиницях), що визначається таким чином:</w:t>
                  </w:r>
                </w:p>
              </w:tc>
            </w:tr>
          </w:tbl>
          <w:p w14:paraId="049DC914" w14:textId="77777777" w:rsidR="00C86907" w:rsidRPr="008D657B" w:rsidRDefault="00C86907" w:rsidP="00C86907">
            <w:pPr>
              <w:pStyle w:val="rvps2"/>
              <w:ind w:firstLine="450"/>
              <w:rPr>
                <w:bCs/>
                <w:lang w:val="uk-UA"/>
              </w:rPr>
            </w:pP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208"/>
              <w:gridCol w:w="760"/>
            </w:tblGrid>
            <w:tr w:rsidR="00C86907" w:rsidRPr="008D657B" w14:paraId="7C6E14C3" w14:textId="77777777" w:rsidTr="00276976">
              <w:tc>
                <w:tcPr>
                  <w:tcW w:w="12255" w:type="dxa"/>
                  <w:hideMark/>
                </w:tcPr>
                <w:p w14:paraId="3437AB9B" w14:textId="5855A544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  <w:r w:rsidRPr="008D657B">
                    <w:rPr>
                      <w:bCs/>
                      <w:noProof/>
                      <w:lang w:val="uk-UA"/>
                    </w:rPr>
                    <w:drawing>
                      <wp:inline distT="0" distB="0" distL="0" distR="0" wp14:anchorId="6496BE1B" wp14:editId="060810AB">
                        <wp:extent cx="2695575" cy="428625"/>
                        <wp:effectExtent l="0" t="0" r="9525" b="9525"/>
                        <wp:docPr id="1940885308" name="Рисунок 38">
                          <a:hlinkClick xmlns:a="http://schemas.openxmlformats.org/drawingml/2006/main" r:id="rId10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9">
                                  <a:hlinkClick r:id="rId10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95575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00" w:type="dxa"/>
                  <w:hideMark/>
                </w:tcPr>
                <w:p w14:paraId="56BF1AA5" w14:textId="77777777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  <w:r w:rsidRPr="008D657B">
                    <w:rPr>
                      <w:bCs/>
                      <w:lang w:val="uk-UA"/>
                    </w:rPr>
                    <w:t>(5)</w:t>
                  </w:r>
                </w:p>
              </w:tc>
            </w:tr>
            <w:tr w:rsidR="00C86907" w:rsidRPr="008D657B" w14:paraId="705400CC" w14:textId="77777777" w:rsidTr="00276976">
              <w:tc>
                <w:tcPr>
                  <w:tcW w:w="12300" w:type="dxa"/>
                  <w:hideMark/>
                </w:tcPr>
                <w:p w14:paraId="261F8177" w14:textId="3513F3A4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  <w:r w:rsidRPr="008D657B">
                    <w:rPr>
                      <w:bCs/>
                      <w:noProof/>
                      <w:lang w:val="uk-UA"/>
                    </w:rPr>
                    <w:drawing>
                      <wp:inline distT="0" distB="0" distL="0" distR="0" wp14:anchorId="7E741116" wp14:editId="45C07633">
                        <wp:extent cx="3267075" cy="685800"/>
                        <wp:effectExtent l="0" t="0" r="9525" b="0"/>
                        <wp:docPr id="789405547" name="Рисунок 37">
                          <a:hlinkClick xmlns:a="http://schemas.openxmlformats.org/drawingml/2006/main" r:id="rId1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0">
                                  <a:hlinkClick r:id="rId12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67075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5" w:type="dxa"/>
                  <w:hideMark/>
                </w:tcPr>
                <w:p w14:paraId="21B67931" w14:textId="77777777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  <w:r w:rsidRPr="008D657B">
                    <w:rPr>
                      <w:bCs/>
                      <w:lang w:val="uk-UA"/>
                    </w:rPr>
                    <w:t>(6)</w:t>
                  </w:r>
                </w:p>
              </w:tc>
            </w:tr>
          </w:tbl>
          <w:p w14:paraId="61AF948F" w14:textId="77777777" w:rsidR="00C86907" w:rsidRPr="008D657B" w:rsidRDefault="00C86907" w:rsidP="00C86907">
            <w:pPr>
              <w:pStyle w:val="rvps2"/>
              <w:ind w:firstLine="450"/>
              <w:rPr>
                <w:bCs/>
                <w:lang w:val="uk-UA"/>
              </w:rPr>
            </w:pP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09"/>
              <w:gridCol w:w="1005"/>
              <w:gridCol w:w="317"/>
              <w:gridCol w:w="243"/>
              <w:gridCol w:w="317"/>
              <w:gridCol w:w="3491"/>
              <w:gridCol w:w="126"/>
              <w:gridCol w:w="760"/>
            </w:tblGrid>
            <w:tr w:rsidR="00C86907" w:rsidRPr="008D657B" w14:paraId="12116724" w14:textId="77777777" w:rsidTr="00276976">
              <w:tc>
                <w:tcPr>
                  <w:tcW w:w="6319" w:type="dxa"/>
                  <w:gridSpan w:val="7"/>
                  <w:hideMark/>
                </w:tcPr>
                <w:p w14:paraId="27E314EE" w14:textId="503C5F46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  <w:r w:rsidRPr="008D657B">
                    <w:rPr>
                      <w:bCs/>
                      <w:noProof/>
                      <w:lang w:val="uk-UA"/>
                    </w:rPr>
                    <w:drawing>
                      <wp:inline distT="0" distB="0" distL="0" distR="0" wp14:anchorId="03834A16" wp14:editId="5EBDF360">
                        <wp:extent cx="2438400" cy="361950"/>
                        <wp:effectExtent l="0" t="0" r="0" b="0"/>
                        <wp:docPr id="478280262" name="Рисунок 36">
                          <a:hlinkClick xmlns:a="http://schemas.openxmlformats.org/drawingml/2006/main" r:id="rId1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1">
                                  <a:hlinkClick r:id="rId1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3840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60" w:type="dxa"/>
                  <w:hideMark/>
                </w:tcPr>
                <w:p w14:paraId="4DA6C647" w14:textId="77777777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  <w:r w:rsidRPr="008D657B">
                    <w:rPr>
                      <w:bCs/>
                      <w:lang w:val="uk-UA"/>
                    </w:rPr>
                    <w:t>(7)</w:t>
                  </w:r>
                </w:p>
              </w:tc>
            </w:tr>
            <w:tr w:rsidR="00C86907" w:rsidRPr="008D657B" w14:paraId="553E1999" w14:textId="77777777" w:rsidTr="00276976">
              <w:tc>
                <w:tcPr>
                  <w:tcW w:w="6319" w:type="dxa"/>
                  <w:gridSpan w:val="7"/>
                  <w:hideMark/>
                </w:tcPr>
                <w:p w14:paraId="40AE7F49" w14:textId="0F611868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  <w:r w:rsidRPr="008D657B">
                    <w:rPr>
                      <w:bCs/>
                      <w:noProof/>
                      <w:lang w:val="uk-UA"/>
                    </w:rPr>
                    <w:drawing>
                      <wp:inline distT="0" distB="0" distL="0" distR="0" wp14:anchorId="382E8B5C" wp14:editId="6CA507F5">
                        <wp:extent cx="3171825" cy="695325"/>
                        <wp:effectExtent l="0" t="0" r="9525" b="9525"/>
                        <wp:docPr id="1295054352" name="Рисунок 35">
                          <a:hlinkClick xmlns:a="http://schemas.openxmlformats.org/drawingml/2006/main" r:id="rId1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2">
                                  <a:hlinkClick r:id="rId1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71825" cy="695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60" w:type="dxa"/>
                  <w:hideMark/>
                </w:tcPr>
                <w:p w14:paraId="0155D7A2" w14:textId="77777777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  <w:r w:rsidRPr="008D657B">
                    <w:rPr>
                      <w:bCs/>
                      <w:lang w:val="uk-UA"/>
                    </w:rPr>
                    <w:t>(8)</w:t>
                  </w:r>
                </w:p>
              </w:tc>
            </w:tr>
            <w:tr w:rsidR="00C86907" w:rsidRPr="008D657B" w14:paraId="42FEEE03" w14:textId="77777777" w:rsidTr="00276976">
              <w:tc>
                <w:tcPr>
                  <w:tcW w:w="6319" w:type="dxa"/>
                  <w:gridSpan w:val="7"/>
                  <w:hideMark/>
                </w:tcPr>
                <w:p w14:paraId="4A68E1D1" w14:textId="4482D461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  <w:r w:rsidRPr="008D657B">
                    <w:rPr>
                      <w:bCs/>
                      <w:noProof/>
                      <w:lang w:val="uk-UA"/>
                    </w:rPr>
                    <w:drawing>
                      <wp:inline distT="0" distB="0" distL="0" distR="0" wp14:anchorId="122F4368" wp14:editId="3A39BAEF">
                        <wp:extent cx="1428750" cy="323850"/>
                        <wp:effectExtent l="0" t="0" r="0" b="0"/>
                        <wp:docPr id="542866197" name="Рисунок 34">
                          <a:hlinkClick xmlns:a="http://schemas.openxmlformats.org/drawingml/2006/main" r:id="rId1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3">
                                  <a:hlinkClick r:id="rId1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0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60" w:type="dxa"/>
                  <w:hideMark/>
                </w:tcPr>
                <w:p w14:paraId="34ABEF0F" w14:textId="77777777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  <w:r w:rsidRPr="008D657B">
                    <w:rPr>
                      <w:bCs/>
                      <w:lang w:val="uk-UA"/>
                    </w:rPr>
                    <w:t>(9)</w:t>
                  </w:r>
                </w:p>
              </w:tc>
            </w:tr>
            <w:tr w:rsidR="00C86907" w:rsidRPr="008D657B" w14:paraId="7E5F105B" w14:textId="77777777" w:rsidTr="00276976">
              <w:tc>
                <w:tcPr>
                  <w:tcW w:w="709" w:type="dxa"/>
                  <w:hideMark/>
                </w:tcPr>
                <w:p w14:paraId="48FDC194" w14:textId="77777777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  <w:r w:rsidRPr="008D657B">
                    <w:rPr>
                      <w:bCs/>
                      <w:lang w:val="uk-UA"/>
                    </w:rPr>
                    <w:t>де</w:t>
                  </w:r>
                </w:p>
              </w:tc>
              <w:tc>
                <w:tcPr>
                  <w:tcW w:w="1322" w:type="dxa"/>
                  <w:gridSpan w:val="2"/>
                  <w:hideMark/>
                </w:tcPr>
                <w:p w14:paraId="49F83876" w14:textId="736CD7AB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  <w:r w:rsidRPr="008D657B">
                    <w:rPr>
                      <w:bCs/>
                      <w:noProof/>
                      <w:lang w:val="uk-UA"/>
                    </w:rPr>
                    <w:drawing>
                      <wp:inline distT="0" distB="0" distL="0" distR="0" wp14:anchorId="53C5279C" wp14:editId="4D8D5BC5">
                        <wp:extent cx="457200" cy="266700"/>
                        <wp:effectExtent l="0" t="0" r="0" b="0"/>
                        <wp:docPr id="451654631" name="Рисунок 33">
                          <a:hlinkClick xmlns:a="http://schemas.openxmlformats.org/drawingml/2006/main" r:id="rId20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4">
                                  <a:hlinkClick r:id="rId20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60" w:type="dxa"/>
                  <w:gridSpan w:val="2"/>
                  <w:hideMark/>
                </w:tcPr>
                <w:p w14:paraId="529ADDB5" w14:textId="77777777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  <w:r w:rsidRPr="008D657B">
                    <w:rPr>
                      <w:bCs/>
                      <w:lang w:val="uk-UA"/>
                    </w:rPr>
                    <w:t>-</w:t>
                  </w:r>
                </w:p>
              </w:tc>
              <w:tc>
                <w:tcPr>
                  <w:tcW w:w="4488" w:type="dxa"/>
                  <w:gridSpan w:val="3"/>
                  <w:hideMark/>
                </w:tcPr>
                <w:p w14:paraId="1A38569A" w14:textId="77777777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  <w:r w:rsidRPr="008D657B">
                    <w:rPr>
                      <w:bCs/>
                      <w:lang w:val="uk-UA"/>
                    </w:rPr>
                    <w:t xml:space="preserve">середня заробітна плата в розрахунку на одного штатного працівника, зайнятого у промисловості на території діяльності ліцензіата, наростаючим підсумком за </w:t>
                  </w:r>
                  <w:r w:rsidRPr="008D657B">
                    <w:rPr>
                      <w:bCs/>
                      <w:lang w:val="uk-UA"/>
                    </w:rPr>
                    <w:lastRenderedPageBreak/>
                    <w:t>звітними даними періоду із січня по серпень року, що передує року, на який визначаються ВОП;</w:t>
                  </w:r>
                </w:p>
              </w:tc>
            </w:tr>
            <w:tr w:rsidR="00C86907" w:rsidRPr="008D657B" w14:paraId="09097268" w14:textId="77777777" w:rsidTr="00276976">
              <w:tc>
                <w:tcPr>
                  <w:tcW w:w="709" w:type="dxa"/>
                  <w:hideMark/>
                </w:tcPr>
                <w:p w14:paraId="20037F07" w14:textId="77777777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1322" w:type="dxa"/>
                  <w:gridSpan w:val="2"/>
                  <w:hideMark/>
                </w:tcPr>
                <w:p w14:paraId="412CEEB5" w14:textId="39DF1FE4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  <w:r w:rsidRPr="008D657B">
                    <w:rPr>
                      <w:bCs/>
                      <w:noProof/>
                      <w:lang w:val="uk-UA"/>
                    </w:rPr>
                    <w:drawing>
                      <wp:inline distT="0" distB="0" distL="0" distR="0" wp14:anchorId="43067513" wp14:editId="69C631F1">
                        <wp:extent cx="457200" cy="266700"/>
                        <wp:effectExtent l="0" t="0" r="0" b="0"/>
                        <wp:docPr id="1179661365" name="Рисунок 32">
                          <a:hlinkClick xmlns:a="http://schemas.openxmlformats.org/drawingml/2006/main" r:id="rId2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5">
                                  <a:hlinkClick r:id="rId22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60" w:type="dxa"/>
                  <w:gridSpan w:val="2"/>
                  <w:hideMark/>
                </w:tcPr>
                <w:p w14:paraId="73CE7450" w14:textId="77777777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  <w:r w:rsidRPr="008D657B">
                    <w:rPr>
                      <w:bCs/>
                      <w:lang w:val="uk-UA"/>
                    </w:rPr>
                    <w:t>-</w:t>
                  </w:r>
                </w:p>
              </w:tc>
              <w:tc>
                <w:tcPr>
                  <w:tcW w:w="4488" w:type="dxa"/>
                  <w:gridSpan w:val="3"/>
                  <w:hideMark/>
                </w:tcPr>
                <w:p w14:paraId="525103BE" w14:textId="77777777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  <w:r w:rsidRPr="008D657B">
                    <w:rPr>
                      <w:bCs/>
                      <w:lang w:val="uk-UA"/>
                    </w:rPr>
                    <w:t>середня заробітна плата в розрахунку на одного штатного працівника, зайнятого у промисловості України, наростаючим підсумком за звітними даними періоду із січня по серпень року, що передує року, на який визначаються ВОП;</w:t>
                  </w:r>
                </w:p>
              </w:tc>
            </w:tr>
            <w:tr w:rsidR="00C86907" w:rsidRPr="008D657B" w14:paraId="73910E02" w14:textId="77777777" w:rsidTr="00276976">
              <w:tc>
                <w:tcPr>
                  <w:tcW w:w="709" w:type="dxa"/>
                  <w:hideMark/>
                </w:tcPr>
                <w:p w14:paraId="4A76C637" w14:textId="77777777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1322" w:type="dxa"/>
                  <w:gridSpan w:val="2"/>
                  <w:hideMark/>
                </w:tcPr>
                <w:p w14:paraId="499EFBEE" w14:textId="77777777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  <w:r w:rsidRPr="008D657B">
                    <w:rPr>
                      <w:bCs/>
                      <w:lang w:val="uk-UA"/>
                    </w:rPr>
                    <w:t>ІЗП</w:t>
                  </w:r>
                </w:p>
              </w:tc>
              <w:tc>
                <w:tcPr>
                  <w:tcW w:w="560" w:type="dxa"/>
                  <w:gridSpan w:val="2"/>
                  <w:hideMark/>
                </w:tcPr>
                <w:p w14:paraId="7333AC07" w14:textId="77777777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  <w:r w:rsidRPr="008D657B">
                    <w:rPr>
                      <w:bCs/>
                      <w:lang w:val="uk-UA"/>
                    </w:rPr>
                    <w:t>-</w:t>
                  </w:r>
                </w:p>
              </w:tc>
              <w:tc>
                <w:tcPr>
                  <w:tcW w:w="4488" w:type="dxa"/>
                  <w:gridSpan w:val="3"/>
                  <w:hideMark/>
                </w:tcPr>
                <w:p w14:paraId="205B8F31" w14:textId="77777777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  <w:r w:rsidRPr="008D657B">
                    <w:rPr>
                      <w:bCs/>
                      <w:lang w:val="uk-UA"/>
                    </w:rPr>
                    <w:t>прогнозований річний індекс зростання номінальної заробітної плати (у відносних одиницях), який визначається таким чином:</w:t>
                  </w:r>
                </w:p>
              </w:tc>
            </w:tr>
            <w:tr w:rsidR="00C86907" w:rsidRPr="008D657B" w14:paraId="7BC87591" w14:textId="77777777" w:rsidTr="00276976">
              <w:tc>
                <w:tcPr>
                  <w:tcW w:w="6193" w:type="dxa"/>
                  <w:gridSpan w:val="6"/>
                  <w:hideMark/>
                </w:tcPr>
                <w:p w14:paraId="1ED3604F" w14:textId="10E0ADC2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7"/>
                    <w:jc w:val="both"/>
                    <w:rPr>
                      <w:bCs/>
                      <w:lang w:val="uk-UA"/>
                    </w:rPr>
                  </w:pPr>
                  <w:r w:rsidRPr="008D657B">
                    <w:rPr>
                      <w:bCs/>
                      <w:noProof/>
                      <w:lang w:val="uk-UA"/>
                    </w:rPr>
                    <w:drawing>
                      <wp:inline distT="0" distB="0" distL="0" distR="0" wp14:anchorId="7376D4CC" wp14:editId="30CE85AE">
                        <wp:extent cx="1895475" cy="533400"/>
                        <wp:effectExtent l="0" t="0" r="9525" b="0"/>
                        <wp:docPr id="634956605" name="Рисунок 31">
                          <a:hlinkClick xmlns:a="http://schemas.openxmlformats.org/drawingml/2006/main" r:id="rId2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6">
                                  <a:hlinkClick r:id="rId2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95475" cy="533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80" w:type="dxa"/>
                  <w:gridSpan w:val="2"/>
                  <w:tcBorders>
                    <w:left w:val="nil"/>
                  </w:tcBorders>
                  <w:hideMark/>
                </w:tcPr>
                <w:p w14:paraId="2E227AA9" w14:textId="77777777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  <w:r w:rsidRPr="008D657B">
                    <w:rPr>
                      <w:bCs/>
                      <w:lang w:val="uk-UA"/>
                    </w:rPr>
                    <w:t>(10)</w:t>
                  </w:r>
                </w:p>
              </w:tc>
            </w:tr>
            <w:tr w:rsidR="00C86907" w:rsidRPr="002E3AE6" w14:paraId="71F668D2" w14:textId="77777777" w:rsidTr="00276976">
              <w:tc>
                <w:tcPr>
                  <w:tcW w:w="709" w:type="dxa"/>
                  <w:hideMark/>
                </w:tcPr>
                <w:p w14:paraId="54532327" w14:textId="77777777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  <w:r w:rsidRPr="008D657B">
                    <w:rPr>
                      <w:bCs/>
                      <w:lang w:val="uk-UA"/>
                    </w:rPr>
                    <w:t>де</w:t>
                  </w:r>
                </w:p>
              </w:tc>
              <w:tc>
                <w:tcPr>
                  <w:tcW w:w="1005" w:type="dxa"/>
                  <w:hideMark/>
                </w:tcPr>
                <w:p w14:paraId="1478632A" w14:textId="77777777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  <w:r w:rsidRPr="008D657B">
                    <w:rPr>
                      <w:bCs/>
                      <w:lang w:val="uk-UA"/>
                    </w:rPr>
                    <w:t>ІСЦ</w:t>
                  </w:r>
                </w:p>
              </w:tc>
              <w:tc>
                <w:tcPr>
                  <w:tcW w:w="560" w:type="dxa"/>
                  <w:gridSpan w:val="2"/>
                  <w:hideMark/>
                </w:tcPr>
                <w:p w14:paraId="69810D7C" w14:textId="77777777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  <w:r w:rsidRPr="008D657B">
                    <w:rPr>
                      <w:bCs/>
                      <w:lang w:val="uk-UA"/>
                    </w:rPr>
                    <w:t>-</w:t>
                  </w:r>
                </w:p>
              </w:tc>
              <w:tc>
                <w:tcPr>
                  <w:tcW w:w="4799" w:type="dxa"/>
                  <w:gridSpan w:val="4"/>
                  <w:hideMark/>
                </w:tcPr>
                <w:p w14:paraId="16EF35FA" w14:textId="77777777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  <w:r w:rsidRPr="008D657B">
                    <w:rPr>
                      <w:bCs/>
                      <w:lang w:val="uk-UA"/>
                    </w:rPr>
                    <w:t>індекс споживчих цін у середньому до попереднього року відповідно до прогнозу соціально-економічного розвитку України та основних макропоказників економічного і соціального розвитку України та основних напрямів бюджетної політики, у відсотках;</w:t>
                  </w:r>
                </w:p>
              </w:tc>
            </w:tr>
            <w:tr w:rsidR="00C86907" w:rsidRPr="002E3AE6" w14:paraId="3D0ECAA8" w14:textId="77777777" w:rsidTr="00276976">
              <w:tc>
                <w:tcPr>
                  <w:tcW w:w="709" w:type="dxa"/>
                  <w:hideMark/>
                </w:tcPr>
                <w:p w14:paraId="1520388D" w14:textId="77777777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1005" w:type="dxa"/>
                  <w:hideMark/>
                </w:tcPr>
                <w:p w14:paraId="1026413B" w14:textId="77777777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  <w:r w:rsidRPr="008D657B">
                    <w:rPr>
                      <w:bCs/>
                      <w:lang w:val="uk-UA"/>
                    </w:rPr>
                    <w:t>ІРЗП</w:t>
                  </w:r>
                </w:p>
              </w:tc>
              <w:tc>
                <w:tcPr>
                  <w:tcW w:w="560" w:type="dxa"/>
                  <w:gridSpan w:val="2"/>
                  <w:hideMark/>
                </w:tcPr>
                <w:p w14:paraId="26A13D44" w14:textId="77777777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  <w:r w:rsidRPr="008D657B">
                    <w:rPr>
                      <w:bCs/>
                      <w:lang w:val="uk-UA"/>
                    </w:rPr>
                    <w:t>-</w:t>
                  </w:r>
                </w:p>
              </w:tc>
              <w:tc>
                <w:tcPr>
                  <w:tcW w:w="4799" w:type="dxa"/>
                  <w:gridSpan w:val="4"/>
                  <w:hideMark/>
                </w:tcPr>
                <w:p w14:paraId="12B82276" w14:textId="77777777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  <w:r w:rsidRPr="008D657B">
                    <w:rPr>
                      <w:bCs/>
                      <w:lang w:val="uk-UA"/>
                    </w:rPr>
                    <w:t>індекс зростання номінальної середньомісячної заробітної плати працівників, скоригований на індекс споживчих цін (індекс зростання реальної середньомісячної заробітної плати), відповідно до прогнозу соціально-економічного розвитку України та основних макропоказників економічного і соціального розвитку України та основних напрямів бюджетної політики, у відсотках до попереднього року;</w:t>
                  </w:r>
                </w:p>
              </w:tc>
            </w:tr>
            <w:tr w:rsidR="00C86907" w:rsidRPr="002E3AE6" w14:paraId="166CDD9B" w14:textId="77777777" w:rsidTr="00276976">
              <w:tc>
                <w:tcPr>
                  <w:tcW w:w="709" w:type="dxa"/>
                  <w:hideMark/>
                </w:tcPr>
                <w:p w14:paraId="7B8154F0" w14:textId="77777777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</w:p>
              </w:tc>
              <w:tc>
                <w:tcPr>
                  <w:tcW w:w="1005" w:type="dxa"/>
                  <w:hideMark/>
                </w:tcPr>
                <w:p w14:paraId="2BA46716" w14:textId="77777777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  <w:r w:rsidRPr="008D657B">
                    <w:rPr>
                      <w:bCs/>
                      <w:lang w:val="uk-UA"/>
                    </w:rPr>
                    <w:t>β</w:t>
                  </w:r>
                </w:p>
              </w:tc>
              <w:tc>
                <w:tcPr>
                  <w:tcW w:w="560" w:type="dxa"/>
                  <w:gridSpan w:val="2"/>
                  <w:hideMark/>
                </w:tcPr>
                <w:p w14:paraId="5D13800C" w14:textId="77777777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  <w:r w:rsidRPr="008D657B">
                    <w:rPr>
                      <w:bCs/>
                      <w:lang w:val="uk-UA"/>
                    </w:rPr>
                    <w:t>-</w:t>
                  </w:r>
                </w:p>
              </w:tc>
              <w:tc>
                <w:tcPr>
                  <w:tcW w:w="4799" w:type="dxa"/>
                  <w:gridSpan w:val="4"/>
                  <w:hideMark/>
                </w:tcPr>
                <w:p w14:paraId="50242A05" w14:textId="77777777" w:rsidR="00C86907" w:rsidRPr="008D657B" w:rsidRDefault="00C86907" w:rsidP="00C86907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  <w:rPr>
                      <w:bCs/>
                      <w:lang w:val="uk-UA"/>
                    </w:rPr>
                  </w:pPr>
                  <w:r w:rsidRPr="008D657B">
                    <w:rPr>
                      <w:bCs/>
                      <w:lang w:val="uk-UA"/>
                    </w:rPr>
                    <w:t xml:space="preserve">коефіцієнт, що застосовується НКРЕКП в однаковому розмірі для ліцензіатів у сфері розподілу природного газу на визначений період з метою обмеження зростання витрат </w:t>
                  </w:r>
                  <w:r w:rsidRPr="008D657B">
                    <w:rPr>
                      <w:bCs/>
                      <w:lang w:val="uk-UA"/>
                    </w:rPr>
                    <w:lastRenderedPageBreak/>
                    <w:t>на оплату праці з урахуванням стану економіки держави в умовах фінансово-економічної кризи (0 &lt; β ≤ 1).</w:t>
                  </w:r>
                </w:p>
              </w:tc>
            </w:tr>
          </w:tbl>
          <w:p w14:paraId="697E4A57" w14:textId="77777777" w:rsidR="00C86907" w:rsidRPr="008D657B" w:rsidRDefault="00C86907" w:rsidP="00C86907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Cs/>
                <w:lang w:val="uk-UA"/>
              </w:rPr>
            </w:pPr>
          </w:p>
          <w:p w14:paraId="2CF6CCF0" w14:textId="77777777" w:rsidR="00C86907" w:rsidRPr="008D657B" w:rsidRDefault="00C86907" w:rsidP="00C86907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Cs/>
                <w:lang w:val="uk-UA"/>
              </w:rPr>
            </w:pPr>
            <w:r w:rsidRPr="008D657B">
              <w:rPr>
                <w:bCs/>
                <w:lang w:val="uk-UA"/>
              </w:rPr>
              <w:t>У разі відсутності звітних даних Державної служби статистики України щодо середньої заробітної плати, необхідних для визначення коефіцієнта К, такий коефіцієнт визначається з урахуванням загальної тенденції зміни середньої заробітної плати в розрахунку на одного штатного працівника, зайнятого у промисловості України, таким чином:</w:t>
            </w:r>
          </w:p>
          <w:p w14:paraId="1320EB28" w14:textId="4B329548" w:rsidR="00C86907" w:rsidRPr="008D657B" w:rsidRDefault="00C86907" w:rsidP="00C86907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Cs/>
                <w:lang w:val="uk-UA"/>
              </w:rPr>
            </w:pPr>
            <w:r w:rsidRPr="008D657B">
              <w:rPr>
                <w:bCs/>
                <w:lang w:val="uk-UA"/>
              </w:rPr>
              <w:t xml:space="preserve">у разі, якщо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lang w:val="uk-UA"/>
                    </w:rPr>
                  </m:ctrlPr>
                </m:sSubSupPr>
                <m:e>
                  <m:r>
                    <m:rPr>
                      <m:nor/>
                    </m:rPr>
                    <w:rPr>
                      <w:bCs/>
                      <w:lang w:val="uk-UA"/>
                    </w:rPr>
                    <m:t>ЗП</m:t>
                  </m:r>
                </m:e>
                <m:sub>
                  <m:r>
                    <m:rPr>
                      <m:nor/>
                    </m:rPr>
                    <w:rPr>
                      <w:bCs/>
                      <w:lang w:val="uk-UA"/>
                    </w:rPr>
                    <m:t>пром</m:t>
                  </m:r>
                </m:sub>
                <m:sup>
                  <m:sSup>
                    <m:sSupPr>
                      <m:ctrlPr>
                        <w:rPr>
                          <w:rFonts w:ascii="Cambria Math" w:hAnsi="Cambria Math"/>
                          <w:bCs/>
                          <w:lang w:val="uk-UA"/>
                        </w:rPr>
                      </m:ctrlPr>
                    </m:sSupPr>
                    <m:e>
                      <m:r>
                        <w:rPr>
                          <w:rFonts w:ascii="Cambria Math"/>
                          <w:lang w:val="uk-UA"/>
                        </w:rPr>
                        <m:t>j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/>
                          <w:lang w:val="uk-UA"/>
                        </w:rPr>
                        <m:t>2021</m:t>
                      </m:r>
                    </m:sup>
                  </m:sSup>
                </m:sup>
              </m:sSubSup>
              <m:r>
                <m:rPr>
                  <m:nor/>
                </m:rPr>
                <w:rPr>
                  <w:bCs/>
                  <w:lang w:val="uk-UA"/>
                </w:rPr>
                <m:t>≤</m:t>
              </m:r>
              <m:sSubSup>
                <m:sSubSupPr>
                  <m:ctrlPr>
                    <w:rPr>
                      <w:rFonts w:ascii="Cambria Math" w:hAnsi="Cambria Math"/>
                      <w:bCs/>
                      <w:lang w:val="uk-UA"/>
                    </w:rPr>
                  </m:ctrlPr>
                </m:sSubSupPr>
                <m:e>
                  <m:r>
                    <m:rPr>
                      <m:nor/>
                    </m:rPr>
                    <w:rPr>
                      <w:bCs/>
                      <w:lang w:val="uk-UA"/>
                    </w:rPr>
                    <m:t>ЗП</m:t>
                  </m:r>
                </m:e>
                <m:sub>
                  <m:r>
                    <m:rPr>
                      <m:nor/>
                    </m:rPr>
                    <w:rPr>
                      <w:bCs/>
                      <w:lang w:val="uk-UA"/>
                    </w:rPr>
                    <m:t>пром</m:t>
                  </m:r>
                </m:sub>
                <m:sup>
                  <m:sSup>
                    <m:sSupPr>
                      <m:ctrlPr>
                        <w:rPr>
                          <w:rFonts w:ascii="Cambria Math" w:hAnsi="Cambria Math"/>
                          <w:bCs/>
                          <w:lang w:val="uk-UA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uk-UA"/>
                        </w:rPr>
                        <m:t>сер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uk-UA"/>
                        </w:rPr>
                        <m:t>2021</m:t>
                      </m:r>
                    </m:sup>
                  </m:sSup>
                </m:sup>
              </m:sSubSup>
            </m:oMath>
            <w:r w:rsidRPr="008D657B">
              <w:rPr>
                <w:bCs/>
                <w:lang w:val="uk-UA"/>
              </w:rPr>
              <w:t>, то</w:t>
            </w:r>
          </w:p>
          <w:p w14:paraId="70EA1A72" w14:textId="0111CEF4" w:rsidR="00C86907" w:rsidRPr="008D657B" w:rsidRDefault="00C86907" w:rsidP="00C86907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Cs/>
                <w:lang w:val="uk-UA"/>
              </w:rPr>
            </w:pPr>
            <m:oMath>
              <m:r>
                <m:rPr>
                  <m:nor/>
                </m:rPr>
                <w:rPr>
                  <w:bCs/>
                  <w:lang w:val="uk-UA"/>
                </w:rPr>
                <m:t>К=</m:t>
              </m:r>
              <m:d>
                <m:dPr>
                  <m:ctrlPr>
                    <w:rPr>
                      <w:rFonts w:ascii="Cambria Math" w:hAnsi="Cambria Math"/>
                      <w:bCs/>
                      <w:lang w:val="uk-UA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lang w:val="uk-UA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uk-UA"/>
                        </w:rPr>
                        <m:t xml:space="preserve"> 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lang w:val="uk-UA"/>
                            </w:rPr>
                          </m:ctrlPr>
                        </m:sSubSupPr>
                        <m:e>
                          <m:r>
                            <m:rPr>
                              <m:nor/>
                            </m:rPr>
                            <w:rPr>
                              <w:bCs/>
                              <w:lang w:val="uk-UA"/>
                            </w:rPr>
                            <m:t>ЗП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bCs/>
                              <w:lang w:val="uk-UA"/>
                            </w:rPr>
                            <m:t>пром</m:t>
                          </m:r>
                        </m:sub>
                        <m:sup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bCs/>
                                  <w:lang w:val="uk-UA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val="uk-UA"/>
                                </w:rPr>
                                <m:t>сер</m:t>
                              </m: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val="uk-UA"/>
                                </w:rPr>
                                <m:t>2021</m:t>
                              </m:r>
                            </m:sup>
                          </m:sSup>
                        </m:sup>
                      </m:sSubSup>
                      <m:r>
                        <m:rPr>
                          <m:nor/>
                        </m:rPr>
                        <w:rPr>
                          <w:bCs/>
                          <w:lang w:val="uk-UA"/>
                        </w:rPr>
                        <m:t>× α × 1,25 × ІЗП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bCs/>
                              <w:lang w:val="uk-UA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bCs/>
                              <w:lang w:val="uk-UA"/>
                            </w:rPr>
                            <m:t>ТЗП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bCs/>
                              <w:lang w:val="uk-UA"/>
                            </w:rPr>
                            <m:t>тар</m:t>
                          </m:r>
                        </m:sub>
                      </m:sSub>
                    </m:den>
                  </m:f>
                  <m:r>
                    <m:rPr>
                      <m:nor/>
                    </m:rPr>
                    <w:rPr>
                      <w:bCs/>
                      <w:lang w:val="uk-UA"/>
                    </w:rPr>
                    <m:t>-1</m:t>
                  </m:r>
                </m:e>
              </m:d>
              <m:r>
                <m:rPr>
                  <m:nor/>
                </m:rPr>
                <w:rPr>
                  <w:bCs/>
                  <w:lang w:val="uk-UA"/>
                </w:rPr>
                <m:t>×β+1</m:t>
              </m:r>
            </m:oMath>
            <w:r w:rsidRPr="008D657B">
              <w:rPr>
                <w:bCs/>
                <w:lang w:val="uk-UA"/>
              </w:rPr>
              <w:t>,                                            (11)</w:t>
            </w:r>
          </w:p>
          <w:p w14:paraId="60057B1A" w14:textId="2559B9FC" w:rsidR="00C86907" w:rsidRPr="008D657B" w:rsidRDefault="00C86907" w:rsidP="00C86907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Cs/>
                <w:lang w:val="uk-UA"/>
              </w:rPr>
            </w:pPr>
            <w:r w:rsidRPr="008D657B">
              <w:rPr>
                <w:bCs/>
                <w:lang w:val="uk-UA"/>
              </w:rPr>
              <w:t xml:space="preserve">у разі, якщо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lang w:val="uk-UA"/>
                    </w:rPr>
                  </m:ctrlPr>
                </m:sSubSupPr>
                <m:e>
                  <m:r>
                    <m:rPr>
                      <m:nor/>
                    </m:rPr>
                    <w:rPr>
                      <w:bCs/>
                      <w:lang w:val="uk-UA"/>
                    </w:rPr>
                    <m:t>ЗП</m:t>
                  </m:r>
                </m:e>
                <m:sub>
                  <m:r>
                    <m:rPr>
                      <m:nor/>
                    </m:rPr>
                    <w:rPr>
                      <w:bCs/>
                      <w:lang w:val="uk-UA"/>
                    </w:rPr>
                    <m:t>пром</m:t>
                  </m:r>
                </m:sub>
                <m:sup>
                  <m:sSup>
                    <m:sSupPr>
                      <m:ctrlPr>
                        <w:rPr>
                          <w:rFonts w:ascii="Cambria Math" w:hAnsi="Cambria Math"/>
                          <w:bCs/>
                          <w:lang w:val="uk-UA"/>
                        </w:rPr>
                      </m:ctrlPr>
                    </m:sSupPr>
                    <m:e>
                      <m:r>
                        <w:rPr>
                          <w:rFonts w:ascii="Cambria Math"/>
                          <w:lang w:val="uk-UA"/>
                        </w:rPr>
                        <m:t>j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/>
                          <w:lang w:val="uk-UA"/>
                        </w:rPr>
                        <m:t>2021</m:t>
                      </m:r>
                    </m:sup>
                  </m:sSup>
                </m:sup>
              </m:sSubSup>
              <m:r>
                <m:rPr>
                  <m:nor/>
                </m:rPr>
                <w:rPr>
                  <w:bCs/>
                  <w:lang w:val="uk-UA"/>
                </w:rPr>
                <m:t>&gt;</m:t>
              </m:r>
              <m:sSubSup>
                <m:sSubSupPr>
                  <m:ctrlPr>
                    <w:rPr>
                      <w:rFonts w:ascii="Cambria Math" w:hAnsi="Cambria Math"/>
                      <w:bCs/>
                      <w:lang w:val="uk-UA"/>
                    </w:rPr>
                  </m:ctrlPr>
                </m:sSubSupPr>
                <m:e>
                  <m:r>
                    <m:rPr>
                      <m:nor/>
                    </m:rPr>
                    <w:rPr>
                      <w:bCs/>
                      <w:lang w:val="uk-UA"/>
                    </w:rPr>
                    <m:t>ЗП</m:t>
                  </m:r>
                </m:e>
                <m:sub>
                  <m:r>
                    <m:rPr>
                      <m:nor/>
                    </m:rPr>
                    <w:rPr>
                      <w:bCs/>
                      <w:lang w:val="uk-UA"/>
                    </w:rPr>
                    <m:t>пром</m:t>
                  </m:r>
                </m:sub>
                <m:sup>
                  <m:sSup>
                    <m:sSupPr>
                      <m:ctrlPr>
                        <w:rPr>
                          <w:rFonts w:ascii="Cambria Math" w:hAnsi="Cambria Math"/>
                          <w:bCs/>
                          <w:lang w:val="uk-UA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uk-UA"/>
                        </w:rPr>
                        <m:t>сер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uk-UA"/>
                        </w:rPr>
                        <m:t>2021</m:t>
                      </m:r>
                    </m:sup>
                  </m:sSup>
                </m:sup>
              </m:sSubSup>
            </m:oMath>
            <w:r w:rsidRPr="008D657B">
              <w:rPr>
                <w:bCs/>
                <w:lang w:val="uk-UA"/>
              </w:rPr>
              <w:t>, то</w:t>
            </w:r>
          </w:p>
          <w:p w14:paraId="4D507FAB" w14:textId="5CB73227" w:rsidR="00C86907" w:rsidRPr="008D657B" w:rsidRDefault="00C86907" w:rsidP="00C86907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Cs/>
                <w:lang w:val="uk-UA"/>
              </w:rPr>
            </w:pPr>
            <m:oMath>
              <m:r>
                <m:rPr>
                  <m:nor/>
                </m:rPr>
                <w:rPr>
                  <w:bCs/>
                  <w:lang w:val="uk-UA"/>
                </w:rPr>
                <m:t>К=</m:t>
              </m:r>
              <m:d>
                <m:dPr>
                  <m:ctrlPr>
                    <w:rPr>
                      <w:rFonts w:ascii="Cambria Math" w:hAnsi="Cambria Math"/>
                      <w:bCs/>
                      <w:lang w:val="uk-UA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lang w:val="uk-UA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uk-UA"/>
                        </w:rPr>
                        <m:t xml:space="preserve"> 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lang w:val="uk-UA"/>
                            </w:rPr>
                          </m:ctrlPr>
                        </m:sSubSupPr>
                        <m:e>
                          <m:r>
                            <m:rPr>
                              <m:nor/>
                            </m:rPr>
                            <w:rPr>
                              <w:bCs/>
                              <w:lang w:val="uk-UA"/>
                            </w:rPr>
                            <m:t>ЗП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bCs/>
                              <w:lang w:val="uk-UA"/>
                            </w:rPr>
                            <m:t>пром</m:t>
                          </m:r>
                        </m:sub>
                        <m:sup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bCs/>
                                  <w:lang w:val="uk-UA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/>
                                  <w:lang w:val="uk-UA"/>
                                </w:rPr>
                                <m:t>j</m:t>
                              </m: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lang w:val="uk-UA"/>
                                </w:rPr>
                                <m:t>2021</m:t>
                              </m:r>
                            </m:sup>
                          </m:sSup>
                        </m:sup>
                      </m:sSubSup>
                      <m:r>
                        <m:rPr>
                          <m:nor/>
                        </m:rPr>
                        <w:rPr>
                          <w:bCs/>
                          <w:lang w:val="uk-UA"/>
                        </w:rPr>
                        <m:t>× α × 1,25 × ІЗП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bCs/>
                              <w:lang w:val="uk-UA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bCs/>
                              <w:lang w:val="uk-UA"/>
                            </w:rPr>
                            <m:t>ТЗП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bCs/>
                              <w:lang w:val="uk-UA"/>
                            </w:rPr>
                            <m:t>тар</m:t>
                          </m:r>
                        </m:sub>
                      </m:sSub>
                    </m:den>
                  </m:f>
                  <m:r>
                    <m:rPr>
                      <m:nor/>
                    </m:rPr>
                    <w:rPr>
                      <w:bCs/>
                      <w:lang w:val="uk-UA"/>
                    </w:rPr>
                    <m:t>-1</m:t>
                  </m:r>
                </m:e>
              </m:d>
              <m:r>
                <m:rPr>
                  <m:nor/>
                </m:rPr>
                <w:rPr>
                  <w:bCs/>
                  <w:lang w:val="uk-UA"/>
                </w:rPr>
                <m:t>×β+1</m:t>
              </m:r>
            </m:oMath>
            <w:r w:rsidRPr="008D657B">
              <w:rPr>
                <w:bCs/>
                <w:lang w:val="uk-UA"/>
              </w:rPr>
              <w:t>,                                                  (12)</w:t>
            </w:r>
          </w:p>
          <w:p w14:paraId="243E9A31" w14:textId="77777777" w:rsidR="00C86907" w:rsidRPr="008D657B" w:rsidRDefault="00C86907" w:rsidP="00C86907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Cs/>
                <w:lang w:val="uk-UA"/>
              </w:rPr>
            </w:pPr>
            <w:r w:rsidRPr="008D657B">
              <w:rPr>
                <w:bCs/>
                <w:lang w:val="uk-UA"/>
              </w:rPr>
              <w:t xml:space="preserve">при цьому </w:t>
            </w:r>
            <m:oMath>
              <m:r>
                <m:rPr>
                  <m:nor/>
                </m:rPr>
                <w:rPr>
                  <w:bCs/>
                  <w:lang w:val="uk-UA"/>
                </w:rPr>
                <m:t>К ≥1,</m:t>
              </m:r>
            </m:oMath>
          </w:p>
          <w:p w14:paraId="10ADFFD4" w14:textId="30BB2308" w:rsidR="00C86907" w:rsidRPr="008D657B" w:rsidRDefault="00C86907" w:rsidP="00C86907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Cs/>
                <w:lang w:val="uk-UA"/>
              </w:rPr>
            </w:pPr>
            <w:r w:rsidRPr="008D657B">
              <w:rPr>
                <w:bCs/>
                <w:lang w:val="uk-UA"/>
              </w:rPr>
              <w:t xml:space="preserve">де 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lang w:val="uk-UA"/>
                    </w:rPr>
                  </m:ctrlPr>
                </m:sSubSupPr>
                <m:e>
                  <m:r>
                    <m:rPr>
                      <m:nor/>
                    </m:rPr>
                    <w:rPr>
                      <w:bCs/>
                      <w:lang w:val="uk-UA"/>
                    </w:rPr>
                    <m:t>ЗП</m:t>
                  </m:r>
                </m:e>
                <m:sub>
                  <m:r>
                    <m:rPr>
                      <m:nor/>
                    </m:rPr>
                    <w:rPr>
                      <w:bCs/>
                      <w:lang w:val="uk-UA"/>
                    </w:rPr>
                    <m:t>пром</m:t>
                  </m:r>
                </m:sub>
                <m:sup>
                  <m:sSup>
                    <m:sSupPr>
                      <m:ctrlPr>
                        <w:rPr>
                          <w:rFonts w:ascii="Cambria Math" w:hAnsi="Cambria Math"/>
                          <w:bCs/>
                          <w:lang w:val="uk-UA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uk-UA"/>
                        </w:rPr>
                        <m:t>сер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uk-UA"/>
                        </w:rPr>
                        <m:t>2021</m:t>
                      </m:r>
                    </m:sup>
                  </m:sSup>
                </m:sup>
              </m:sSubSup>
            </m:oMath>
            <w:r w:rsidRPr="008D657B">
              <w:rPr>
                <w:bCs/>
                <w:lang w:val="uk-UA"/>
              </w:rPr>
              <w:t xml:space="preserve"> –середня заробітна плата в розрахунку на одного штатного працівника, зайнятого у промисловості України, наростаючим підсумком за звітними даними періоду із січня по серпень</w:t>
            </w:r>
            <w:r w:rsidRPr="008D657B" w:rsidDel="00E92847">
              <w:rPr>
                <w:bCs/>
                <w:lang w:val="uk-UA"/>
              </w:rPr>
              <w:t xml:space="preserve"> </w:t>
            </w:r>
            <w:r w:rsidRPr="008D657B">
              <w:rPr>
                <w:bCs/>
                <w:lang w:val="uk-UA"/>
              </w:rPr>
              <w:t>2021 року;</w:t>
            </w:r>
          </w:p>
          <w:p w14:paraId="7E3C1A10" w14:textId="2CE8651E" w:rsidR="00C86907" w:rsidRPr="008D657B" w:rsidRDefault="009D1A86" w:rsidP="00C86907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Cs/>
                <w:lang w:val="uk-UA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lang w:val="uk-UA"/>
                    </w:rPr>
                  </m:ctrlPr>
                </m:sSubSupPr>
                <m:e>
                  <m:r>
                    <m:rPr>
                      <m:nor/>
                    </m:rPr>
                    <w:rPr>
                      <w:bCs/>
                      <w:lang w:val="uk-UA"/>
                    </w:rPr>
                    <m:t>ЗП</m:t>
                  </m:r>
                </m:e>
                <m:sub>
                  <m:r>
                    <m:rPr>
                      <m:nor/>
                    </m:rPr>
                    <w:rPr>
                      <w:bCs/>
                      <w:lang w:val="uk-UA"/>
                    </w:rPr>
                    <m:t>пром</m:t>
                  </m:r>
                </m:sub>
                <m:sup>
                  <m:sSup>
                    <m:sSupPr>
                      <m:ctrlPr>
                        <w:rPr>
                          <w:rFonts w:ascii="Cambria Math" w:hAnsi="Cambria Math"/>
                          <w:bCs/>
                          <w:lang w:val="uk-UA"/>
                        </w:rPr>
                      </m:ctrlPr>
                    </m:sSupPr>
                    <m:e>
                      <m:r>
                        <w:rPr>
                          <w:rFonts w:ascii="Cambria Math"/>
                          <w:lang w:val="uk-UA"/>
                        </w:rPr>
                        <m:t>j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/>
                          <w:lang w:val="uk-UA"/>
                        </w:rPr>
                        <m:t>2021</m:t>
                      </m:r>
                    </m:sup>
                  </m:sSup>
                </m:sup>
              </m:sSubSup>
            </m:oMath>
            <w:r w:rsidR="00C86907" w:rsidRPr="008D657B">
              <w:rPr>
                <w:bCs/>
                <w:lang w:val="uk-UA"/>
              </w:rPr>
              <w:t xml:space="preserve"> - середня заробітна плата в розрахунку на одного штатного працівника, зайнятого у промисловості на території діяльності ліцензіата, наростаючим підсумком за звітними даними періоду </w:t>
            </w:r>
            <w:bookmarkStart w:id="1" w:name="_Hlk178590472"/>
            <w:r w:rsidR="00C86907" w:rsidRPr="008D657B">
              <w:rPr>
                <w:bCs/>
                <w:lang w:val="uk-UA"/>
              </w:rPr>
              <w:t>із січня по серпень 2021 року</w:t>
            </w:r>
            <w:bookmarkEnd w:id="1"/>
            <w:r w:rsidR="00C86907" w:rsidRPr="008D657B">
              <w:rPr>
                <w:bCs/>
                <w:lang w:val="uk-UA"/>
              </w:rPr>
              <w:t>.</w:t>
            </w:r>
          </w:p>
          <w:p w14:paraId="62C0E4E7" w14:textId="77777777" w:rsidR="00C86907" w:rsidRPr="008D657B" w:rsidRDefault="00C86907" w:rsidP="00C86907">
            <w:pPr>
              <w:pStyle w:val="rvps2"/>
              <w:shd w:val="clear" w:color="auto" w:fill="FFFFFF"/>
              <w:ind w:firstLine="529"/>
              <w:contextualSpacing/>
              <w:jc w:val="both"/>
              <w:rPr>
                <w:bCs/>
                <w:lang w:val="uk-UA"/>
              </w:rPr>
            </w:pPr>
            <m:oMath>
              <m:r>
                <m:rPr>
                  <m:nor/>
                </m:rPr>
                <w:rPr>
                  <w:bCs/>
                  <w:lang w:val="uk-UA"/>
                </w:rPr>
                <m:t>α</m:t>
              </m:r>
            </m:oMath>
            <w:r w:rsidRPr="008D657B">
              <w:rPr>
                <w:bCs/>
                <w:lang w:val="uk-UA"/>
              </w:rPr>
              <w:t xml:space="preserve"> – коефіцієнт відносного зростання, який визначається як  співвідношення середньої заробітної плати штатних працівників промисловості в Україні за період із січня по серпень року, що передує року, на який визначаються ВОП, до середньої заробітної </w:t>
            </w:r>
            <w:r w:rsidRPr="008D657B">
              <w:rPr>
                <w:bCs/>
                <w:lang w:val="uk-UA"/>
              </w:rPr>
              <w:lastRenderedPageBreak/>
              <w:t>плати штатних працівників промисловості в Україні за період із січня по серпень 2021 року.</w:t>
            </w:r>
          </w:p>
          <w:p w14:paraId="64F6B0C6" w14:textId="1D1A4CF5" w:rsidR="00C86907" w:rsidRPr="008D657B" w:rsidRDefault="00C86907" w:rsidP="00C86907">
            <w:pPr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8D65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У разі відсутності даних щодо середньої заробітної плати штатних працівників промисловості в Україні за період із січня по серпень року, що передує року, на який визначаються ВОП, для визначення коефіцієнта α приймаються останні наявні звітні данні Державної служби статистики України щодо середньої заробітної плати штатних працівників промисловості в Україні.  </w:t>
            </w:r>
          </w:p>
        </w:tc>
        <w:tc>
          <w:tcPr>
            <w:tcW w:w="3443" w:type="dxa"/>
          </w:tcPr>
          <w:p w14:paraId="12B84368" w14:textId="77777777" w:rsidR="00C86907" w:rsidRPr="008D657B" w:rsidRDefault="00C86907" w:rsidP="00C8690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66E8844E" w14:textId="41FEB217" w:rsidR="00C86907" w:rsidRPr="008D657B" w:rsidRDefault="00C86907" w:rsidP="00C8690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8D657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 надходило</w:t>
            </w:r>
          </w:p>
        </w:tc>
        <w:tc>
          <w:tcPr>
            <w:tcW w:w="4784" w:type="dxa"/>
          </w:tcPr>
          <w:p w14:paraId="01287F27" w14:textId="77777777" w:rsidR="00C86907" w:rsidRPr="008D657B" w:rsidRDefault="00C86907" w:rsidP="00C86907">
            <w:pPr>
              <w:spacing w:after="0" w:line="240" w:lineRule="auto"/>
              <w:ind w:firstLine="286"/>
              <w:jc w:val="both"/>
              <w:rPr>
                <w:rFonts w:ascii="Times New Roman" w:hAnsi="Times New Roman" w:cs="Times New Roman"/>
                <w:highlight w:val="yellow"/>
                <w:lang w:val="uk-UA"/>
              </w:rPr>
            </w:pPr>
          </w:p>
        </w:tc>
      </w:tr>
    </w:tbl>
    <w:p w14:paraId="5F8F9B4D" w14:textId="114E27B8" w:rsidR="00004537" w:rsidRDefault="00004537" w:rsidP="00E0006B">
      <w:pPr>
        <w:pStyle w:val="a4"/>
        <w:spacing w:before="0" w:beforeAutospacing="0" w:after="0" w:afterAutospacing="0"/>
        <w:ind w:firstLine="709"/>
        <w:jc w:val="center"/>
        <w:rPr>
          <w:b/>
        </w:rPr>
      </w:pPr>
    </w:p>
    <w:p w14:paraId="7E567AC2" w14:textId="56B0582A" w:rsidR="00004537" w:rsidRDefault="00004537" w:rsidP="00004537">
      <w:pPr>
        <w:rPr>
          <w:lang w:val="uk-UA" w:eastAsia="uk-UA"/>
        </w:rPr>
      </w:pPr>
    </w:p>
    <w:p w14:paraId="72F877E6" w14:textId="77777777" w:rsidR="00004537" w:rsidRPr="00004537" w:rsidRDefault="00004537" w:rsidP="0000453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0453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Директор Департаменту</w:t>
      </w:r>
    </w:p>
    <w:p w14:paraId="411C9F5A" w14:textId="77777777" w:rsidR="00004537" w:rsidRPr="00004537" w:rsidRDefault="00004537" w:rsidP="0000453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0453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із регулювання відносин у </w:t>
      </w:r>
    </w:p>
    <w:p w14:paraId="021A0FA6" w14:textId="3B14DD84" w:rsidR="00004537" w:rsidRPr="00004537" w:rsidRDefault="00004537" w:rsidP="000045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0453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нафтогазовій сфері                                                       </w:t>
      </w:r>
      <w:r w:rsidRPr="0000453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</w:t>
      </w:r>
      <w:r w:rsidRPr="0000453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Олександр КОСЯНЧУК</w:t>
      </w:r>
    </w:p>
    <w:p w14:paraId="46332E7B" w14:textId="77777777" w:rsidR="007E47BB" w:rsidRPr="00004537" w:rsidRDefault="007E47BB" w:rsidP="00004537">
      <w:pPr>
        <w:ind w:firstLine="708"/>
        <w:rPr>
          <w:lang w:val="uk-UA" w:eastAsia="uk-UA"/>
        </w:rPr>
      </w:pPr>
    </w:p>
    <w:sectPr w:rsidR="007E47BB" w:rsidRPr="00004537" w:rsidSect="0084629C">
      <w:pgSz w:w="16838" w:h="11906" w:orient="landscape"/>
      <w:pgMar w:top="567" w:right="1103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B0269"/>
    <w:multiLevelType w:val="hybridMultilevel"/>
    <w:tmpl w:val="E9A2A7C2"/>
    <w:lvl w:ilvl="0" w:tplc="D8EA2886">
      <w:start w:val="1"/>
      <w:numFmt w:val="decimal"/>
      <w:lvlText w:val="10.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DF22F0A"/>
    <w:multiLevelType w:val="hybridMultilevel"/>
    <w:tmpl w:val="990CD2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99A"/>
    <w:rsid w:val="00004537"/>
    <w:rsid w:val="000139EB"/>
    <w:rsid w:val="000163BE"/>
    <w:rsid w:val="00022B7A"/>
    <w:rsid w:val="000246DE"/>
    <w:rsid w:val="00026DD3"/>
    <w:rsid w:val="000313EE"/>
    <w:rsid w:val="00040197"/>
    <w:rsid w:val="000478C0"/>
    <w:rsid w:val="000655D7"/>
    <w:rsid w:val="0007080E"/>
    <w:rsid w:val="00072BBB"/>
    <w:rsid w:val="00080C55"/>
    <w:rsid w:val="000C43F0"/>
    <w:rsid w:val="000D04B8"/>
    <w:rsid w:val="000D4F44"/>
    <w:rsid w:val="000D769F"/>
    <w:rsid w:val="000E2D6E"/>
    <w:rsid w:val="000F0622"/>
    <w:rsid w:val="001029DC"/>
    <w:rsid w:val="00107EC7"/>
    <w:rsid w:val="0011669A"/>
    <w:rsid w:val="00117684"/>
    <w:rsid w:val="00121CB5"/>
    <w:rsid w:val="00123EB2"/>
    <w:rsid w:val="00127918"/>
    <w:rsid w:val="00130C3F"/>
    <w:rsid w:val="00136CC1"/>
    <w:rsid w:val="0014406E"/>
    <w:rsid w:val="00144CDF"/>
    <w:rsid w:val="0015296D"/>
    <w:rsid w:val="00152EF0"/>
    <w:rsid w:val="001562B4"/>
    <w:rsid w:val="00162980"/>
    <w:rsid w:val="001825B5"/>
    <w:rsid w:val="00185DB0"/>
    <w:rsid w:val="00193C44"/>
    <w:rsid w:val="001B4EB7"/>
    <w:rsid w:val="001D71AF"/>
    <w:rsid w:val="001D7431"/>
    <w:rsid w:val="001E2320"/>
    <w:rsid w:val="001E77F5"/>
    <w:rsid w:val="001E7BDD"/>
    <w:rsid w:val="00201D8E"/>
    <w:rsid w:val="0021148D"/>
    <w:rsid w:val="002525D8"/>
    <w:rsid w:val="0025307A"/>
    <w:rsid w:val="002601DF"/>
    <w:rsid w:val="0026230D"/>
    <w:rsid w:val="002634E4"/>
    <w:rsid w:val="00264B9D"/>
    <w:rsid w:val="00283557"/>
    <w:rsid w:val="002A3EEB"/>
    <w:rsid w:val="002A5B78"/>
    <w:rsid w:val="002A614C"/>
    <w:rsid w:val="002B2882"/>
    <w:rsid w:val="002C17D6"/>
    <w:rsid w:val="002C21DC"/>
    <w:rsid w:val="002C35E0"/>
    <w:rsid w:val="002D02B2"/>
    <w:rsid w:val="002E3AE6"/>
    <w:rsid w:val="003017EA"/>
    <w:rsid w:val="003176A7"/>
    <w:rsid w:val="00317B33"/>
    <w:rsid w:val="003261DA"/>
    <w:rsid w:val="003302D6"/>
    <w:rsid w:val="00345F6F"/>
    <w:rsid w:val="00357BBA"/>
    <w:rsid w:val="00362659"/>
    <w:rsid w:val="00372DB0"/>
    <w:rsid w:val="003737EF"/>
    <w:rsid w:val="00375C7C"/>
    <w:rsid w:val="00376E15"/>
    <w:rsid w:val="0038199A"/>
    <w:rsid w:val="003828E2"/>
    <w:rsid w:val="00391189"/>
    <w:rsid w:val="00395A64"/>
    <w:rsid w:val="003B0163"/>
    <w:rsid w:val="003B141F"/>
    <w:rsid w:val="003B3E50"/>
    <w:rsid w:val="003C5310"/>
    <w:rsid w:val="003F539C"/>
    <w:rsid w:val="003F589D"/>
    <w:rsid w:val="00401BD2"/>
    <w:rsid w:val="004224A0"/>
    <w:rsid w:val="00422DD1"/>
    <w:rsid w:val="00423FA1"/>
    <w:rsid w:val="00427516"/>
    <w:rsid w:val="00450866"/>
    <w:rsid w:val="004622BD"/>
    <w:rsid w:val="00481F3D"/>
    <w:rsid w:val="004877B3"/>
    <w:rsid w:val="00492F84"/>
    <w:rsid w:val="004A31E8"/>
    <w:rsid w:val="004A3CF7"/>
    <w:rsid w:val="004B18EA"/>
    <w:rsid w:val="004B57E5"/>
    <w:rsid w:val="004C2300"/>
    <w:rsid w:val="004D24C5"/>
    <w:rsid w:val="004E23C3"/>
    <w:rsid w:val="004E5950"/>
    <w:rsid w:val="004E63EC"/>
    <w:rsid w:val="004E7CFE"/>
    <w:rsid w:val="004F2D47"/>
    <w:rsid w:val="00510F09"/>
    <w:rsid w:val="00513E28"/>
    <w:rsid w:val="00520A00"/>
    <w:rsid w:val="0052513E"/>
    <w:rsid w:val="00531746"/>
    <w:rsid w:val="005325BC"/>
    <w:rsid w:val="00543F6B"/>
    <w:rsid w:val="00554FE8"/>
    <w:rsid w:val="00562B6D"/>
    <w:rsid w:val="005774BB"/>
    <w:rsid w:val="005A224F"/>
    <w:rsid w:val="005A5715"/>
    <w:rsid w:val="005B5C55"/>
    <w:rsid w:val="005B7B39"/>
    <w:rsid w:val="005C18A6"/>
    <w:rsid w:val="005C5DBF"/>
    <w:rsid w:val="005D3D26"/>
    <w:rsid w:val="005D7E77"/>
    <w:rsid w:val="005E73E8"/>
    <w:rsid w:val="005F4591"/>
    <w:rsid w:val="005F5810"/>
    <w:rsid w:val="00611FDE"/>
    <w:rsid w:val="006216A1"/>
    <w:rsid w:val="006323A8"/>
    <w:rsid w:val="0064268E"/>
    <w:rsid w:val="00650644"/>
    <w:rsid w:val="0065167F"/>
    <w:rsid w:val="00665F9F"/>
    <w:rsid w:val="006944AA"/>
    <w:rsid w:val="006A7844"/>
    <w:rsid w:val="006B08FC"/>
    <w:rsid w:val="006D774A"/>
    <w:rsid w:val="006E333D"/>
    <w:rsid w:val="006E3F4E"/>
    <w:rsid w:val="006E62EF"/>
    <w:rsid w:val="006E788A"/>
    <w:rsid w:val="00725260"/>
    <w:rsid w:val="0073691C"/>
    <w:rsid w:val="00736A80"/>
    <w:rsid w:val="00744F05"/>
    <w:rsid w:val="00746CCD"/>
    <w:rsid w:val="0074746A"/>
    <w:rsid w:val="00752A09"/>
    <w:rsid w:val="007560AD"/>
    <w:rsid w:val="007621B2"/>
    <w:rsid w:val="0076285C"/>
    <w:rsid w:val="0076786A"/>
    <w:rsid w:val="00770E51"/>
    <w:rsid w:val="007739DD"/>
    <w:rsid w:val="00776520"/>
    <w:rsid w:val="00780005"/>
    <w:rsid w:val="00782A51"/>
    <w:rsid w:val="00782C0B"/>
    <w:rsid w:val="00792983"/>
    <w:rsid w:val="00797D22"/>
    <w:rsid w:val="007D62E8"/>
    <w:rsid w:val="007E47BB"/>
    <w:rsid w:val="007F0BB3"/>
    <w:rsid w:val="007F42F5"/>
    <w:rsid w:val="00807023"/>
    <w:rsid w:val="00807083"/>
    <w:rsid w:val="00820228"/>
    <w:rsid w:val="0083418F"/>
    <w:rsid w:val="0084629C"/>
    <w:rsid w:val="00886A57"/>
    <w:rsid w:val="008949D2"/>
    <w:rsid w:val="008B163D"/>
    <w:rsid w:val="008C50FD"/>
    <w:rsid w:val="008D484C"/>
    <w:rsid w:val="008D554C"/>
    <w:rsid w:val="008D657B"/>
    <w:rsid w:val="008E60D2"/>
    <w:rsid w:val="008F48FA"/>
    <w:rsid w:val="0091476E"/>
    <w:rsid w:val="00915A7B"/>
    <w:rsid w:val="00925A62"/>
    <w:rsid w:val="009412D9"/>
    <w:rsid w:val="00943663"/>
    <w:rsid w:val="00951F73"/>
    <w:rsid w:val="009543BC"/>
    <w:rsid w:val="00957628"/>
    <w:rsid w:val="00962E2A"/>
    <w:rsid w:val="00975B97"/>
    <w:rsid w:val="009851A4"/>
    <w:rsid w:val="00986F77"/>
    <w:rsid w:val="009A0D9F"/>
    <w:rsid w:val="009A7C95"/>
    <w:rsid w:val="009B0A2F"/>
    <w:rsid w:val="009B3AF7"/>
    <w:rsid w:val="009C29DA"/>
    <w:rsid w:val="009C702B"/>
    <w:rsid w:val="009D1A86"/>
    <w:rsid w:val="009D2AE6"/>
    <w:rsid w:val="009D7F5B"/>
    <w:rsid w:val="009E0278"/>
    <w:rsid w:val="00A0042E"/>
    <w:rsid w:val="00A07BE4"/>
    <w:rsid w:val="00A16AA2"/>
    <w:rsid w:val="00A31F21"/>
    <w:rsid w:val="00A40DD6"/>
    <w:rsid w:val="00A45103"/>
    <w:rsid w:val="00A50577"/>
    <w:rsid w:val="00A60F83"/>
    <w:rsid w:val="00A6422D"/>
    <w:rsid w:val="00A72908"/>
    <w:rsid w:val="00A7790A"/>
    <w:rsid w:val="00A8682A"/>
    <w:rsid w:val="00A97E87"/>
    <w:rsid w:val="00AA31C1"/>
    <w:rsid w:val="00AB4846"/>
    <w:rsid w:val="00AB64AB"/>
    <w:rsid w:val="00AE0DDD"/>
    <w:rsid w:val="00AE26F0"/>
    <w:rsid w:val="00AF02ED"/>
    <w:rsid w:val="00B032EE"/>
    <w:rsid w:val="00B0539F"/>
    <w:rsid w:val="00B062A9"/>
    <w:rsid w:val="00B15354"/>
    <w:rsid w:val="00B153F3"/>
    <w:rsid w:val="00B32462"/>
    <w:rsid w:val="00B4133F"/>
    <w:rsid w:val="00B47771"/>
    <w:rsid w:val="00B50332"/>
    <w:rsid w:val="00B701B3"/>
    <w:rsid w:val="00B82A37"/>
    <w:rsid w:val="00B8307F"/>
    <w:rsid w:val="00BA211F"/>
    <w:rsid w:val="00BA4B2A"/>
    <w:rsid w:val="00BB1C3C"/>
    <w:rsid w:val="00C03B53"/>
    <w:rsid w:val="00C044F2"/>
    <w:rsid w:val="00C04FDF"/>
    <w:rsid w:val="00C0552F"/>
    <w:rsid w:val="00C405F6"/>
    <w:rsid w:val="00C41EFE"/>
    <w:rsid w:val="00C5038B"/>
    <w:rsid w:val="00C52BFC"/>
    <w:rsid w:val="00C52D41"/>
    <w:rsid w:val="00C57469"/>
    <w:rsid w:val="00C63100"/>
    <w:rsid w:val="00C646A2"/>
    <w:rsid w:val="00C763D3"/>
    <w:rsid w:val="00C766D4"/>
    <w:rsid w:val="00C76D7D"/>
    <w:rsid w:val="00C80C45"/>
    <w:rsid w:val="00C85762"/>
    <w:rsid w:val="00C86907"/>
    <w:rsid w:val="00C87BA1"/>
    <w:rsid w:val="00CB0EF9"/>
    <w:rsid w:val="00CB4C79"/>
    <w:rsid w:val="00CB798B"/>
    <w:rsid w:val="00CC2461"/>
    <w:rsid w:val="00CE0D56"/>
    <w:rsid w:val="00D02190"/>
    <w:rsid w:val="00D10A79"/>
    <w:rsid w:val="00D13FAB"/>
    <w:rsid w:val="00D202D9"/>
    <w:rsid w:val="00D41890"/>
    <w:rsid w:val="00D54D45"/>
    <w:rsid w:val="00D66017"/>
    <w:rsid w:val="00D66AA6"/>
    <w:rsid w:val="00D96FE9"/>
    <w:rsid w:val="00DA2F24"/>
    <w:rsid w:val="00DB34A8"/>
    <w:rsid w:val="00DB5C20"/>
    <w:rsid w:val="00DC4465"/>
    <w:rsid w:val="00DC58B4"/>
    <w:rsid w:val="00DC5E1C"/>
    <w:rsid w:val="00DC7E59"/>
    <w:rsid w:val="00DD2A1A"/>
    <w:rsid w:val="00DF28BF"/>
    <w:rsid w:val="00DF2981"/>
    <w:rsid w:val="00DF6194"/>
    <w:rsid w:val="00E0006B"/>
    <w:rsid w:val="00E07E70"/>
    <w:rsid w:val="00E1436B"/>
    <w:rsid w:val="00E21438"/>
    <w:rsid w:val="00E2192A"/>
    <w:rsid w:val="00E30F19"/>
    <w:rsid w:val="00E4431A"/>
    <w:rsid w:val="00E87391"/>
    <w:rsid w:val="00E91CDF"/>
    <w:rsid w:val="00E97C9A"/>
    <w:rsid w:val="00EA0903"/>
    <w:rsid w:val="00EA18A3"/>
    <w:rsid w:val="00EB679A"/>
    <w:rsid w:val="00EC1E0A"/>
    <w:rsid w:val="00ED1ECC"/>
    <w:rsid w:val="00EE5B18"/>
    <w:rsid w:val="00EE6DB1"/>
    <w:rsid w:val="00EF501F"/>
    <w:rsid w:val="00EF7C97"/>
    <w:rsid w:val="00F07759"/>
    <w:rsid w:val="00F11A2C"/>
    <w:rsid w:val="00F11A42"/>
    <w:rsid w:val="00F413A3"/>
    <w:rsid w:val="00F41A5B"/>
    <w:rsid w:val="00F80C39"/>
    <w:rsid w:val="00F91AAD"/>
    <w:rsid w:val="00FB10B0"/>
    <w:rsid w:val="00FC226E"/>
    <w:rsid w:val="00FD1FD5"/>
    <w:rsid w:val="00FD5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20DD0"/>
  <w15:chartTrackingRefBased/>
  <w15:docId w15:val="{0AE46050-5488-4991-B541-0919225A4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2A09"/>
    <w:pPr>
      <w:spacing w:after="200" w:line="276" w:lineRule="auto"/>
    </w:pPr>
    <w:rPr>
      <w:lang w:val="ru-RU"/>
    </w:rPr>
  </w:style>
  <w:style w:type="paragraph" w:styleId="3">
    <w:name w:val="heading 3"/>
    <w:basedOn w:val="a"/>
    <w:link w:val="30"/>
    <w:uiPriority w:val="9"/>
    <w:qFormat/>
    <w:rsid w:val="003737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189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3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3737EF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4">
    <w:name w:val="Normal (Web)"/>
    <w:basedOn w:val="a"/>
    <w:uiPriority w:val="99"/>
    <w:unhideWhenUsed/>
    <w:rsid w:val="00373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34"/>
    <w:qFormat/>
    <w:rsid w:val="003737EF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3176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176A7"/>
    <w:rPr>
      <w:rFonts w:ascii="Segoe UI" w:hAnsi="Segoe UI" w:cs="Segoe UI"/>
      <w:sz w:val="18"/>
      <w:szCs w:val="18"/>
      <w:lang w:val="ru-RU"/>
    </w:rPr>
  </w:style>
  <w:style w:type="paragraph" w:customStyle="1" w:styleId="rvps2">
    <w:name w:val="rvps2"/>
    <w:basedOn w:val="a"/>
    <w:rsid w:val="00D41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sid w:val="00D41890"/>
    <w:rPr>
      <w:rFonts w:asciiTheme="majorHAnsi" w:eastAsiaTheme="majorEastAsia" w:hAnsiTheme="majorHAnsi" w:cstheme="majorBidi"/>
      <w:i/>
      <w:iCs/>
      <w:color w:val="1F3763" w:themeColor="accent1" w:themeShade="7F"/>
      <w:lang w:val="ru-RU"/>
    </w:rPr>
  </w:style>
  <w:style w:type="paragraph" w:styleId="a8">
    <w:name w:val="Body Text"/>
    <w:basedOn w:val="a"/>
    <w:link w:val="a9"/>
    <w:uiPriority w:val="1"/>
    <w:qFormat/>
    <w:rsid w:val="001825B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9">
    <w:name w:val="Основний текст Знак"/>
    <w:basedOn w:val="a0"/>
    <w:link w:val="a8"/>
    <w:uiPriority w:val="1"/>
    <w:rsid w:val="001825B5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uiPriority w:val="99"/>
    <w:semiHidden/>
    <w:unhideWhenUsed/>
    <w:rsid w:val="003302D6"/>
    <w:rPr>
      <w:color w:val="0000FF"/>
      <w:u w:val="single"/>
    </w:rPr>
  </w:style>
  <w:style w:type="character" w:customStyle="1" w:styleId="rvts40">
    <w:name w:val="rvts40"/>
    <w:basedOn w:val="a0"/>
    <w:rsid w:val="00330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6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file/imgs/93/p461905n222-5.emf" TargetMode="External"/><Relationship Id="rId13" Type="http://schemas.openxmlformats.org/officeDocument/2006/relationships/image" Target="media/image4.gif"/><Relationship Id="rId18" Type="http://schemas.openxmlformats.org/officeDocument/2006/relationships/hyperlink" Target="https://zakon.rada.gov.ua/laws/file/imgs/93/p461905n227v1-10.bmp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8.gif"/><Relationship Id="rId7" Type="http://schemas.openxmlformats.org/officeDocument/2006/relationships/image" Target="media/image1.gif"/><Relationship Id="rId12" Type="http://schemas.openxmlformats.org/officeDocument/2006/relationships/hyperlink" Target="https://zakon.rada.gov.ua/laws/file/imgs/93/p461905n224v1-7.bmp" TargetMode="External"/><Relationship Id="rId17" Type="http://schemas.openxmlformats.org/officeDocument/2006/relationships/image" Target="media/image6.gif"/><Relationship Id="rId25" Type="http://schemas.openxmlformats.org/officeDocument/2006/relationships/image" Target="media/image10.gif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file/imgs/93/p461905n226v1-9.bmp" TargetMode="External"/><Relationship Id="rId20" Type="http://schemas.openxmlformats.org/officeDocument/2006/relationships/hyperlink" Target="https://zakon.rada.gov.ua/laws/file/imgs/93/p461905n228v1-11.em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file/imgs/93/p461905n221v1-4.bmp" TargetMode="External"/><Relationship Id="rId11" Type="http://schemas.openxmlformats.org/officeDocument/2006/relationships/image" Target="media/image3.gif"/><Relationship Id="rId24" Type="http://schemas.openxmlformats.org/officeDocument/2006/relationships/hyperlink" Target="https://zakon.rada.gov.ua/laws/file/imgs/93/p461905n229v1-13.bmp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gif"/><Relationship Id="rId23" Type="http://schemas.openxmlformats.org/officeDocument/2006/relationships/image" Target="media/image9.gif"/><Relationship Id="rId10" Type="http://schemas.openxmlformats.org/officeDocument/2006/relationships/hyperlink" Target="https://zakon.rada.gov.ua/laws/file/imgs/93/p461905n223v1-6.bmp" TargetMode="External"/><Relationship Id="rId19" Type="http://schemas.openxmlformats.org/officeDocument/2006/relationships/image" Target="media/image7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hyperlink" Target="https://zakon.rada.gov.ua/laws/file/imgs/93/p461905n225v1-8.bmp" TargetMode="External"/><Relationship Id="rId22" Type="http://schemas.openxmlformats.org/officeDocument/2006/relationships/hyperlink" Target="https://zakon.rada.gov.ua/laws/file/imgs/83/p461905n228v1-12.emf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656E2-4069-47C7-91C4-9B8189A90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10</Pages>
  <Words>9978</Words>
  <Characters>5688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15635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Кулажина</dc:creator>
  <cp:keywords/>
  <dc:description/>
  <cp:lastModifiedBy>Ірина Станкевич</cp:lastModifiedBy>
  <cp:revision>87</cp:revision>
  <cp:lastPrinted>2024-06-25T07:44:00Z</cp:lastPrinted>
  <dcterms:created xsi:type="dcterms:W3CDTF">2024-09-13T08:07:00Z</dcterms:created>
  <dcterms:modified xsi:type="dcterms:W3CDTF">2024-10-23T09:29:00Z</dcterms:modified>
</cp:coreProperties>
</file>