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98403" w14:textId="335221A9" w:rsidR="00992E46" w:rsidRPr="00912B53" w:rsidRDefault="00142FB7" w:rsidP="003D323E">
      <w:pPr>
        <w:shd w:val="clear" w:color="auto" w:fill="FFFFFF"/>
        <w:tabs>
          <w:tab w:val="left" w:pos="14459"/>
        </w:tabs>
        <w:spacing w:after="0" w:line="240" w:lineRule="auto"/>
        <w:ind w:right="-3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bookmarkStart w:id="0" w:name="n281"/>
      <w:bookmarkEnd w:id="0"/>
      <w:r w:rsidRPr="00912B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uk-UA"/>
        </w:rPr>
        <w:t xml:space="preserve">Таблиця узгоджених позицій до </w:t>
      </w:r>
      <w:proofErr w:type="spellStart"/>
      <w:r w:rsidRPr="00912B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uk-UA"/>
        </w:rPr>
        <w:t>проєкту</w:t>
      </w:r>
      <w:proofErr w:type="spellEnd"/>
      <w:r w:rsidRPr="00912B5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 </w:t>
      </w:r>
      <w:r w:rsidR="00135205" w:rsidRPr="00912B53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постанови НКРЕКП «</w:t>
      </w:r>
      <w:r w:rsidR="003D323E" w:rsidRPr="00912B53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Про внесення зміни до постанови НКРЕКП від </w:t>
      </w:r>
      <w:r w:rsidR="00AC7E1A">
        <w:rPr>
          <w:rFonts w:ascii="Times New Roman" w:hAnsi="Times New Roman" w:cs="Times New Roman"/>
          <w:b/>
          <w:color w:val="000000" w:themeColor="text1"/>
          <w:sz w:val="28"/>
          <w:szCs w:val="24"/>
        </w:rPr>
        <w:br/>
      </w:r>
      <w:r w:rsidR="003D323E" w:rsidRPr="00912B53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24 грудня 2019 року № 3013</w:t>
      </w:r>
      <w:r w:rsidR="00135205" w:rsidRPr="00912B53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»</w:t>
      </w:r>
      <w:r w:rsidR="00CD0B24" w:rsidRPr="00912B53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(далі – Проєкт постанови)</w:t>
      </w:r>
    </w:p>
    <w:p w14:paraId="0374FC7B" w14:textId="77777777" w:rsidR="00142FB7" w:rsidRPr="00912B53" w:rsidRDefault="00142FB7" w:rsidP="003D323E">
      <w:pPr>
        <w:shd w:val="clear" w:color="auto" w:fill="FFFFFF"/>
        <w:tabs>
          <w:tab w:val="left" w:pos="14459"/>
        </w:tabs>
        <w:spacing w:after="0" w:line="240" w:lineRule="auto"/>
        <w:ind w:right="-30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tbl>
      <w:tblPr>
        <w:tblStyle w:val="a3"/>
        <w:tblW w:w="16021" w:type="dxa"/>
        <w:jc w:val="center"/>
        <w:tblLayout w:type="fixed"/>
        <w:tblLook w:val="04A0" w:firstRow="1" w:lastRow="0" w:firstColumn="1" w:lastColumn="0" w:noHBand="0" w:noVBand="1"/>
      </w:tblPr>
      <w:tblGrid>
        <w:gridCol w:w="6377"/>
        <w:gridCol w:w="4958"/>
        <w:gridCol w:w="4686"/>
      </w:tblGrid>
      <w:tr w:rsidR="00912B53" w:rsidRPr="00912B53" w14:paraId="4E3CF29A" w14:textId="77777777" w:rsidTr="004E3C14">
        <w:trPr>
          <w:jc w:val="center"/>
        </w:trPr>
        <w:tc>
          <w:tcPr>
            <w:tcW w:w="6377" w:type="dxa"/>
            <w:vAlign w:val="center"/>
          </w:tcPr>
          <w:p w14:paraId="29461D10" w14:textId="2DBAA5A5" w:rsidR="00135205" w:rsidRPr="00912B53" w:rsidRDefault="00142FB7" w:rsidP="00142FB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uk-UA"/>
              </w:rPr>
            </w:pPr>
            <w:r w:rsidRPr="00912B5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Редакція спірної частини проекту рішення/частини проекту рішення</w:t>
            </w:r>
          </w:p>
        </w:tc>
        <w:tc>
          <w:tcPr>
            <w:tcW w:w="4958" w:type="dxa"/>
            <w:vAlign w:val="center"/>
          </w:tcPr>
          <w:p w14:paraId="7CE2157D" w14:textId="588FCEE1" w:rsidR="00135205" w:rsidRPr="00912B53" w:rsidRDefault="00135205" w:rsidP="00142FB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uk-UA"/>
              </w:rPr>
            </w:pPr>
            <w:r w:rsidRPr="00912B5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Зауваження та пропозиції</w:t>
            </w:r>
          </w:p>
        </w:tc>
        <w:tc>
          <w:tcPr>
            <w:tcW w:w="4686" w:type="dxa"/>
            <w:vAlign w:val="center"/>
          </w:tcPr>
          <w:p w14:paraId="085F61F0" w14:textId="4ED6B94B" w:rsidR="00135205" w:rsidRPr="00912B53" w:rsidRDefault="00142FB7" w:rsidP="00142FB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uk-UA"/>
              </w:rPr>
            </w:pPr>
            <w:r w:rsidRPr="00912B5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Спосіб врахування або мотиви відхилення зауважень (пропозицій)</w:t>
            </w:r>
          </w:p>
        </w:tc>
      </w:tr>
      <w:tr w:rsidR="00912B53" w:rsidRPr="00912B53" w14:paraId="40AB2F81" w14:textId="77777777" w:rsidTr="00142FB7">
        <w:trPr>
          <w:jc w:val="center"/>
        </w:trPr>
        <w:tc>
          <w:tcPr>
            <w:tcW w:w="6377" w:type="dxa"/>
            <w:vMerge w:val="restart"/>
          </w:tcPr>
          <w:p w14:paraId="19918647" w14:textId="77777777" w:rsidR="00912B53" w:rsidRPr="00912B53" w:rsidRDefault="00912B53" w:rsidP="00142FB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12B53">
              <w:rPr>
                <w:rFonts w:ascii="Times New Roman" w:hAnsi="Times New Roman" w:cs="Times New Roman"/>
                <w:noProof/>
                <w:color w:val="000000" w:themeColor="text1"/>
                <w:sz w:val="20"/>
              </w:rPr>
              <w:drawing>
                <wp:inline distT="0" distB="0" distL="0" distR="0" wp14:anchorId="7FD17E9D" wp14:editId="22F351BC">
                  <wp:extent cx="502920" cy="7010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D92004" w14:textId="77777777" w:rsidR="00912B53" w:rsidRPr="00912B53" w:rsidRDefault="00912B53" w:rsidP="00142FB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  <w:p w14:paraId="6AAE2B91" w14:textId="77777777" w:rsidR="00912B53" w:rsidRPr="00912B53" w:rsidRDefault="00912B53" w:rsidP="00142F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8"/>
                <w:lang w:val="uk-UA"/>
              </w:rPr>
            </w:pPr>
            <w:r w:rsidRPr="00912B53">
              <w:rPr>
                <w:rFonts w:ascii="Times New Roman" w:hAnsi="Times New Roman" w:cs="Times New Roman"/>
                <w:b/>
                <w:color w:val="000000" w:themeColor="text1"/>
                <w:szCs w:val="28"/>
                <w:lang w:val="uk-UA"/>
              </w:rPr>
              <w:t xml:space="preserve">НАЦІОНАЛЬНА КОМІСІЯ, ЩО ЗДІЙСНЮЄ ДЕРЖАВНЕ </w:t>
            </w:r>
          </w:p>
          <w:p w14:paraId="36CA4C18" w14:textId="77777777" w:rsidR="00912B53" w:rsidRPr="00912B53" w:rsidRDefault="00912B53" w:rsidP="00142F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8"/>
                <w:lang w:val="uk-UA"/>
              </w:rPr>
            </w:pPr>
            <w:r w:rsidRPr="00912B53">
              <w:rPr>
                <w:rFonts w:ascii="Times New Roman" w:hAnsi="Times New Roman" w:cs="Times New Roman"/>
                <w:b/>
                <w:color w:val="000000" w:themeColor="text1"/>
                <w:szCs w:val="28"/>
                <w:lang w:val="uk-UA"/>
              </w:rPr>
              <w:t xml:space="preserve">РЕГУЛЮВАННЯ У СФЕРАХ ЕНЕРГЕТИКИ </w:t>
            </w:r>
          </w:p>
          <w:p w14:paraId="09D5F636" w14:textId="77777777" w:rsidR="00912B53" w:rsidRPr="00912B53" w:rsidRDefault="00912B53" w:rsidP="00142F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8"/>
                <w:lang w:val="uk-UA"/>
              </w:rPr>
            </w:pPr>
            <w:r w:rsidRPr="00912B53">
              <w:rPr>
                <w:rFonts w:ascii="Times New Roman" w:hAnsi="Times New Roman" w:cs="Times New Roman"/>
                <w:b/>
                <w:color w:val="000000" w:themeColor="text1"/>
                <w:szCs w:val="28"/>
                <w:lang w:val="uk-UA"/>
              </w:rPr>
              <w:t>ТА КОМУНАЛЬНИХ ПОСЛУГ</w:t>
            </w:r>
          </w:p>
          <w:p w14:paraId="70531FA6" w14:textId="77777777" w:rsidR="00912B53" w:rsidRPr="00912B53" w:rsidRDefault="00912B53" w:rsidP="00142F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8"/>
                <w:u w:val="single"/>
                <w:lang w:val="uk-UA"/>
              </w:rPr>
            </w:pPr>
            <w:r w:rsidRPr="00912B53">
              <w:rPr>
                <w:rFonts w:ascii="Times New Roman" w:hAnsi="Times New Roman" w:cs="Times New Roman"/>
                <w:b/>
                <w:color w:val="000000" w:themeColor="text1"/>
                <w:szCs w:val="28"/>
                <w:lang w:val="uk-UA"/>
              </w:rPr>
              <w:t>(НКРЕКП)</w:t>
            </w:r>
          </w:p>
          <w:p w14:paraId="3FF21FB0" w14:textId="77777777" w:rsidR="00912B53" w:rsidRPr="00912B53" w:rsidRDefault="00912B53" w:rsidP="00142FB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40"/>
                <w:szCs w:val="28"/>
                <w:lang w:val="uk-UA"/>
              </w:rPr>
            </w:pPr>
          </w:p>
          <w:p w14:paraId="46B66A7E" w14:textId="77777777" w:rsidR="00912B53" w:rsidRPr="00912B53" w:rsidRDefault="00912B53" w:rsidP="00142F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32"/>
                <w:sz w:val="32"/>
                <w:szCs w:val="32"/>
                <w:lang w:val="uk-UA"/>
              </w:rPr>
            </w:pPr>
            <w:r w:rsidRPr="00912B53">
              <w:rPr>
                <w:rFonts w:ascii="Times New Roman" w:hAnsi="Times New Roman" w:cs="Times New Roman"/>
                <w:b/>
                <w:color w:val="000000" w:themeColor="text1"/>
                <w:spacing w:val="32"/>
                <w:sz w:val="32"/>
                <w:szCs w:val="32"/>
                <w:lang w:val="uk-UA"/>
              </w:rPr>
              <w:t>ПОСТАНОВА</w:t>
            </w:r>
          </w:p>
          <w:p w14:paraId="5F204F85" w14:textId="77777777" w:rsidR="00912B53" w:rsidRPr="00912B53" w:rsidRDefault="00912B53" w:rsidP="00142FB7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12B53">
              <w:rPr>
                <w:rFonts w:ascii="Times New Roman" w:hAnsi="Times New Roman" w:cs="Times New Roman"/>
                <w:color w:val="000000" w:themeColor="text1"/>
                <w:lang w:val="uk-UA"/>
              </w:rPr>
              <w:tab/>
            </w:r>
            <w:r w:rsidRPr="00912B53">
              <w:rPr>
                <w:rFonts w:ascii="Times New Roman" w:hAnsi="Times New Roman" w:cs="Times New Roman"/>
                <w:color w:val="000000" w:themeColor="text1"/>
                <w:lang w:val="uk-UA"/>
              </w:rPr>
              <w:tab/>
            </w:r>
            <w:r w:rsidRPr="00912B53">
              <w:rPr>
                <w:rFonts w:ascii="Times New Roman" w:hAnsi="Times New Roman" w:cs="Times New Roman"/>
                <w:color w:val="000000" w:themeColor="text1"/>
                <w:lang w:val="uk-UA"/>
              </w:rPr>
              <w:tab/>
            </w:r>
            <w:r w:rsidRPr="00912B53">
              <w:rPr>
                <w:rFonts w:ascii="Times New Roman" w:hAnsi="Times New Roman" w:cs="Times New Roman"/>
                <w:color w:val="000000" w:themeColor="text1"/>
                <w:lang w:val="uk-UA"/>
              </w:rPr>
              <w:tab/>
            </w:r>
            <w:r w:rsidRPr="00912B53">
              <w:rPr>
                <w:rFonts w:ascii="Times New Roman" w:hAnsi="Times New Roman" w:cs="Times New Roman"/>
                <w:color w:val="000000" w:themeColor="text1"/>
                <w:lang w:val="uk-UA"/>
              </w:rPr>
              <w:tab/>
            </w:r>
          </w:p>
          <w:p w14:paraId="759782CC" w14:textId="77777777" w:rsidR="00912B53" w:rsidRPr="00912B53" w:rsidRDefault="00912B53" w:rsidP="00142FB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40"/>
                <w:sz w:val="24"/>
                <w:lang w:val="uk-UA"/>
              </w:rPr>
            </w:pPr>
          </w:p>
          <w:p w14:paraId="5081B203" w14:textId="27369A20" w:rsidR="00912B53" w:rsidRPr="00912B53" w:rsidRDefault="00912B53" w:rsidP="00142F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uk-UA"/>
              </w:rPr>
            </w:pPr>
            <w:r w:rsidRPr="00912B53">
              <w:rPr>
                <w:rFonts w:ascii="Times New Roman" w:hAnsi="Times New Roman" w:cs="Times New Roman"/>
                <w:color w:val="000000" w:themeColor="text1"/>
                <w:sz w:val="24"/>
                <w:lang w:val="uk-UA"/>
              </w:rPr>
              <w:t>__________                                                 № __________</w:t>
            </w:r>
          </w:p>
          <w:p w14:paraId="1A96F821" w14:textId="77777777" w:rsidR="00912B53" w:rsidRPr="00912B53" w:rsidRDefault="00912B53" w:rsidP="00142F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12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Київ</w:t>
            </w:r>
          </w:p>
          <w:p w14:paraId="2CB9D811" w14:textId="77777777" w:rsidR="00912B53" w:rsidRPr="00912B53" w:rsidRDefault="00912B53" w:rsidP="00142FB7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40"/>
                <w:sz w:val="24"/>
                <w:lang w:val="uk-UA"/>
              </w:rPr>
            </w:pPr>
          </w:p>
          <w:p w14:paraId="70A2C1FD" w14:textId="77777777" w:rsidR="00912B53" w:rsidRPr="00912B53" w:rsidRDefault="00912B53" w:rsidP="00142FB7">
            <w:pPr>
              <w:tabs>
                <w:tab w:val="left" w:pos="4111"/>
              </w:tabs>
              <w:ind w:left="164" w:right="386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uk-UA"/>
              </w:rPr>
            </w:pPr>
            <w:r w:rsidRPr="00912B53">
              <w:rPr>
                <w:rFonts w:ascii="Times New Roman" w:hAnsi="Times New Roman" w:cs="Times New Roman"/>
                <w:color w:val="000000" w:themeColor="text1"/>
                <w:sz w:val="24"/>
                <w:lang w:val="uk-UA"/>
              </w:rPr>
              <w:t>Про внесення зміни до  постанови НКРЕКП від 24 грудня 2019 року № 3013</w:t>
            </w:r>
          </w:p>
          <w:p w14:paraId="2EF9017F" w14:textId="77777777" w:rsidR="00912B53" w:rsidRPr="00912B53" w:rsidRDefault="00912B53" w:rsidP="00142FB7">
            <w:pPr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</w:p>
          <w:p w14:paraId="21BB1EE9" w14:textId="77777777" w:rsidR="00912B53" w:rsidRPr="00912B53" w:rsidRDefault="00912B53" w:rsidP="00142FB7">
            <w:pPr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912B53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lastRenderedPageBreak/>
              <w:t>Відповідно до законів України «Про ринок природного газу», «Про природні монополії», «Про Національну комісію, що здійснює державне регулювання у сферах енергетики та комунальних послуг» та Методики визначення та розрахунку тарифів на послуги транспортування природного газу для точок входу і точок виходу на основі багаторічного стимулюючого регулювання, затвердженої постановою НКРЕКП від 30 вересня 2015 року № 2517, зареєстрованої в Міністерстві юстиції України 06 листопада 2015 року за № 1388/27833, Національна комісія, що здійснює державне регулювання у сферах енергетики та комунальних послуг,</w:t>
            </w:r>
          </w:p>
          <w:p w14:paraId="102487F6" w14:textId="77777777" w:rsidR="00912B53" w:rsidRPr="00912B53" w:rsidRDefault="00912B53" w:rsidP="00142FB7">
            <w:pPr>
              <w:pStyle w:val="a8"/>
              <w:jc w:val="left"/>
              <w:rPr>
                <w:color w:val="000000" w:themeColor="text1"/>
                <w:sz w:val="16"/>
                <w:szCs w:val="16"/>
                <w:lang w:val="uk-UA"/>
              </w:rPr>
            </w:pPr>
          </w:p>
          <w:p w14:paraId="6480AFB2" w14:textId="77777777" w:rsidR="00912B53" w:rsidRPr="00912B53" w:rsidRDefault="00912B53" w:rsidP="00142FB7">
            <w:pPr>
              <w:pStyle w:val="a8"/>
              <w:ind w:firstLine="0"/>
              <w:rPr>
                <w:b/>
                <w:color w:val="000000" w:themeColor="text1"/>
                <w:lang w:val="uk-UA"/>
              </w:rPr>
            </w:pPr>
            <w:r w:rsidRPr="00912B53">
              <w:rPr>
                <w:b/>
                <w:color w:val="000000" w:themeColor="text1"/>
                <w:lang w:val="uk-UA"/>
              </w:rPr>
              <w:t>ПОСТАНОВЛЯЄ:</w:t>
            </w:r>
          </w:p>
          <w:p w14:paraId="37E13CDF" w14:textId="77777777" w:rsidR="00912B53" w:rsidRPr="00912B53" w:rsidRDefault="00912B53" w:rsidP="00142FB7">
            <w:pPr>
              <w:pStyle w:val="a8"/>
              <w:tabs>
                <w:tab w:val="left" w:pos="993"/>
              </w:tabs>
              <w:spacing w:before="240"/>
              <w:ind w:firstLine="720"/>
              <w:rPr>
                <w:color w:val="000000" w:themeColor="text1"/>
                <w:sz w:val="24"/>
                <w:lang w:val="uk-UA"/>
              </w:rPr>
            </w:pPr>
            <w:r w:rsidRPr="00912B53">
              <w:rPr>
                <w:color w:val="000000" w:themeColor="text1"/>
                <w:sz w:val="24"/>
                <w:lang w:val="uk-UA"/>
              </w:rPr>
              <w:t>1. В абзаці четвертому пункту 4 постановляючої частини постанови Національної комісії, що здійснює державне регулювання у сферах енергетики та комунальних послуг, від 24 грудня 2019 року № 3013 «Про встановлення тарифів для ТОВ «ОПЕРАТОР ГТС УКРАЇНИ» на послуги транспортування природного газу для точок входу і точок виходу на регуляторний період 2020 – 2024 роки» після слів, цифр та знаку «газового року 2020 – 2021» доповнити словами, цифрами та знаком «та газового року 2024 – 2025».</w:t>
            </w:r>
          </w:p>
          <w:p w14:paraId="56E8FE7E" w14:textId="77777777" w:rsidR="00912B53" w:rsidRPr="00912B53" w:rsidRDefault="00912B53" w:rsidP="00142FB7">
            <w:pPr>
              <w:pStyle w:val="a8"/>
              <w:tabs>
                <w:tab w:val="left" w:pos="993"/>
              </w:tabs>
              <w:ind w:right="142" w:firstLine="720"/>
              <w:rPr>
                <w:color w:val="000000" w:themeColor="text1"/>
                <w:sz w:val="24"/>
                <w:lang w:val="uk-UA"/>
              </w:rPr>
            </w:pPr>
          </w:p>
          <w:p w14:paraId="43780C8D" w14:textId="77777777" w:rsidR="00912B53" w:rsidRPr="00912B53" w:rsidRDefault="00912B53" w:rsidP="00142FB7">
            <w:pPr>
              <w:pStyle w:val="a8"/>
              <w:tabs>
                <w:tab w:val="left" w:pos="993"/>
              </w:tabs>
              <w:ind w:firstLine="709"/>
              <w:rPr>
                <w:color w:val="000000" w:themeColor="text1"/>
                <w:sz w:val="24"/>
                <w:lang w:val="uk-UA"/>
              </w:rPr>
            </w:pPr>
            <w:r w:rsidRPr="00912B53">
              <w:rPr>
                <w:color w:val="000000" w:themeColor="text1"/>
                <w:sz w:val="24"/>
                <w:lang w:val="uk-UA"/>
              </w:rPr>
              <w:t>2. Ця постанова набирає чинності з дня, наступного за днем її оприлюднення на офіційному вебсайті Національної комісії, що здійснює державне регулювання у сферах енергетики та комунальних послуг.</w:t>
            </w:r>
          </w:p>
          <w:p w14:paraId="6F8662D3" w14:textId="77777777" w:rsidR="00912B53" w:rsidRPr="00912B53" w:rsidRDefault="00912B53" w:rsidP="00142FB7">
            <w:pPr>
              <w:pStyle w:val="a8"/>
              <w:tabs>
                <w:tab w:val="left" w:pos="993"/>
              </w:tabs>
              <w:ind w:firstLine="720"/>
              <w:rPr>
                <w:color w:val="000000" w:themeColor="text1"/>
                <w:sz w:val="24"/>
                <w:lang w:val="uk-UA"/>
              </w:rPr>
            </w:pPr>
          </w:p>
          <w:p w14:paraId="118A1E2F" w14:textId="77777777" w:rsidR="00912B53" w:rsidRPr="00912B53" w:rsidRDefault="00912B53" w:rsidP="00142FB7">
            <w:pPr>
              <w:pStyle w:val="a8"/>
              <w:tabs>
                <w:tab w:val="left" w:pos="993"/>
              </w:tabs>
              <w:ind w:firstLine="720"/>
              <w:rPr>
                <w:color w:val="000000" w:themeColor="text1"/>
                <w:sz w:val="24"/>
                <w:lang w:val="uk-UA"/>
              </w:rPr>
            </w:pPr>
          </w:p>
          <w:p w14:paraId="7AB4A958" w14:textId="5CB3F378" w:rsidR="00912B53" w:rsidRPr="00912B53" w:rsidRDefault="00912B53" w:rsidP="00142FB7">
            <w:pPr>
              <w:pStyle w:val="a8"/>
              <w:tabs>
                <w:tab w:val="left" w:pos="993"/>
              </w:tabs>
              <w:ind w:firstLine="0"/>
              <w:rPr>
                <w:color w:val="000000" w:themeColor="text1"/>
                <w:sz w:val="24"/>
                <w:lang w:val="uk-UA"/>
              </w:rPr>
            </w:pPr>
            <w:r w:rsidRPr="00912B53">
              <w:rPr>
                <w:color w:val="000000" w:themeColor="text1"/>
                <w:sz w:val="24"/>
                <w:lang w:val="uk-UA"/>
              </w:rPr>
              <w:t xml:space="preserve">Голова НКРЕКП </w:t>
            </w:r>
            <w:r w:rsidRPr="00912B53">
              <w:rPr>
                <w:color w:val="000000" w:themeColor="text1"/>
                <w:sz w:val="24"/>
                <w:lang w:val="uk-UA"/>
              </w:rPr>
              <w:tab/>
            </w:r>
            <w:r w:rsidRPr="00912B53">
              <w:rPr>
                <w:color w:val="000000" w:themeColor="text1"/>
                <w:sz w:val="24"/>
                <w:lang w:val="uk-UA"/>
              </w:rPr>
              <w:tab/>
            </w:r>
            <w:r w:rsidRPr="00912B53">
              <w:rPr>
                <w:color w:val="000000" w:themeColor="text1"/>
                <w:sz w:val="24"/>
                <w:lang w:val="uk-UA"/>
              </w:rPr>
              <w:tab/>
              <w:t xml:space="preserve">    Юрій ВЛАСЕНКО</w:t>
            </w:r>
          </w:p>
          <w:p w14:paraId="3E727386" w14:textId="3C2FD98B" w:rsidR="00912B53" w:rsidRPr="00912B53" w:rsidRDefault="00912B53" w:rsidP="00142FB7">
            <w:pPr>
              <w:ind w:firstLine="27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4958" w:type="dxa"/>
          </w:tcPr>
          <w:p w14:paraId="78377493" w14:textId="04641B39" w:rsidR="00912B53" w:rsidRPr="00912B53" w:rsidRDefault="00912B53" w:rsidP="00142FB7">
            <w:pPr>
              <w:ind w:left="27"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912B5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Олег БАКУЛІН</w:t>
            </w:r>
          </w:p>
          <w:p w14:paraId="3585F807" w14:textId="77777777" w:rsidR="00912B53" w:rsidRPr="00912B53" w:rsidRDefault="00912B53" w:rsidP="00142FB7">
            <w:pPr>
              <w:ind w:left="27"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912B5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Пропозиція:</w:t>
            </w:r>
          </w:p>
          <w:p w14:paraId="264A59F2" w14:textId="77777777" w:rsidR="00912B53" w:rsidRPr="00912B53" w:rsidRDefault="00912B53" w:rsidP="00142FB7">
            <w:pPr>
              <w:ind w:left="27" w:firstLine="567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</w:pPr>
          </w:p>
          <w:p w14:paraId="0B37FDEC" w14:textId="0C8136F7" w:rsidR="00912B53" w:rsidRPr="00912B53" w:rsidRDefault="00912B53" w:rsidP="00142FB7">
            <w:pPr>
              <w:ind w:left="27"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val="uk-UA" w:eastAsia="uk-UA"/>
              </w:rPr>
            </w:pPr>
            <w:r w:rsidRPr="00912B53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val="uk-UA" w:eastAsia="uk-UA"/>
              </w:rPr>
              <w:t>Не приймати</w:t>
            </w:r>
          </w:p>
          <w:p w14:paraId="60CB6119" w14:textId="77777777" w:rsidR="00912B53" w:rsidRPr="00912B53" w:rsidRDefault="00912B53" w:rsidP="00142FB7">
            <w:pPr>
              <w:ind w:left="27"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</w:p>
          <w:p w14:paraId="537665A7" w14:textId="77777777" w:rsidR="00912B53" w:rsidRPr="00912B53" w:rsidRDefault="00912B53" w:rsidP="00142FB7">
            <w:pPr>
              <w:ind w:left="27"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912B5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Обґрунтування:</w:t>
            </w:r>
          </w:p>
          <w:p w14:paraId="71D890F3" w14:textId="33171CAD" w:rsidR="00912B53" w:rsidRPr="00912B53" w:rsidRDefault="00912B53" w:rsidP="009A2023">
            <w:pPr>
              <w:ind w:firstLine="60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912B5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t xml:space="preserve">Відповідно до статті 20 Закону України «Про ринок природного газу» оператор газотранспортної системи на виключних засадах відповідає за надійну та безпечну експлуатацію, підтримання в належному стані та розвиток, включаючи нове будівництво та реконструкцію, газотранспортної системи з метою задоволення очікуваного попиту суб’єктів ринку природного газу на послуги транспортування природного газу, враховуючи поступовий розвиток ринку природного газу. </w:t>
            </w:r>
          </w:p>
          <w:p w14:paraId="0325A0AE" w14:textId="3C2015A9" w:rsidR="00912B53" w:rsidRPr="00912B53" w:rsidRDefault="00912B53" w:rsidP="009A2023">
            <w:pPr>
              <w:ind w:firstLine="60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912B5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t xml:space="preserve">Запорукою надійної та безпечної експлуатації, газотранспортної системи є достатність фінансових ресурсів у такого оператора. Основним джерелом його </w:t>
            </w:r>
            <w:r w:rsidRPr="00912B5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lastRenderedPageBreak/>
              <w:t xml:space="preserve">фінансових ресурсів є встановленні НКРЕКП тарифи. </w:t>
            </w:r>
          </w:p>
          <w:p w14:paraId="5296577F" w14:textId="5D834030" w:rsidR="00912B53" w:rsidRPr="00912B53" w:rsidRDefault="00912B53" w:rsidP="009A2023">
            <w:pPr>
              <w:ind w:firstLine="60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912B5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t>Постановою НКРЕКП від 24.12.2019 № 3013 «Про встановлення тарифів для ТОВ «ОПЕРАТОР ГТС УКРАЇНИ» на послуги транспортування природного газу для точок входу і точок виходу на регуляторний період 2020- 2024 роки» такі тарифи були встановлені та одночасно затверджено відповідні коефіцієнти, які враховують період замовлення потужності, та знижувальні коефіцієнти для потужності з обмеженнями.</w:t>
            </w:r>
          </w:p>
          <w:p w14:paraId="0F2A13C5" w14:textId="60A26201" w:rsidR="00912B53" w:rsidRPr="00912B53" w:rsidRDefault="00912B53" w:rsidP="009A2023">
            <w:pPr>
              <w:ind w:firstLine="60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912B5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t>Як повідомляє НКРЕКП, зазначені коефіцієнти мають на меті стимулювання довгострокового бронювання потужності з метою оптимізації використання інфраструктури транспортування природного газу, більш справедливе врахування витрат на послуги транспортування, що в середньо- та довгостроковій перспективі дозволить здешевити транспортування природного газу в разі довгострокового бронювання.</w:t>
            </w:r>
          </w:p>
          <w:p w14:paraId="6F2F8BFB" w14:textId="77777777" w:rsidR="00912B53" w:rsidRPr="00912B53" w:rsidRDefault="00912B53" w:rsidP="009A2023">
            <w:pPr>
              <w:ind w:firstLine="60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912B5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t xml:space="preserve">У зв’язку з цим, запропоновані НКРЕКП зміни не будуть стимулювати замовників послуг транспортування до довгострокового бронювання. </w:t>
            </w:r>
          </w:p>
          <w:p w14:paraId="4E3712BF" w14:textId="77777777" w:rsidR="00912B53" w:rsidRPr="00912B53" w:rsidRDefault="00912B53" w:rsidP="009A2023">
            <w:pPr>
              <w:ind w:firstLine="60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912B5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t xml:space="preserve">Крім того, зниження коефіцієнту призведе до погіршення фінансового стану ТОВ «ОПЕРАТОР ГТС УКРАЇНИ». </w:t>
            </w:r>
          </w:p>
          <w:p w14:paraId="77ED8E7B" w14:textId="77777777" w:rsidR="00912B53" w:rsidRPr="00912B53" w:rsidRDefault="00912B53" w:rsidP="009A2023">
            <w:pPr>
              <w:ind w:firstLine="60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912B5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t xml:space="preserve">Слід також зазначити, що ТОВ «ОПЕРАТОР ГТС УКРАЇНИ» відноситься до господарського товариства, у статутному капіталі якого 100 відсотків частки належать державі. </w:t>
            </w:r>
          </w:p>
          <w:p w14:paraId="424951D6" w14:textId="5319E8BD" w:rsidR="00912B53" w:rsidRPr="00912B53" w:rsidRDefault="00912B53" w:rsidP="009A2023">
            <w:pPr>
              <w:ind w:firstLine="60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912B5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Відповідно до Закону України «Про управління об'єктами державної власності» господарські товариства, у статутному капіталі яких 50 і більше відсотків акцій (часток) належать державі, сплачують до державного бюджету дивіденди.</w:t>
            </w:r>
          </w:p>
          <w:p w14:paraId="47C6B97D" w14:textId="71AD2453" w:rsidR="00912B53" w:rsidRPr="00912B53" w:rsidRDefault="00912B53" w:rsidP="009A2023">
            <w:pPr>
              <w:ind w:firstLine="60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912B5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t>Погіршення фінансового стану ТОВ «ОПЕРАТОР ГТС УКРАЇНИ» в результаті запропонованих Регулятором змін на зниження коефіцієнту, який застосовується при замовленні  потужності на квартальний період, призведе в умовах воєнного стану до недотримання державним бюджетом України грошових активів за результатами діяльності оператора у 2024 році.</w:t>
            </w:r>
          </w:p>
        </w:tc>
        <w:tc>
          <w:tcPr>
            <w:tcW w:w="4686" w:type="dxa"/>
          </w:tcPr>
          <w:p w14:paraId="76052AE5" w14:textId="12B98044" w:rsidR="00912B53" w:rsidRPr="00B658F0" w:rsidRDefault="00B658F0" w:rsidP="009A2023">
            <w:pPr>
              <w:ind w:firstLine="60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proofErr w:type="spellStart"/>
            <w:r w:rsidRPr="00B658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Відхилено</w:t>
            </w:r>
            <w:proofErr w:type="spellEnd"/>
          </w:p>
          <w:p w14:paraId="71BE76B4" w14:textId="3E3D0A57" w:rsidR="00912B53" w:rsidRPr="00912B53" w:rsidRDefault="00912B53" w:rsidP="00E923D5">
            <w:pPr>
              <w:ind w:firstLine="60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912B5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t xml:space="preserve">Відповідно до положень Методики визначення та розрахунку тарифів на послуги транспортування природного газу для точок входу і точок виходу на основі багаторічного стимулюючого регулювання, затвердженої постановою НКРЕКП від 30.09.2015 № 2517, </w:t>
            </w:r>
            <w:r w:rsidR="00B658F0" w:rsidRPr="00B658F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t xml:space="preserve">та Типового договору транспортування природного газу, затвердженого постановою НКРЕКП від 30.09.2015 № 2497, </w:t>
            </w:r>
            <w:r w:rsidRPr="00912B5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t>при замовленні послуг транспортування природного газу (крім надання доступу до потужності з обмеженнями) до тарифів на послуги транспортування природного газу для точок входу та виходу в/з газотранспортну(ої) систему(и) застосовуються коефіцієнти, які враховують період замовлення потужності (квартал, місяць, на добу наперед, протягом доби).</w:t>
            </w:r>
          </w:p>
          <w:p w14:paraId="4E13D6E4" w14:textId="015633E2" w:rsidR="00912B53" w:rsidRPr="00912B53" w:rsidRDefault="00912B53" w:rsidP="00BB71D4">
            <w:pPr>
              <w:ind w:firstLine="60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912B5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Варто зазначити,</w:t>
            </w:r>
            <w:r w:rsidR="00B658F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t xml:space="preserve"> що</w:t>
            </w:r>
            <w:r w:rsidRPr="00912B5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t xml:space="preserve"> к</w:t>
            </w:r>
            <w:r w:rsidRPr="00912B53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 xml:space="preserve">оефіцієнти, які враховують період замовлення потужності не враховуються при розрахунку </w:t>
            </w:r>
            <w:r w:rsidR="00A3017F" w:rsidRPr="00912B53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тариф</w:t>
            </w:r>
            <w:r w:rsidR="00A3017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ів</w:t>
            </w:r>
            <w:r w:rsidR="00A3017F" w:rsidRPr="00912B53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 xml:space="preserve"> </w:t>
            </w:r>
            <w:r w:rsidRPr="00912B53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на послуги транспортування природного газу, а застосовуються додатково при визначенні фактичної вартості послуг.</w:t>
            </w:r>
          </w:p>
          <w:p w14:paraId="6A27D03A" w14:textId="77777777" w:rsidR="00912B53" w:rsidRPr="00912B53" w:rsidRDefault="00912B53" w:rsidP="00BB71D4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912B53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Мета застосування коефіцієнтів – стимулювання довгострокового бронювання потужності з метою оптимізації використання інфраструктури транспортування природного газу.</w:t>
            </w:r>
          </w:p>
          <w:p w14:paraId="43E3183E" w14:textId="764214F5" w:rsidR="00912B53" w:rsidRPr="00912B53" w:rsidRDefault="00912B53" w:rsidP="00E923D5">
            <w:pPr>
              <w:ind w:firstLine="605"/>
              <w:contextualSpacing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912B5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t xml:space="preserve">Слід зазначити, що зменшення розміру коефіцієнта, який </w:t>
            </w:r>
            <w:r w:rsidRPr="00912B5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застосовується при замовленні потужності на квартальний період</w:t>
            </w:r>
            <w:r w:rsidR="00A3017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912B5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CE34F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знижує вартість послуги транспортування природного газу для замовників послуг, та </w:t>
            </w:r>
            <w:r w:rsidRPr="00912B5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не впливає на величину </w:t>
            </w:r>
            <w:r w:rsidR="00CE34F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необхідного доходу</w:t>
            </w:r>
            <w:r w:rsidRPr="00912B5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,</w:t>
            </w:r>
            <w:r w:rsidR="00CE34F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врахованого при розрахунку тарифів на послуги транспортування природного газу,   </w:t>
            </w:r>
            <w:r w:rsidRPr="00912B5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оскільки </w:t>
            </w:r>
            <w:r w:rsidR="00CE34F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дохід від застосування коефіцієнтів, </w:t>
            </w:r>
            <w:r w:rsidR="00CE34F6" w:rsidRPr="00CE34F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які враховують період замовлення потужності</w:t>
            </w:r>
            <w:r w:rsidR="00CE34F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, є </w:t>
            </w:r>
            <w:r w:rsidRPr="00912B5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додатковим доходом</w:t>
            </w:r>
            <w:r w:rsidR="00CE34F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оператора газотранспортної системи від здійснення діяльності з транспортування природного газу</w:t>
            </w:r>
            <w:r w:rsidRPr="00912B5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14:paraId="2DC6DA23" w14:textId="3DDBDEF8" w:rsidR="00912B53" w:rsidRPr="00912B53" w:rsidRDefault="00912B53" w:rsidP="00CE34F6">
            <w:pPr>
              <w:ind w:firstLine="60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912B5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Таким чином, значення коефіцієнту, який застосовується при замовленні потужності на квартальний період не </w:t>
            </w:r>
            <w:r w:rsidRPr="00912B5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lastRenderedPageBreak/>
              <w:t xml:space="preserve">вплине на  </w:t>
            </w:r>
            <w:r w:rsidRPr="00912B5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t>достатність фінансових ресурсів в частині забезпечення надійної та безпечної експлуатації, газотранспортної системи.</w:t>
            </w:r>
          </w:p>
        </w:tc>
      </w:tr>
      <w:tr w:rsidR="00CE34F6" w:rsidRPr="00912B53" w14:paraId="4C34D248" w14:textId="77777777" w:rsidTr="00142FB7">
        <w:trPr>
          <w:jc w:val="center"/>
        </w:trPr>
        <w:tc>
          <w:tcPr>
            <w:tcW w:w="6377" w:type="dxa"/>
            <w:vMerge/>
          </w:tcPr>
          <w:p w14:paraId="5FA063F8" w14:textId="77777777" w:rsidR="00CE34F6" w:rsidRPr="00912B53" w:rsidRDefault="00CE34F6" w:rsidP="00CE34F6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0"/>
                <w:lang w:val="uk-UA"/>
              </w:rPr>
            </w:pPr>
          </w:p>
        </w:tc>
        <w:tc>
          <w:tcPr>
            <w:tcW w:w="4958" w:type="dxa"/>
          </w:tcPr>
          <w:p w14:paraId="49112189" w14:textId="77777777" w:rsidR="00CE34F6" w:rsidRPr="00912B53" w:rsidRDefault="00CE34F6" w:rsidP="00CE34F6">
            <w:pPr>
              <w:ind w:left="27"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912B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  <w:t>ТОВ «ОПЕРАТОР ГТС УКРАЇНИ»</w:t>
            </w:r>
          </w:p>
          <w:p w14:paraId="31406A8B" w14:textId="20D7275A" w:rsidR="00CE34F6" w:rsidRPr="00912B53" w:rsidRDefault="00CE34F6" w:rsidP="00CE34F6">
            <w:pPr>
              <w:ind w:left="27"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912B5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Зауваження:</w:t>
            </w:r>
          </w:p>
          <w:p w14:paraId="5C014751" w14:textId="2BA3EBDC" w:rsidR="00CE34F6" w:rsidRPr="00912B53" w:rsidRDefault="00CE34F6" w:rsidP="00CE34F6">
            <w:pPr>
              <w:ind w:left="27"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912B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Відповідно до частини 1-2 статті 32 Закону України «Про ринок природного газу»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912B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транспортування природного газу здійснюється на підставі та умовах договору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912B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транспортування природного газу в порядку, передбаченому кодексом газотранспортної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912B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системи та іншими нормативно-правовими актами.</w:t>
            </w:r>
          </w:p>
          <w:p w14:paraId="0549C6DF" w14:textId="6C249952" w:rsidR="00CE34F6" w:rsidRPr="00912B53" w:rsidRDefault="00CE34F6" w:rsidP="00CE34F6">
            <w:pPr>
              <w:ind w:left="27"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912B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За договором транспортування природного газу оператор газотранспортної системи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912B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зобов’язується забезпечити замовнику послуги транспортування природного газу на період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912B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та умовах, визначених у договорі транспортування природного газу, а замовник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912B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зобов’язується сплатити оператору газотранспортної системи встановлену в договорі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912B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вартість послуг транспортування природного газу.</w:t>
            </w:r>
          </w:p>
          <w:p w14:paraId="7A5F0FB5" w14:textId="77777777" w:rsidR="00CE34F6" w:rsidRPr="00912B53" w:rsidRDefault="00CE34F6" w:rsidP="00CE34F6">
            <w:pPr>
              <w:ind w:left="27"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912B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Типовий договір транспортування природного газу затверджується Регулятором.</w:t>
            </w:r>
          </w:p>
          <w:p w14:paraId="5AF5DDE8" w14:textId="4A5CE08C" w:rsidR="00CE34F6" w:rsidRPr="00912B53" w:rsidRDefault="00CE34F6" w:rsidP="00CE34F6">
            <w:pPr>
              <w:ind w:left="27"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912B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Між Оператором ГТС та НАК «Нафтогаз України» наявні договірні взаємовідносини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912B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згідно з укладеним в Типовій формі договором транспортування природного газу,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912B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затвердженим постановою НКРЕКП від 30.09.2015 № 2497, на підставі якого здійснено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912B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розподіл потужності точок входу і точок виходу в/з газотранспортну(ої) систему(и) 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912B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міждержавних з’єднаннях на період першого кварталу газового року 2024-2025.</w:t>
            </w:r>
          </w:p>
          <w:p w14:paraId="6B0BAB13" w14:textId="76157BC9" w:rsidR="00CE34F6" w:rsidRPr="00912B53" w:rsidRDefault="00CE34F6" w:rsidP="00CE34F6">
            <w:pPr>
              <w:ind w:left="27"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912B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Пункт 7.1 договору транспортування визначає, що тарифи з розподілу потужності 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912B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з транспортування природного газу встановлюються Регулятором. Тарифи, передбачені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912B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пунктом 7.1 цього розділу договору, є обов’язковими для сторін з дати набрання чинності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912B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постановою Регулятора щодо їх встановлення.</w:t>
            </w:r>
          </w:p>
          <w:p w14:paraId="065A4D9D" w14:textId="375C9A03" w:rsidR="00CE34F6" w:rsidRPr="00912B53" w:rsidRDefault="00CE34F6" w:rsidP="00CE34F6">
            <w:pPr>
              <w:ind w:left="27"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912B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Відповідно до пунктів 3, 8 частини 3 статті 4 Закону України «Про ринок природного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912B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газу» до компетенції Регулятора на ринку природного газу належить, в тому числі:</w:t>
            </w:r>
          </w:p>
          <w:p w14:paraId="3CDE98CD" w14:textId="146E302B" w:rsidR="00CE34F6" w:rsidRPr="00912B53" w:rsidRDefault="00CE34F6" w:rsidP="00CE34F6">
            <w:pPr>
              <w:ind w:left="27"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912B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 затвердження та оприлюднення у встановленому порядку методології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912B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визначення тарифів на послуги транспортування природного газу для точок входу і точок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912B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виходу;</w:t>
            </w:r>
          </w:p>
          <w:p w14:paraId="327821C5" w14:textId="5F380170" w:rsidR="00CE34F6" w:rsidRPr="00912B53" w:rsidRDefault="00CE34F6" w:rsidP="00CE34F6">
            <w:pPr>
              <w:ind w:left="27"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912B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- встановлення (зміна) тарифів на послуги транспортування природного газу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912B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транскордонними газопроводами відповідно до методології визначення тарифів на послуги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912B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транспортування природного газу для точок входу і точок виходу.</w:t>
            </w:r>
          </w:p>
          <w:p w14:paraId="27927AF1" w14:textId="54DF9AD8" w:rsidR="00CE34F6" w:rsidRPr="00912B53" w:rsidRDefault="00CE34F6" w:rsidP="00CE34F6">
            <w:pPr>
              <w:ind w:left="27"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912B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Постановою НКРЕКП від 24.12.2019 № 3013 «Про встановлення тарифів для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912B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ТОВ «ОПЕРАТОР ГТС УКРАЇНИ» на послуги транспортування природного газу для точок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912B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входу і точок виходу на регуляторний період 2020-2024 роки» (зі змінами) (далі – Постанова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912B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№ 3013) затверджено коефіцієнти, які враховують період замовлення потужності, 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912B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знижувальні коефіцієнти для потужності з обмеженнями.</w:t>
            </w:r>
          </w:p>
          <w:p w14:paraId="19187023" w14:textId="4D353E47" w:rsidR="00CE34F6" w:rsidRPr="00912B53" w:rsidRDefault="00CE34F6" w:rsidP="00CE34F6">
            <w:pPr>
              <w:ind w:left="27"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912B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Отже, встановлення (зміна) тарифів на послуги транспортування природного газу, 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912B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урахуванням забезпечення покриття витрат на погоджені Регулятором інвестиції 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912B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узгодженої норми прибутку, є виключною компетенцією Регулятора.</w:t>
            </w:r>
          </w:p>
          <w:p w14:paraId="01B7C1BB" w14:textId="1E9D0A39" w:rsidR="00CE34F6" w:rsidRPr="00912B53" w:rsidRDefault="00CE34F6" w:rsidP="00CE34F6">
            <w:pPr>
              <w:ind w:left="27"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912B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Положеннями статті 1 Закону України «Про Національну комісію, що здійснює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912B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державне регулювання у сферах енергетики та комунальних послуг» (далі – Закон про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912B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НКРЕКП) визначені гарантії незалежності в прийнятті Регулятором рішень у межах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912B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повноважень, визначених законом, в тому числі, в частині встановлення чи зміни тарифів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912B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на послуги транспортування природного газу у відповідності до вимог законодавства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912B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України.</w:t>
            </w:r>
          </w:p>
          <w:p w14:paraId="001ECD95" w14:textId="24422A38" w:rsidR="00CE34F6" w:rsidRPr="00912B53" w:rsidRDefault="00CE34F6" w:rsidP="00CE34F6">
            <w:pPr>
              <w:ind w:left="27"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912B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Регулятор, у відповідності до положень статті 4 Закону про НКРЕКП, при здійсненні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912B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діяльності повинен враховувати та дотримуватись принципів законності, самостійності 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912B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незалежності у межах, визначених законом, неупередженості та </w:t>
            </w:r>
            <w:r w:rsidRPr="00912B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об’єктивності під час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912B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прийняття рішень, в тому числі при розгляді тих чи інших пропозицій учасників ринку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912B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природного газу, в тому числі, НАК «Нафтогаз України».</w:t>
            </w:r>
          </w:p>
          <w:p w14:paraId="422752C5" w14:textId="222BD409" w:rsidR="00CE34F6" w:rsidRPr="00912B53" w:rsidRDefault="00CE34F6" w:rsidP="00CE34F6">
            <w:pPr>
              <w:ind w:left="27"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912B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Звертаємо увагу НКРЕКП на те, що фінансовий план Оператора ГТС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912B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на 2024 рік враховує положення чинної редакції Постанови № 3013, в тому числі, в частині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912B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того, що при замовленні потужності для точок входу і точок виходу в/з газотранспортну(ої)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912B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систему(и) на міждержавних з’єднаннях на період першого кварталу газового року 2024-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912B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2025 має застосовуватися коефіцієнт 1,1 так, як це передбачено пунктом 4 постанови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912B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НКРЕКП № 3013.</w:t>
            </w:r>
          </w:p>
          <w:p w14:paraId="2728081F" w14:textId="6620A5B2" w:rsidR="00CE34F6" w:rsidRPr="00912B53" w:rsidRDefault="00CE34F6" w:rsidP="00CE34F6">
            <w:pPr>
              <w:ind w:left="27"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912B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Просимо врахувати вищенаведене при прийнятті Регулятором відповідного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Pr="00912B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рішення.</w:t>
            </w:r>
          </w:p>
        </w:tc>
        <w:tc>
          <w:tcPr>
            <w:tcW w:w="4686" w:type="dxa"/>
          </w:tcPr>
          <w:p w14:paraId="7D209FAE" w14:textId="77777777" w:rsidR="00CE34F6" w:rsidRPr="00B658F0" w:rsidRDefault="00CE34F6" w:rsidP="00CE34F6">
            <w:pPr>
              <w:ind w:firstLine="605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B658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Відхилено</w:t>
            </w:r>
          </w:p>
          <w:p w14:paraId="679ABFEF" w14:textId="77777777" w:rsidR="00CE34F6" w:rsidRPr="00912B53" w:rsidRDefault="00CE34F6" w:rsidP="00CE34F6">
            <w:pPr>
              <w:ind w:firstLine="60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912B5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t xml:space="preserve">Відповідно до положень Методики визначення та розрахунку тарифів на послуги транспортування природного газу для точок входу і точок виходу на основі багаторічного стимулюючого регулювання, затвердженої постановою НКРЕКП від 30.09.2015 № 2517, </w:t>
            </w:r>
            <w:r w:rsidRPr="00B658F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t xml:space="preserve">та Типового договору транспортування природного газу, затвердженого постановою НКРЕКП від 30.09.2015 № 2497, </w:t>
            </w:r>
            <w:r w:rsidRPr="00912B5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t xml:space="preserve">при замовленні послуг транспортування природного газу (крім надання доступу до потужності з обмеженнями) до тарифів на послуги транспортування природного газу для точок входу та виходу в/з газотранспортну(ої) систему(и) застосовуються коефіцієнти, які враховують період замовлення потужності </w:t>
            </w:r>
            <w:r w:rsidRPr="00912B5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(квартал, місяць, на добу наперед, протягом доби).</w:t>
            </w:r>
          </w:p>
          <w:p w14:paraId="36C2190E" w14:textId="77777777" w:rsidR="00CE34F6" w:rsidRPr="00912B53" w:rsidRDefault="00CE34F6" w:rsidP="00CE34F6">
            <w:pPr>
              <w:ind w:firstLine="60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912B5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t>Варто зазначити,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t xml:space="preserve"> що</w:t>
            </w:r>
            <w:r w:rsidRPr="00912B5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t xml:space="preserve"> к</w:t>
            </w:r>
            <w:r w:rsidRPr="00912B53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оефіцієнти, які враховують період замовлення потужності не враховуються при розрахунку тариф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ів</w:t>
            </w:r>
            <w:r w:rsidRPr="00912B53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 xml:space="preserve"> на послуги транспортування природного газу, а застосовуються додатково при визначенні фактичної вартості послуг.</w:t>
            </w:r>
          </w:p>
          <w:p w14:paraId="4F47F0C6" w14:textId="77777777" w:rsidR="00CE34F6" w:rsidRPr="00912B53" w:rsidRDefault="00CE34F6" w:rsidP="00CE34F6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</w:pPr>
            <w:r w:rsidRPr="00912B53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uk-UA"/>
              </w:rPr>
              <w:t>Мета застосування коефіцієнтів – стимулювання довгострокового бронювання потужності з метою оптимізації використання інфраструктури транспортування природного газу.</w:t>
            </w:r>
          </w:p>
          <w:p w14:paraId="15ECA8BC" w14:textId="77777777" w:rsidR="00CE34F6" w:rsidRPr="00912B53" w:rsidRDefault="00CE34F6" w:rsidP="00CE34F6">
            <w:pPr>
              <w:ind w:firstLine="605"/>
              <w:contextualSpacing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912B5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t xml:space="preserve">Слід зазначити, що зменшення розміру коефіцієнта, який </w:t>
            </w:r>
            <w:r w:rsidRPr="00912B5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застосовується при замовленні потужності на квартальний період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912B5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знижує вартість послуги транспортування природного газу для замовників послуг, та </w:t>
            </w:r>
            <w:r w:rsidRPr="00912B5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не впливає на величину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необхідного доходу</w:t>
            </w:r>
            <w:r w:rsidRPr="00912B5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,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врахованого при розрахунку тарифів на послуги транспортування природного газу,   </w:t>
            </w:r>
            <w:r w:rsidRPr="00912B5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оскільки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дохід від застосування коефіцієнтів, </w:t>
            </w:r>
            <w:r w:rsidRPr="00CE34F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які враховують період замовлення потужності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, є </w:t>
            </w:r>
            <w:r w:rsidRPr="00912B5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додатковим доходом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оператора газотранспортної системи від здійснення діяльності з транспортування природного газу</w:t>
            </w:r>
            <w:r w:rsidRPr="00912B5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14:paraId="45CC5DBC" w14:textId="3311EEBE" w:rsidR="00CE34F6" w:rsidRPr="00912B53" w:rsidRDefault="00CE34F6" w:rsidP="00CE34F6">
            <w:pPr>
              <w:ind w:firstLine="605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</w:pPr>
            <w:r w:rsidRPr="00912B5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Таким чином, значення коефіцієнту, який застосовується при замовленні потужності на квартальний період не вплине на  </w:t>
            </w:r>
            <w:r w:rsidRPr="00912B5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uk-UA"/>
              </w:rPr>
              <w:t>достатність фінансових ресурсів в частині забезпечення надійної та безпечної експлуатації, газотранспортної системи.</w:t>
            </w:r>
          </w:p>
        </w:tc>
      </w:tr>
    </w:tbl>
    <w:p w14:paraId="32EBF074" w14:textId="63A56906" w:rsidR="00135205" w:rsidRPr="00912B53" w:rsidRDefault="00135205" w:rsidP="00135205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5082F7" w14:textId="697A8999" w:rsidR="000E5D69" w:rsidRPr="00912B53" w:rsidRDefault="003D323E" w:rsidP="000E5D69">
      <w:pPr>
        <w:pStyle w:val="a4"/>
        <w:ind w:left="1" w:hanging="3"/>
        <w:rPr>
          <w:b/>
          <w:bCs/>
          <w:color w:val="000000" w:themeColor="text1"/>
          <w:sz w:val="28"/>
          <w:szCs w:val="28"/>
          <w:lang w:eastAsia="uk-UA"/>
        </w:rPr>
      </w:pPr>
      <w:r w:rsidRPr="00912B53">
        <w:rPr>
          <w:b/>
          <w:bCs/>
          <w:color w:val="000000" w:themeColor="text1"/>
          <w:sz w:val="28"/>
          <w:szCs w:val="28"/>
          <w:lang w:eastAsia="uk-UA"/>
        </w:rPr>
        <w:t>Д</w:t>
      </w:r>
      <w:r w:rsidR="000E5D69" w:rsidRPr="00912B53">
        <w:rPr>
          <w:b/>
          <w:bCs/>
          <w:color w:val="000000" w:themeColor="text1"/>
          <w:sz w:val="28"/>
          <w:szCs w:val="28"/>
          <w:lang w:eastAsia="uk-UA"/>
        </w:rPr>
        <w:t>иректо</w:t>
      </w:r>
      <w:r w:rsidRPr="00912B53">
        <w:rPr>
          <w:b/>
          <w:bCs/>
          <w:color w:val="000000" w:themeColor="text1"/>
          <w:sz w:val="28"/>
          <w:szCs w:val="28"/>
          <w:lang w:eastAsia="uk-UA"/>
        </w:rPr>
        <w:t>р</w:t>
      </w:r>
      <w:r w:rsidR="000E5D69" w:rsidRPr="00912B53">
        <w:rPr>
          <w:b/>
          <w:bCs/>
          <w:color w:val="000000" w:themeColor="text1"/>
          <w:sz w:val="28"/>
          <w:szCs w:val="28"/>
          <w:lang w:eastAsia="uk-UA"/>
        </w:rPr>
        <w:t xml:space="preserve"> Департаменту</w:t>
      </w:r>
    </w:p>
    <w:p w14:paraId="50BD3A56" w14:textId="77777777" w:rsidR="000E5D69" w:rsidRPr="00912B53" w:rsidRDefault="000E5D69" w:rsidP="000E5D69">
      <w:pPr>
        <w:pStyle w:val="a4"/>
        <w:ind w:left="1" w:hanging="3"/>
        <w:rPr>
          <w:b/>
          <w:bCs/>
          <w:color w:val="000000" w:themeColor="text1"/>
          <w:sz w:val="28"/>
          <w:szCs w:val="28"/>
          <w:lang w:eastAsia="uk-UA"/>
        </w:rPr>
      </w:pPr>
      <w:r w:rsidRPr="00912B53">
        <w:rPr>
          <w:b/>
          <w:bCs/>
          <w:color w:val="000000" w:themeColor="text1"/>
          <w:sz w:val="28"/>
          <w:szCs w:val="28"/>
          <w:lang w:eastAsia="uk-UA"/>
        </w:rPr>
        <w:t xml:space="preserve">із регулювання відносин </w:t>
      </w:r>
    </w:p>
    <w:p w14:paraId="5BBAED69" w14:textId="7CD39642" w:rsidR="003E398F" w:rsidRPr="00912B53" w:rsidRDefault="000E5D69" w:rsidP="000E5D69">
      <w:pPr>
        <w:shd w:val="clear" w:color="auto" w:fill="FFFFFF"/>
        <w:spacing w:after="0" w:line="240" w:lineRule="auto"/>
        <w:ind w:right="-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B5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у нафтогазовій сфері                                              </w:t>
      </w:r>
      <w:r w:rsidRPr="00912B5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ab/>
      </w:r>
      <w:r w:rsidRPr="00912B5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ab/>
      </w:r>
      <w:r w:rsidRPr="00912B5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ab/>
      </w:r>
      <w:r w:rsidRPr="00912B5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ab/>
      </w:r>
      <w:r w:rsidRPr="00912B5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ab/>
      </w:r>
      <w:r w:rsidRPr="00912B5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ab/>
      </w:r>
      <w:r w:rsidRPr="00912B5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ab/>
      </w:r>
      <w:r w:rsidRPr="00912B5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ab/>
      </w:r>
      <w:r w:rsidRPr="00912B5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ab/>
      </w:r>
      <w:r w:rsidR="003D323E" w:rsidRPr="00912B5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Олександр КОСЯНЧУК</w:t>
      </w:r>
    </w:p>
    <w:sectPr w:rsidR="003E398F" w:rsidRPr="00912B53" w:rsidSect="00CE34F6">
      <w:headerReference w:type="default" r:id="rId8"/>
      <w:pgSz w:w="16838" w:h="11906" w:orient="landscape"/>
      <w:pgMar w:top="1134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D9CE0" w14:textId="77777777" w:rsidR="00CE34F6" w:rsidRDefault="00CE34F6" w:rsidP="00CE34F6">
      <w:pPr>
        <w:spacing w:after="0" w:line="240" w:lineRule="auto"/>
      </w:pPr>
      <w:r>
        <w:separator/>
      </w:r>
    </w:p>
  </w:endnote>
  <w:endnote w:type="continuationSeparator" w:id="0">
    <w:p w14:paraId="0D106C8F" w14:textId="77777777" w:rsidR="00CE34F6" w:rsidRDefault="00CE34F6" w:rsidP="00CE3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F4912" w14:textId="77777777" w:rsidR="00CE34F6" w:rsidRDefault="00CE34F6" w:rsidP="00CE34F6">
      <w:pPr>
        <w:spacing w:after="0" w:line="240" w:lineRule="auto"/>
      </w:pPr>
      <w:r>
        <w:separator/>
      </w:r>
    </w:p>
  </w:footnote>
  <w:footnote w:type="continuationSeparator" w:id="0">
    <w:p w14:paraId="1C761007" w14:textId="77777777" w:rsidR="00CE34F6" w:rsidRDefault="00CE34F6" w:rsidP="00CE3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14267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3D87643" w14:textId="1AF81AB7" w:rsidR="00CE34F6" w:rsidRPr="00CE34F6" w:rsidRDefault="00CE34F6">
        <w:pPr>
          <w:pStyle w:val="aa"/>
          <w:jc w:val="center"/>
          <w:rPr>
            <w:rFonts w:ascii="Times New Roman" w:hAnsi="Times New Roman" w:cs="Times New Roman"/>
          </w:rPr>
        </w:pPr>
        <w:r w:rsidRPr="00CE34F6">
          <w:rPr>
            <w:rFonts w:ascii="Times New Roman" w:hAnsi="Times New Roman" w:cs="Times New Roman"/>
          </w:rPr>
          <w:fldChar w:fldCharType="begin"/>
        </w:r>
        <w:r w:rsidRPr="00D842A0">
          <w:rPr>
            <w:rFonts w:ascii="Times New Roman" w:hAnsi="Times New Roman" w:cs="Times New Roman"/>
          </w:rPr>
          <w:instrText>PAGE   \* MERGEFORMAT</w:instrText>
        </w:r>
        <w:r w:rsidRPr="00CE34F6">
          <w:rPr>
            <w:rFonts w:ascii="Times New Roman" w:hAnsi="Times New Roman" w:cs="Times New Roman"/>
          </w:rPr>
          <w:fldChar w:fldCharType="separate"/>
        </w:r>
        <w:r w:rsidRPr="00D842A0">
          <w:rPr>
            <w:rFonts w:ascii="Times New Roman" w:hAnsi="Times New Roman" w:cs="Times New Roman"/>
          </w:rPr>
          <w:t>2</w:t>
        </w:r>
        <w:r w:rsidRPr="00CE34F6">
          <w:rPr>
            <w:rFonts w:ascii="Times New Roman" w:hAnsi="Times New Roman" w:cs="Times New Roman"/>
          </w:rPr>
          <w:fldChar w:fldCharType="end"/>
        </w:r>
      </w:p>
    </w:sdtContent>
  </w:sdt>
  <w:p w14:paraId="2D791A5D" w14:textId="77777777" w:rsidR="00CE34F6" w:rsidRDefault="00CE34F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sDel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E46"/>
    <w:rsid w:val="000E5D69"/>
    <w:rsid w:val="001001D2"/>
    <w:rsid w:val="00135205"/>
    <w:rsid w:val="00142FB7"/>
    <w:rsid w:val="002C166D"/>
    <w:rsid w:val="003420C7"/>
    <w:rsid w:val="003D323E"/>
    <w:rsid w:val="003E398F"/>
    <w:rsid w:val="0041378C"/>
    <w:rsid w:val="00430B78"/>
    <w:rsid w:val="004E3C14"/>
    <w:rsid w:val="007178B0"/>
    <w:rsid w:val="007C7117"/>
    <w:rsid w:val="00865486"/>
    <w:rsid w:val="008670B4"/>
    <w:rsid w:val="00873ADB"/>
    <w:rsid w:val="00895FC4"/>
    <w:rsid w:val="008F46D0"/>
    <w:rsid w:val="00912B53"/>
    <w:rsid w:val="0095431F"/>
    <w:rsid w:val="00992E46"/>
    <w:rsid w:val="009A2023"/>
    <w:rsid w:val="00A3017F"/>
    <w:rsid w:val="00AC7E1A"/>
    <w:rsid w:val="00B658F0"/>
    <w:rsid w:val="00BB71D4"/>
    <w:rsid w:val="00CD0B24"/>
    <w:rsid w:val="00CD2B87"/>
    <w:rsid w:val="00CE34F6"/>
    <w:rsid w:val="00D842A0"/>
    <w:rsid w:val="00E923D5"/>
    <w:rsid w:val="00EA74D7"/>
    <w:rsid w:val="00EF20CD"/>
    <w:rsid w:val="00F062CD"/>
    <w:rsid w:val="00F9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3B94B"/>
  <w15:chartTrackingRefBased/>
  <w15:docId w15:val="{9CD8D08B-6F38-4015-B1B3-E1929A57C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20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0E5D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ій колонтитул Знак"/>
    <w:basedOn w:val="a0"/>
    <w:link w:val="a4"/>
    <w:rsid w:val="000E5D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42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42FB7"/>
    <w:rPr>
      <w:rFonts w:ascii="Segoe UI" w:hAnsi="Segoe UI" w:cs="Segoe UI"/>
      <w:sz w:val="18"/>
      <w:szCs w:val="18"/>
    </w:rPr>
  </w:style>
  <w:style w:type="paragraph" w:styleId="a8">
    <w:name w:val="Body Text Indent"/>
    <w:basedOn w:val="a"/>
    <w:link w:val="a9"/>
    <w:rsid w:val="00142FB7"/>
    <w:pPr>
      <w:spacing w:after="0" w:line="240" w:lineRule="auto"/>
      <w:ind w:right="141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ий текст з відступом Знак"/>
    <w:basedOn w:val="a0"/>
    <w:link w:val="a8"/>
    <w:rsid w:val="00142F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CE34F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CE34F6"/>
  </w:style>
  <w:style w:type="paragraph" w:styleId="ac">
    <w:name w:val="Revision"/>
    <w:hidden/>
    <w:uiPriority w:val="99"/>
    <w:semiHidden/>
    <w:rsid w:val="00AC7E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DD226-4C9E-435A-A8AE-50F677611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7755</Words>
  <Characters>4421</Characters>
  <Application>Microsoft Office Word</Application>
  <DocSecurity>0</DocSecurity>
  <Lines>36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Пузіков</dc:creator>
  <cp:keywords/>
  <dc:description/>
  <cp:lastModifiedBy>AI</cp:lastModifiedBy>
  <cp:revision>7</cp:revision>
  <dcterms:created xsi:type="dcterms:W3CDTF">2024-09-09T06:06:00Z</dcterms:created>
  <dcterms:modified xsi:type="dcterms:W3CDTF">2024-09-10T09:20:00Z</dcterms:modified>
</cp:coreProperties>
</file>